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第二章　政策演進：三任政府的匯率與財政組合（擴充版）</w:t>
      </w:r>
    </w:p>
    <w:p>
      <w:pPr>
        <w:spacing w:line="360" w:lineRule="auto"/>
      </w:pPr>
      <w:r>
        <w:t>阿根廷自 2015 年以來，經歷了三任性質迥異的政府：馬克里的市場化改革、費爾南德斯的干預主義復歸，以及米雷伊的激進自由主義轉向。這三個時期構成了阿根廷經濟調整的「三段循環」：由外部融資驅動的復甦 → 通膨與債務危機 → 緊縮與再自由化。以下將分別從匯率政策、財政策略與國際融資關係三個面向，分析各時期的政策組合與其對匯率穩定的影響。</w:t>
      </w:r>
    </w:p>
    <w:p>
      <w:pPr>
        <w:spacing w:line="360" w:lineRule="auto"/>
      </w:pPr>
      <w:r>
        <w:t>2.1 馬克里政府（2015–2019）：市場信心的短期修復與結構失衡的延續</w:t>
        <w:br/>
        <w:t>馬克里上任後，結束了長期的貿易與外匯管制，標誌著阿根廷重新擁抱市場機制的轉捩點。其核心政策包括：</w:t>
        <w:br/>
        <w:t>• 解除外匯管制與出口稅：取消農產品出口限制與外匯交易限額，使披索在 2015 年底一次性貶值約 30%，短期內促進出口與外資回流。</w:t>
        <w:br/>
        <w:t>• 與國際債權人和解：2016 年與「禿鷹基金」達成協議，支付 65 億美元以結束長期違約訴訟，成功恢復阿根廷在國際資本市場的融資地位。</w:t>
        <w:br/>
        <w:t>• 貨幣與財政政策協調不足：儘管央行試圖以高利率壓抑通膨，但政府仍維持大規模能源補貼與基建開支，導致赤字居高不下。</w:t>
        <w:br/>
        <w:t>• 外部脆弱性上升：全球美元走強與美國升息使新興市場資金外流。阿根廷披索於 2018 年急貶，迫使政府求助 IMF，獲得 570 億美元貸款計畫。</w:t>
        <w:br/>
        <w:t>小結：馬克里時期成功恢復國際信任與資本市場接入，但因缺乏財政約束與社會共識，最終陷入「資本流入—貨幣升值—外債擴張—危機重現」的惡性循環。</w:t>
      </w:r>
    </w:p>
    <w:p>
      <w:pPr>
        <w:spacing w:line="360" w:lineRule="auto"/>
      </w:pPr>
      <w:r>
        <w:t>2.2 費爾南德斯政府（2019–2023）：防禦性干預與疫情衝擊下的再通膨</w:t>
        <w:br/>
        <w:t>費爾南德斯在 2019 年接手時，面臨高通膨、外債壓力與 IMF 政策約束的三重挑戰。其施政特徵為「回歸干預、維穩為主」：</w:t>
        <w:br/>
        <w:t>• 外債重組與 IMF 再協商：2020 年成功重組約 650 億美元私人外債，並在 2022 年重新簽署 IMF 延長基金協定（約 450 億美元），但條件相對寬鬆。</w:t>
        <w:br/>
        <w:t>• 強化外匯與價格管制：實施多重匯率制度（官方、商業、金融市場並行），限制美元購買與匯出，同時凍結關鍵生活用品價格，以短期抑制通膨。</w:t>
        <w:br/>
        <w:t>• 疫情期間財政擴張：推出大規模社會補助與工資補貼（占 GDP 約 6%），並以央行融資赤字。結果通膨率於 2022 年突破 100%，貧困率超過 40%。</w:t>
        <w:br/>
        <w:t>• 能源與農產出口管制：政府以出口限額與稅收維持國內供應，卻削弱外匯流入，導致官方外儲持續下滑。</w:t>
        <w:br/>
        <w:t>小結：費爾南德斯的政策成功避免立即性的外債危機與社會崩潰，但犧牲了貨幣穩定性與投資環境。多重匯率與行政干預使市場預期失真，經濟長期信任進一步受損。</w:t>
      </w:r>
    </w:p>
    <w:p>
      <w:pPr>
        <w:spacing w:line="360" w:lineRule="auto"/>
      </w:pPr>
      <w:r>
        <w:t>2.3 米雷伊政府（2023–）：休克療法與財政整頓的高風險實驗</w:t>
        <w:br/>
        <w:t>米雷伊於 2023 年底上任，被外界視為阿根廷版「芝加哥學派」改革者。他主張小政府、去管制與市場絕對自由化，其政策手段可概括為「三步並進」：</w:t>
        <w:br/>
        <w:t>1. 一次性貶值與序貶機制：官方匯率於上任首日由 365 披索貶至 800 披索／美元，之後每月序貶 2%，消弭官方與黑市匯差。</w:t>
        <w:br/>
        <w:t>2. 財政緊縮與補貼削減：削減能源與交通補貼、凍結公共工程支出，並關閉或合併部分部會；2024 年第一季實現十多年來首度月度財政盈餘。</w:t>
        <w:br/>
        <w:t>3. 法規鬆綁與國營私有化：推動《基礎法》（Ley Bases）通過，鬆綁勞動市場與外資投資限制，預備出售部分國營企業股權。</w:t>
        <w:br/>
        <w:t>4. IMF 合作與市場反應：IMF 多次正面評價改革進度，並放寬外儲累積目標。2025 年上半年外匯存底淨增逾 60 億美元，月通膨降至 1.5%。</w:t>
        <w:br/>
        <w:t>然而，改革伴隨嚴重的社會代價：實質工資下降、失業上升、貧困率攀升至 45%。反對黨與工會多次全國罷工，顯示改革雖在經濟上具成效，卻挑戰政治承受極限。</w:t>
        <w:br/>
        <w:t>小結：米雷伊的休克療法是阿根廷自 1990 年代以來最激進的市場化改革，短期內成功修正外匯錯配與赤字問題，但若無穩定的社會支持與持續的外資流入，其成果恐難維持。</w:t>
      </w:r>
    </w:p>
    <w:p>
      <w:pPr>
        <w:spacing w:line="360" w:lineRule="auto"/>
      </w:pPr>
      <w:r>
        <w:t>✳️ 第二章章末綜合評述</w:t>
        <w:br/>
        <w:t>三任政府的匯率與財政政策反映出阿根廷的「政策週期困境」：市場化改革常因社會成本過高而被民粹政策逆轉，干預式穩定措施又因效率低落導致通膨再起。整體而言，阿根廷仍在尋找一個能平衡匯率穩定、財政紀律與社會包容的制度架構。若未能建立超越政黨輪替的財經政策共識，未來的匯率穩定仍將難以為繼。</w:t>
      </w:r>
    </w:p>
    <w:p>
      <w:r>
        <w:br w:type="page"/>
      </w:r>
    </w:p>
    <w:p>
      <w:pPr>
        <w:pStyle w:val="Heading2"/>
      </w:pPr>
      <w:r>
        <w:t>表一　2015–2025 阿根廷匯率與通膨率變化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平均匯率（披索／美元）</w:t>
            </w:r>
          </w:p>
        </w:tc>
        <w:tc>
          <w:tcPr>
            <w:tcW w:type="dxa" w:w="2880"/>
          </w:tcPr>
          <w:p>
            <w:r>
              <w:t>年通膨率（%）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9.0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28.1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70.1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150.0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365.0</w:t>
            </w:r>
          </w:p>
        </w:tc>
        <w:tc>
          <w:tcPr>
            <w:tcW w:type="dxa" w:w="2880"/>
          </w:tcPr>
          <w:p>
            <w:r>
              <w:t>142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800.0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2025（預估）</w:t>
            </w:r>
          </w:p>
        </w:tc>
        <w:tc>
          <w:tcPr>
            <w:tcW w:type="dxa" w:w="2880"/>
          </w:tcPr>
          <w:p>
            <w:r>
              <w:t>850.0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Heading2"/>
      </w:pPr>
      <w:r>
        <w:t>表二　三任政府主要政策與財政狀況對照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政府時期</w:t>
            </w:r>
          </w:p>
        </w:tc>
        <w:tc>
          <w:tcPr>
            <w:tcW w:type="dxa" w:w="2160"/>
          </w:tcPr>
          <w:p>
            <w:r>
              <w:t>主要政策方向</w:t>
            </w:r>
          </w:p>
        </w:tc>
        <w:tc>
          <w:tcPr>
            <w:tcW w:type="dxa" w:w="2160"/>
          </w:tcPr>
          <w:p>
            <w:r>
              <w:t>平均財政赤字（%GDP）</w:t>
            </w:r>
          </w:p>
        </w:tc>
        <w:tc>
          <w:tcPr>
            <w:tcW w:type="dxa" w:w="2160"/>
          </w:tcPr>
          <w:p>
            <w:r>
              <w:t>外債／GDP 比例（%）</w:t>
            </w:r>
          </w:p>
        </w:tc>
      </w:tr>
      <w:tr>
        <w:tc>
          <w:tcPr>
            <w:tcW w:type="dxa" w:w="2160"/>
          </w:tcPr>
          <w:p>
            <w:r>
              <w:t>馬克里（2015–2019）</w:t>
            </w:r>
          </w:p>
        </w:tc>
        <w:tc>
          <w:tcPr>
            <w:tcW w:type="dxa" w:w="2160"/>
          </w:tcPr>
          <w:p>
            <w:r>
              <w:t>市場自由化、外資重啟、能源補貼削減</w:t>
            </w:r>
          </w:p>
        </w:tc>
        <w:tc>
          <w:tcPr>
            <w:tcW w:type="dxa" w:w="2160"/>
          </w:tcPr>
          <w:p>
            <w:r>
              <w:t>–4.5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費爾南德斯（2019–2023）</w:t>
            </w:r>
          </w:p>
        </w:tc>
        <w:tc>
          <w:tcPr>
            <w:tcW w:type="dxa" w:w="2160"/>
          </w:tcPr>
          <w:p>
            <w:r>
              <w:t>強化管制、社會支出擴張、價格凍結</w:t>
            </w:r>
          </w:p>
        </w:tc>
        <w:tc>
          <w:tcPr>
            <w:tcW w:type="dxa" w:w="2160"/>
          </w:tcPr>
          <w:p>
            <w:r>
              <w:t>–6.0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米雷伊（2023–）</w:t>
            </w:r>
          </w:p>
        </w:tc>
        <w:tc>
          <w:tcPr>
            <w:tcW w:type="dxa" w:w="2160"/>
          </w:tcPr>
          <w:p>
            <w:r>
              <w:t>緊縮財政、休克療法、私有化改革</w:t>
            </w:r>
          </w:p>
        </w:tc>
        <w:tc>
          <w:tcPr>
            <w:tcW w:type="dxa" w:w="2160"/>
          </w:tcPr>
          <w:p>
            <w:r>
              <w:t>–0.5（轉盈餘）</w:t>
            </w:r>
          </w:p>
        </w:tc>
        <w:tc>
          <w:tcPr>
            <w:tcW w:type="dxa" w:w="2160"/>
          </w:tcPr>
          <w:p>
            <w:r>
              <w:t>70（下降中）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