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第五章　未來展望：路徑選擇與政策建議（擴充版）</w:t>
      </w:r>
    </w:p>
    <w:p>
      <w:pPr>
        <w:pStyle w:val="Heading2"/>
      </w:pPr>
      <w:r>
        <w:t>5.1 匯率制度的路徑選擇</w:t>
      </w:r>
    </w:p>
    <w:p>
      <w:pPr>
        <w:spacing w:line="360" w:lineRule="auto"/>
      </w:pPr>
      <w:r>
        <w:t>展望未來，阿根廷的匯率政策路徑大致可分為三種：持續序貶制、部分美元化與全面美元化。持續序貶制（crawling peg）可在短期內維持出口競爭力，但若通膨未被完全控制，仍會陷入貶值預期與價格螺旋。部分美元化則可穩定金融交易並提升信任，但需在外儲充足與財政紀律穩定的前提下實施。全面美元化雖能終止惡性通膨，卻意味著喪失貨幣主權與應對外部衝擊的彈性。綜合比較，漸進式匯率整合與結構改革同步推進，仍是最具可行性的中期方案。</w:t>
      </w:r>
    </w:p>
    <w:p>
      <w:pPr>
        <w:pStyle w:val="Heading2"/>
      </w:pPr>
      <w:r>
        <w:t>5.2 財政與通膨治理的政策建議</w:t>
      </w:r>
    </w:p>
    <w:p>
      <w:pPr>
        <w:spacing w:line="360" w:lineRule="auto"/>
      </w:pPr>
      <w:r>
        <w:t>阿根廷通膨的根本成因來自財政赤字貨幣化與政策不連貫。為此，政府需建立制度化的「財政責任法」（Fiscal Responsibility Law），限制年度赤字占 GDP 的上限，並推動央行獨立性，避免政治干預貨幣政策。同時導入通膨目標制（Inflation Targeting Framework），以中期目標區間（如 3–5%）建立預期穩定機制。此外，改革能源與交通補貼，將資源導向基礎建設與教育投資，以提高長期生產力，減少赤字擴張壓力。</w:t>
      </w:r>
    </w:p>
    <w:p>
      <w:pPr>
        <w:pStyle w:val="Heading2"/>
      </w:pPr>
      <w:r>
        <w:t>5.3 社會穩定與包容性成長</w:t>
      </w:r>
    </w:p>
    <w:p>
      <w:pPr>
        <w:spacing w:line="360" w:lineRule="auto"/>
      </w:pPr>
      <w:r>
        <w:t>阿根廷的結構性改革若缺乏社會共識與補償機制，將難以持續。未來政策應在穩定與包容間尋求平衡。政府可設立「社會調適基金」（Social Adjustment Fund），以短期現金轉移與就業再培訓緩解改革衝擊。推動職業教育、技術創新與中小企業融資，有助於提升勞動參與率與創造正式就業。長期而言，必須藉由稅制改革與金融普惠，改善收入分配結構，使經濟穩定成果能惠及更廣泛族群。</w:t>
      </w:r>
    </w:p>
    <w:p>
      <w:pPr>
        <w:pStyle w:val="Heading2"/>
      </w:pPr>
      <w:r>
        <w:t>✳️ 第五章章末綜合評述</w:t>
      </w:r>
    </w:p>
    <w:p>
      <w:pPr>
        <w:spacing w:line="360" w:lineRule="auto"/>
      </w:pPr>
      <w:r>
        <w:t>阿根廷的未來發展取決於能否建立一個兼顧宏觀穩定與社會公正的制度架構。匯率改革、財政紀律與社會補償三者需同步推動，才能重建市場信任與國際信用。若能維持政策連續性並強化制度透明，阿根廷有望在「穩定—信任—投資—成長」的正向循環中，重回長期可持續的經濟發展軌道。</w:t>
      </w:r>
    </w:p>
    <w:p>
      <w:r>
        <w:br w:type="page"/>
      </w:r>
    </w:p>
    <w:p>
      <w:pPr>
        <w:pStyle w:val="Heading2"/>
      </w:pPr>
      <w:r>
        <w:t>表一　匯率政策情境比較</w:t>
      </w:r>
    </w:p>
    <w:tbl>
      <w:tblPr>
        <w:tblW w:type="auto" w:w="0"/>
        <w:tblLook w:firstColumn="1" w:firstRow="1" w:lastColumn="0" w:lastRow="0" w:noHBand="0" w:noVBand="1" w:val="04A0"/>
      </w:tblPr>
      <w:tblGrid>
        <w:gridCol w:w="2160"/>
        <w:gridCol w:w="2160"/>
        <w:gridCol w:w="2160"/>
        <w:gridCol w:w="2160"/>
      </w:tblGrid>
      <w:tr>
        <w:tc>
          <w:tcPr>
            <w:tcW w:type="dxa" w:w="2160"/>
          </w:tcPr>
          <w:p>
            <w:r>
              <w:t>政策路徑</w:t>
            </w:r>
          </w:p>
        </w:tc>
        <w:tc>
          <w:tcPr>
            <w:tcW w:type="dxa" w:w="2160"/>
          </w:tcPr>
          <w:p>
            <w:r>
              <w:t>主要特徵</w:t>
            </w:r>
          </w:p>
        </w:tc>
        <w:tc>
          <w:tcPr>
            <w:tcW w:type="dxa" w:w="2160"/>
          </w:tcPr>
          <w:p>
            <w:r>
              <w:t>優點</w:t>
            </w:r>
          </w:p>
        </w:tc>
        <w:tc>
          <w:tcPr>
            <w:tcW w:type="dxa" w:w="2160"/>
          </w:tcPr>
          <w:p>
            <w:r>
              <w:t>潛在風險</w:t>
            </w:r>
          </w:p>
        </w:tc>
      </w:tr>
      <w:tr>
        <w:tc>
          <w:tcPr>
            <w:tcW w:type="dxa" w:w="2160"/>
          </w:tcPr>
          <w:p>
            <w:r>
              <w:t>持續序貶制</w:t>
            </w:r>
          </w:p>
        </w:tc>
        <w:tc>
          <w:tcPr>
            <w:tcW w:type="dxa" w:w="2160"/>
          </w:tcPr>
          <w:p>
            <w:r>
              <w:t>官方定期小幅貶值以維持出口競爭力</w:t>
            </w:r>
          </w:p>
        </w:tc>
        <w:tc>
          <w:tcPr>
            <w:tcW w:type="dxa" w:w="2160"/>
          </w:tcPr>
          <w:p>
            <w:r>
              <w:t>緩和匯率波動、維持部分政策彈性</w:t>
            </w:r>
          </w:p>
        </w:tc>
        <w:tc>
          <w:tcPr>
            <w:tcW w:type="dxa" w:w="2160"/>
          </w:tcPr>
          <w:p>
            <w:r>
              <w:t>若通膨預期未控，貶值與物價螺旋再現</w:t>
            </w:r>
          </w:p>
        </w:tc>
      </w:tr>
      <w:tr>
        <w:tc>
          <w:tcPr>
            <w:tcW w:type="dxa" w:w="2160"/>
          </w:tcPr>
          <w:p>
            <w:r>
              <w:t>部分美元化</w:t>
            </w:r>
          </w:p>
        </w:tc>
        <w:tc>
          <w:tcPr>
            <w:tcW w:type="dxa" w:w="2160"/>
          </w:tcPr>
          <w:p>
            <w:r>
              <w:t>特定交易以美元結算，部分披索流通</w:t>
            </w:r>
          </w:p>
        </w:tc>
        <w:tc>
          <w:tcPr>
            <w:tcW w:type="dxa" w:w="2160"/>
          </w:tcPr>
          <w:p>
            <w:r>
              <w:t>提升金融信任與外資流入</w:t>
            </w:r>
          </w:p>
        </w:tc>
        <w:tc>
          <w:tcPr>
            <w:tcW w:type="dxa" w:w="2160"/>
          </w:tcPr>
          <w:p>
            <w:r>
              <w:t>需外儲支撐、貨幣政策工具受限</w:t>
            </w:r>
          </w:p>
        </w:tc>
      </w:tr>
      <w:tr>
        <w:tc>
          <w:tcPr>
            <w:tcW w:type="dxa" w:w="2160"/>
          </w:tcPr>
          <w:p>
            <w:r>
              <w:t>全面美元化</w:t>
            </w:r>
          </w:p>
        </w:tc>
        <w:tc>
          <w:tcPr>
            <w:tcW w:type="dxa" w:w="2160"/>
          </w:tcPr>
          <w:p>
            <w:r>
              <w:t>美元成為唯一法定貨幣</w:t>
            </w:r>
          </w:p>
        </w:tc>
        <w:tc>
          <w:tcPr>
            <w:tcW w:type="dxa" w:w="2160"/>
          </w:tcPr>
          <w:p>
            <w:r>
              <w:t>消除通膨預期、匯率穩定</w:t>
            </w:r>
          </w:p>
        </w:tc>
        <w:tc>
          <w:tcPr>
            <w:tcW w:type="dxa" w:w="2160"/>
          </w:tcPr>
          <w:p>
            <w:r>
              <w:t>喪失貨幣主權、金融調節能力下降</w:t>
            </w:r>
          </w:p>
        </w:tc>
      </w:tr>
    </w:tbl>
    <w:p>
      <w:r>
        <w:br w:type="page"/>
      </w:r>
    </w:p>
    <w:p>
      <w:pPr>
        <w:pStyle w:val="Heading2"/>
      </w:pPr>
      <w:r>
        <w:t>表二　未來改革優先順序與執行重點</w:t>
      </w:r>
    </w:p>
    <w:tbl>
      <w:tblPr>
        <w:tblW w:type="auto" w:w="0"/>
        <w:tblLook w:firstColumn="1" w:firstRow="1" w:lastColumn="0" w:lastRow="0" w:noHBand="0" w:noVBand="1" w:val="04A0"/>
      </w:tblPr>
      <w:tblGrid>
        <w:gridCol w:w="2880"/>
        <w:gridCol w:w="2880"/>
        <w:gridCol w:w="2880"/>
      </w:tblGrid>
      <w:tr>
        <w:tc>
          <w:tcPr>
            <w:tcW w:type="dxa" w:w="2880"/>
          </w:tcPr>
          <w:p>
            <w:r>
              <w:t>改革領域</w:t>
            </w:r>
          </w:p>
        </w:tc>
        <w:tc>
          <w:tcPr>
            <w:tcW w:type="dxa" w:w="2880"/>
          </w:tcPr>
          <w:p>
            <w:r>
              <w:t>主要措施</w:t>
            </w:r>
          </w:p>
        </w:tc>
        <w:tc>
          <w:tcPr>
            <w:tcW w:type="dxa" w:w="2880"/>
          </w:tcPr>
          <w:p>
            <w:r>
              <w:t>短中期目標</w:t>
            </w:r>
          </w:p>
        </w:tc>
      </w:tr>
      <w:tr>
        <w:tc>
          <w:tcPr>
            <w:tcW w:type="dxa" w:w="2880"/>
          </w:tcPr>
          <w:p>
            <w:r>
              <w:t>財政改革</w:t>
            </w:r>
          </w:p>
        </w:tc>
        <w:tc>
          <w:tcPr>
            <w:tcW w:type="dxa" w:w="2880"/>
          </w:tcPr>
          <w:p>
            <w:r>
              <w:t>制定財政責任法、削減補貼、提高稅收效率</w:t>
            </w:r>
          </w:p>
        </w:tc>
        <w:tc>
          <w:tcPr>
            <w:tcW w:type="dxa" w:w="2880"/>
          </w:tcPr>
          <w:p>
            <w:r>
              <w:t>2026 年前赤字降至 GDP 2% 以下</w:t>
            </w:r>
          </w:p>
        </w:tc>
      </w:tr>
      <w:tr>
        <w:tc>
          <w:tcPr>
            <w:tcW w:type="dxa" w:w="2880"/>
          </w:tcPr>
          <w:p>
            <w:r>
              <w:t>貨幣與通膨治理</w:t>
            </w:r>
          </w:p>
        </w:tc>
        <w:tc>
          <w:tcPr>
            <w:tcW w:type="dxa" w:w="2880"/>
          </w:tcPr>
          <w:p>
            <w:r>
              <w:t>建立央行獨立性、導入通膨目標制</w:t>
            </w:r>
          </w:p>
        </w:tc>
        <w:tc>
          <w:tcPr>
            <w:tcW w:type="dxa" w:w="2880"/>
          </w:tcPr>
          <w:p>
            <w:r>
              <w:t>三年內通膨率穩定於 5% 以下</w:t>
            </w:r>
          </w:p>
        </w:tc>
      </w:tr>
      <w:tr>
        <w:tc>
          <w:tcPr>
            <w:tcW w:type="dxa" w:w="2880"/>
          </w:tcPr>
          <w:p>
            <w:r>
              <w:t>社會與勞動市場</w:t>
            </w:r>
          </w:p>
        </w:tc>
        <w:tc>
          <w:tcPr>
            <w:tcW w:type="dxa" w:w="2880"/>
          </w:tcPr>
          <w:p>
            <w:r>
              <w:t>設立社會調適基金、推動再培訓與中小企業融資</w:t>
            </w:r>
          </w:p>
        </w:tc>
        <w:tc>
          <w:tcPr>
            <w:tcW w:type="dxa" w:w="2880"/>
          </w:tcPr>
          <w:p>
            <w:r>
              <w:t>降低貧困率與非正式就業比例</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