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第四章　美元化與多重匯率：可行性與風險（擴充版）</w:t>
      </w:r>
    </w:p>
    <w:p>
      <w:pPr>
        <w:pStyle w:val="Heading2"/>
      </w:pPr>
      <w:r>
        <w:t>4.1 美元化的政策背景與理論依據</w:t>
      </w:r>
    </w:p>
    <w:p>
      <w:pPr>
        <w:spacing w:line="360" w:lineRule="auto"/>
      </w:pPr>
      <w:r>
        <w:t>阿根廷的美元化討論可追溯至 1990 年代初期的貨幣委員會制度（Convertibility Plan）。當時披索與美元實施 1:1 固定匯率，短期內抑制惡性通膨，卻在外債累積與出口競爭力喪失後於 2001 年崩潰。此後，美元在阿根廷逐漸成為「事實上的第二貨幣」，形成嚴重的貨幣替代現象（currency substitution）。</w:t>
        <w:br/>
        <w:t>理論上，美元化可帶來通膨穩定與金融信任重建，但代價是喪失貨幣政策主權與最後貸款人功能。根據蒙代爾–弗萊明模型，在資本高度流動的開放經濟下，採行固定匯率等同放棄獨立貨幣政策。阿根廷若全面美元化，將無法以利率與匯率政策調整景氣循環，財政政策將成為唯一的穩定工具。</w:t>
      </w:r>
    </w:p>
    <w:p>
      <w:pPr>
        <w:pStyle w:val="Heading2"/>
      </w:pPr>
      <w:r>
        <w:t>4.2 多重匯率體系的經濟影響</w:t>
      </w:r>
    </w:p>
    <w:p>
      <w:pPr>
        <w:spacing w:line="360" w:lineRule="auto"/>
      </w:pPr>
      <w:r>
        <w:t>費爾南德斯政府於 2020 年後採取多重匯率制度，以控制外匯流出並確保基本物資供應。官方匯率用於必需品與能源進口，而商業與金融市場匯率則浮動。此政策雖短期抑制進口物價上升，卻造成嚴重的價格扭曲與貿易效率下降。</w:t>
        <w:br/>
        <w:t>多重匯率導致出口企業透過非正式管道避稅與套利，削弱政府稅收與外匯儲備。黑市匯率相對官方價差一度達 120%，企業傾向囤積美元、推遲出口收款。此現象使官方外儲流失加劇，也削弱了貨幣政策的傳導機制。</w:t>
      </w:r>
    </w:p>
    <w:p>
      <w:pPr>
        <w:pStyle w:val="Heading2"/>
      </w:pPr>
      <w:r>
        <w:t>4.3 美元化的可行性評估與潛在風險</w:t>
      </w:r>
    </w:p>
    <w:p>
      <w:pPr>
        <w:spacing w:line="360" w:lineRule="auto"/>
      </w:pPr>
      <w:r>
        <w:t>米雷伊政府主張全面美元化作為通膨終結手段，但其可行性取決於三項關鍵條件：</w:t>
        <w:br/>
        <w:t>（一）足夠的外匯儲備。根據 2025 年上半年數據，阿根廷外儲約 450 億美元，而流通披索總額折合逾 600 億美元，若欲全面替換基礎貨幣，需額外籌措至少 150 億美元。</w:t>
        <w:br/>
        <w:t>（二）金融體系穩定性。美元化後，阿根廷央行將喪失最後貸款人職能，銀行體系流動性風險將上升。</w:t>
        <w:br/>
        <w:t>（三）社會與政治可行性。美元化將降低工資調整彈性與公共支出自主性，對低收入群體影響尤大。</w:t>
        <w:br/>
        <w:t>此外，若缺乏長期外資流入與出口擴張，阿根廷仍可能陷入「美元短缺—通縮—失業」的惡性循環。</w:t>
      </w:r>
    </w:p>
    <w:p>
      <w:pPr>
        <w:pStyle w:val="Heading2"/>
      </w:pPr>
      <w:r>
        <w:t>✳️ 第四章章末綜合評述</w:t>
      </w:r>
    </w:p>
    <w:p>
      <w:pPr>
        <w:spacing w:line="360" w:lineRule="auto"/>
      </w:pPr>
      <w:r>
        <w:t>美元化與多重匯率體系分別代表阿根廷兩種極端的政策選擇：前者追求貨幣穩定但犧牲主權，後者維持短期控制卻扭曲市場機制。阿根廷若要實現長期匯率穩定，應採取漸進的匯率整合策略，逐步放寬匯率區隔並建立可信的財政紀律。唯有在通膨明顯下降與外儲持續回升的基礎上，美元化才可能成為可行的最終路徑。</w:t>
      </w:r>
    </w:p>
    <w:p>
      <w:r>
        <w:br w:type="page"/>
      </w:r>
    </w:p>
    <w:p>
      <w:pPr>
        <w:pStyle w:val="Heading2"/>
      </w:pPr>
      <w:r>
        <w:t>表一　美元化案例比較（阿根廷 vs 厄瓜多 vs 薩爾瓦多）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國家</w:t>
            </w:r>
          </w:p>
        </w:tc>
        <w:tc>
          <w:tcPr>
            <w:tcW w:type="dxa" w:w="1728"/>
          </w:tcPr>
          <w:p>
            <w:r>
              <w:t>實施年份</w:t>
            </w:r>
          </w:p>
        </w:tc>
        <w:tc>
          <w:tcPr>
            <w:tcW w:type="dxa" w:w="1728"/>
          </w:tcPr>
          <w:p>
            <w:r>
              <w:t>外儲水準（億美元）</w:t>
            </w:r>
          </w:p>
        </w:tc>
        <w:tc>
          <w:tcPr>
            <w:tcW w:type="dxa" w:w="1728"/>
          </w:tcPr>
          <w:p>
            <w:r>
              <w:t>實施後首年通膨率（%）</w:t>
            </w:r>
          </w:p>
        </w:tc>
        <w:tc>
          <w:tcPr>
            <w:tcW w:type="dxa" w:w="1728"/>
          </w:tcPr>
          <w:p>
            <w:r>
              <w:t>主要經濟結果</w:t>
            </w:r>
          </w:p>
        </w:tc>
      </w:tr>
      <w:tr>
        <w:tc>
          <w:tcPr>
            <w:tcW w:type="dxa" w:w="1728"/>
          </w:tcPr>
          <w:p>
            <w:r>
              <w:t>厄瓜多</w:t>
            </w:r>
          </w:p>
        </w:tc>
        <w:tc>
          <w:tcPr>
            <w:tcW w:type="dxa" w:w="1728"/>
          </w:tcPr>
          <w:p>
            <w:r>
              <w:t>2000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96 → 37</w:t>
            </w:r>
          </w:p>
        </w:tc>
        <w:tc>
          <w:tcPr>
            <w:tcW w:type="dxa" w:w="1728"/>
          </w:tcPr>
          <w:p>
            <w:r>
              <w:t>穩定匯率、物價下降、增長回復</w:t>
            </w:r>
          </w:p>
        </w:tc>
      </w:tr>
      <w:tr>
        <w:tc>
          <w:tcPr>
            <w:tcW w:type="dxa" w:w="1728"/>
          </w:tcPr>
          <w:p>
            <w:r>
              <w:t>薩爾瓦多</w:t>
            </w:r>
          </w:p>
        </w:tc>
        <w:tc>
          <w:tcPr>
            <w:tcW w:type="dxa" w:w="1728"/>
          </w:tcPr>
          <w:p>
            <w:r>
              <w:t>2001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4.3 → 3.0</w:t>
            </w:r>
          </w:p>
        </w:tc>
        <w:tc>
          <w:tcPr>
            <w:tcW w:type="dxa" w:w="1728"/>
          </w:tcPr>
          <w:p>
            <w:r>
              <w:t>低通膨但增長停滯、出口競爭力下降</w:t>
            </w:r>
          </w:p>
        </w:tc>
      </w:tr>
      <w:tr>
        <w:tc>
          <w:tcPr>
            <w:tcW w:type="dxa" w:w="1728"/>
          </w:tcPr>
          <w:p>
            <w:r>
              <w:t>阿根廷（假設）</w:t>
            </w:r>
          </w:p>
        </w:tc>
        <w:tc>
          <w:tcPr>
            <w:tcW w:type="dxa" w:w="1728"/>
          </w:tcPr>
          <w:p>
            <w:r>
              <w:t>2025（提案）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142 → 30（預估）</w:t>
            </w:r>
          </w:p>
        </w:tc>
        <w:tc>
          <w:tcPr>
            <w:tcW w:type="dxa" w:w="1728"/>
          </w:tcPr>
          <w:p>
            <w:r>
              <w:t>短期穩定但主權與彈性喪失</w:t>
            </w:r>
          </w:p>
        </w:tc>
      </w:tr>
    </w:tbl>
    <w:p>
      <w:r>
        <w:br w:type="page"/>
      </w:r>
    </w:p>
    <w:p>
      <w:pPr>
        <w:pStyle w:val="Heading2"/>
      </w:pPr>
      <w:r>
        <w:t>表二　阿根廷多重匯率體系下的市場匯差與進出口比重（2020–2025）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官方匯率（披索／美元）</w:t>
            </w:r>
          </w:p>
        </w:tc>
        <w:tc>
          <w:tcPr>
            <w:tcW w:type="dxa" w:w="2160"/>
          </w:tcPr>
          <w:p>
            <w:r>
              <w:t>黑市匯率（披索／美元）</w:t>
            </w:r>
          </w:p>
        </w:tc>
        <w:tc>
          <w:tcPr>
            <w:tcW w:type="dxa" w:w="2160"/>
          </w:tcPr>
          <w:p>
            <w:r>
              <w:t>出口／進口比（%）</w:t>
            </w:r>
          </w:p>
        </w:tc>
      </w:tr>
      <w:tr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1.05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180</w:t>
            </w:r>
          </w:p>
        </w:tc>
        <w:tc>
          <w:tcPr>
            <w:tcW w:type="dxa" w:w="2160"/>
          </w:tcPr>
          <w:p>
            <w:r>
              <w:t>1.02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310</w:t>
            </w:r>
          </w:p>
        </w:tc>
        <w:tc>
          <w:tcPr>
            <w:tcW w:type="dxa" w:w="2160"/>
          </w:tcPr>
          <w:p>
            <w:r>
              <w:t>0.98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365</w:t>
            </w:r>
          </w:p>
        </w:tc>
        <w:tc>
          <w:tcPr>
            <w:tcW w:type="dxa" w:w="2160"/>
          </w:tcPr>
          <w:p>
            <w:r>
              <w:t>720</w:t>
            </w:r>
          </w:p>
        </w:tc>
        <w:tc>
          <w:tcPr>
            <w:tcW w:type="dxa" w:w="2160"/>
          </w:tcPr>
          <w:p>
            <w:r>
              <w:t>0.95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800</w:t>
            </w:r>
          </w:p>
        </w:tc>
        <w:tc>
          <w:tcPr>
            <w:tcW w:type="dxa" w:w="2160"/>
          </w:tcPr>
          <w:p>
            <w:r>
              <w:t>900</w:t>
            </w:r>
          </w:p>
        </w:tc>
        <w:tc>
          <w:tcPr>
            <w:tcW w:type="dxa" w:w="2160"/>
          </w:tcPr>
          <w:p>
            <w:r>
              <w:t>1.10</w:t>
            </w:r>
          </w:p>
        </w:tc>
      </w:tr>
      <w:tr>
        <w:tc>
          <w:tcPr>
            <w:tcW w:type="dxa" w:w="2160"/>
          </w:tcPr>
          <w:p>
            <w:r>
              <w:t>2025（上半年）</w:t>
            </w:r>
          </w:p>
        </w:tc>
        <w:tc>
          <w:tcPr>
            <w:tcW w:type="dxa" w:w="2160"/>
          </w:tcPr>
          <w:p>
            <w:r>
              <w:t>850</w:t>
            </w:r>
          </w:p>
        </w:tc>
        <w:tc>
          <w:tcPr>
            <w:tcW w:type="dxa" w:w="2160"/>
          </w:tcPr>
          <w:p>
            <w:r>
              <w:t>870</w:t>
            </w:r>
          </w:p>
        </w:tc>
        <w:tc>
          <w:tcPr>
            <w:tcW w:type="dxa" w:w="2160"/>
          </w:tcPr>
          <w:p>
            <w:r>
              <w:t>1.15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