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269D" w14:textId="5867054B" w:rsidR="00E60554" w:rsidRPr="00E33791" w:rsidRDefault="00622E71" w:rsidP="00E33791">
      <w:pPr>
        <w:spacing w:line="440" w:lineRule="exact"/>
        <w:contextualSpacing/>
        <w:jc w:val="center"/>
        <w:rPr>
          <w:rFonts w:ascii="Times New Roman" w:eastAsia="標楷體" w:hAnsi="Times New Roman"/>
          <w:b/>
          <w:bCs/>
          <w:sz w:val="28"/>
          <w:szCs w:val="28"/>
        </w:rPr>
      </w:pPr>
      <w:r w:rsidRPr="00E33791">
        <w:rPr>
          <w:rFonts w:ascii="Times New Roman" w:eastAsia="標楷體" w:hAnsi="Times New Roman" w:hint="eastAsia"/>
          <w:b/>
          <w:bCs/>
          <w:sz w:val="28"/>
          <w:szCs w:val="28"/>
        </w:rPr>
        <w:t>問卷描述性統計</w:t>
      </w:r>
    </w:p>
    <w:p w14:paraId="677E9DA5" w14:textId="0B133173" w:rsidR="00835EB4" w:rsidRPr="00E33791" w:rsidRDefault="00835EB4" w:rsidP="00276D9D">
      <w:pPr>
        <w:pStyle w:val="a9"/>
        <w:widowControl/>
        <w:numPr>
          <w:ilvl w:val="0"/>
          <w:numId w:val="1"/>
        </w:numPr>
        <w:spacing w:beforeLines="50" w:before="180" w:afterLines="50" w:after="180" w:line="440" w:lineRule="exact"/>
        <w:jc w:val="both"/>
        <w:outlineLvl w:val="3"/>
        <w:rPr>
          <w:rFonts w:ascii="Times New Roman" w:eastAsia="標楷體" w:hAnsi="Times New Roman"/>
          <w:b/>
          <w:bCs/>
          <w:color w:val="7030A0"/>
          <w:sz w:val="28"/>
        </w:rPr>
      </w:pPr>
      <w:r w:rsidRPr="00E33791">
        <w:rPr>
          <w:rFonts w:ascii="Times New Roman" w:eastAsia="標楷體" w:hAnsi="Times New Roman" w:hint="eastAsia"/>
          <w:b/>
          <w:bCs/>
          <w:color w:val="7030A0"/>
          <w:sz w:val="28"/>
        </w:rPr>
        <w:t>問卷分析</w:t>
      </w:r>
    </w:p>
    <w:p w14:paraId="769C0A24" w14:textId="797E5319" w:rsidR="00ED7AE3" w:rsidRPr="00C73390" w:rsidRDefault="00ED7AE3" w:rsidP="00276D9D">
      <w:pPr>
        <w:spacing w:line="440" w:lineRule="exact"/>
        <w:ind w:firstLineChars="200" w:firstLine="560"/>
        <w:contextualSpacing/>
        <w:jc w:val="both"/>
        <w:rPr>
          <w:rFonts w:ascii="Times New Roman" w:eastAsia="標楷體" w:hAnsi="Times New Roman"/>
          <w:sz w:val="28"/>
        </w:rPr>
      </w:pPr>
      <w:r w:rsidRPr="00ED7AE3">
        <w:rPr>
          <w:rFonts w:ascii="Times New Roman" w:eastAsia="標楷體" w:hAnsi="Times New Roman" w:hint="eastAsia"/>
          <w:sz w:val="28"/>
        </w:rPr>
        <w:t>本</w:t>
      </w:r>
      <w:r w:rsidR="00750C07">
        <w:rPr>
          <w:rFonts w:ascii="Times New Roman" w:eastAsia="標楷體" w:hAnsi="Times New Roman" w:hint="eastAsia"/>
          <w:sz w:val="28"/>
        </w:rPr>
        <w:t>計畫</w:t>
      </w:r>
      <w:r w:rsidRPr="00ED7AE3">
        <w:rPr>
          <w:rFonts w:ascii="Times New Roman" w:eastAsia="標楷體" w:hAnsi="Times New Roman" w:hint="eastAsia"/>
          <w:sz w:val="28"/>
        </w:rPr>
        <w:t>旨在深入探討未上市（櫃）公司在公司治理方面的現況，調查範圍涵蓋未上市（櫃）公司及其投資人，涉及多個產業領域與三個不同發展階段。透過多元且豐富的基礎資料，期望為不同階段的未上市（櫃）公司在公司治理方面提供具體洞察與實務建議。</w:t>
      </w:r>
    </w:p>
    <w:p w14:paraId="39FF17F5" w14:textId="3E3643FA" w:rsidR="00622E71" w:rsidRPr="0008198A" w:rsidRDefault="00FB168C" w:rsidP="00276D9D">
      <w:pPr>
        <w:pStyle w:val="a9"/>
        <w:numPr>
          <w:ilvl w:val="0"/>
          <w:numId w:val="2"/>
        </w:numPr>
        <w:spacing w:line="440" w:lineRule="exact"/>
        <w:jc w:val="both"/>
        <w:rPr>
          <w:rFonts w:ascii="Times New Roman" w:eastAsia="標楷體" w:hAnsi="Times New Roman"/>
          <w:b/>
          <w:bCs/>
          <w:sz w:val="28"/>
        </w:rPr>
      </w:pPr>
      <w:r w:rsidRPr="0008198A">
        <w:rPr>
          <w:rFonts w:ascii="Times New Roman" w:eastAsia="標楷體" w:hAnsi="Times New Roman" w:hint="eastAsia"/>
          <w:b/>
          <w:bCs/>
          <w:sz w:val="28"/>
        </w:rPr>
        <w:t>樣本介紹</w:t>
      </w:r>
    </w:p>
    <w:p w14:paraId="17FCA0DE" w14:textId="3930C74B" w:rsidR="00C73390" w:rsidRDefault="005155A2" w:rsidP="00276D9D">
      <w:pPr>
        <w:spacing w:line="440" w:lineRule="exact"/>
        <w:ind w:firstLineChars="200" w:firstLine="560"/>
        <w:contextualSpacing/>
        <w:jc w:val="both"/>
        <w:rPr>
          <w:rFonts w:ascii="Times New Roman" w:eastAsia="標楷體" w:hAnsi="Times New Roman"/>
          <w:sz w:val="28"/>
        </w:rPr>
      </w:pPr>
      <w:r w:rsidRPr="005155A2">
        <w:rPr>
          <w:rFonts w:ascii="Times New Roman" w:eastAsia="標楷體" w:hAnsi="Times New Roman" w:hint="eastAsia"/>
          <w:sz w:val="28"/>
        </w:rPr>
        <w:t>本</w:t>
      </w:r>
      <w:r w:rsidR="00750C07">
        <w:rPr>
          <w:rFonts w:ascii="Times New Roman" w:eastAsia="標楷體" w:hAnsi="Times New Roman" w:hint="eastAsia"/>
          <w:sz w:val="28"/>
        </w:rPr>
        <w:t>計畫</w:t>
      </w:r>
      <w:r w:rsidRPr="005155A2">
        <w:rPr>
          <w:rFonts w:ascii="Times New Roman" w:eastAsia="標楷體" w:hAnsi="Times New Roman" w:hint="eastAsia"/>
          <w:sz w:val="28"/>
        </w:rPr>
        <w:t>樣本主要來自於</w:t>
      </w:r>
      <w:r>
        <w:rPr>
          <w:rFonts w:ascii="Times New Roman" w:eastAsia="標楷體" w:hAnsi="Times New Roman" w:hint="eastAsia"/>
          <w:sz w:val="28"/>
        </w:rPr>
        <w:t>臺</w:t>
      </w:r>
      <w:r w:rsidRPr="005155A2">
        <w:rPr>
          <w:rFonts w:ascii="Times New Roman" w:eastAsia="標楷體" w:hAnsi="Times New Roman" w:hint="eastAsia"/>
          <w:sz w:val="28"/>
        </w:rPr>
        <w:t>灣</w:t>
      </w:r>
      <w:r w:rsidR="0008198A" w:rsidRPr="00C73390">
        <w:rPr>
          <w:rFonts w:ascii="Times New Roman" w:eastAsia="標楷體" w:hAnsi="Times New Roman" w:hint="eastAsia"/>
          <w:sz w:val="28"/>
        </w:rPr>
        <w:t>未上市（櫃）公司</w:t>
      </w:r>
      <w:r w:rsidRPr="005155A2">
        <w:rPr>
          <w:rFonts w:ascii="Times New Roman" w:eastAsia="標楷體" w:hAnsi="Times New Roman" w:hint="eastAsia"/>
          <w:sz w:val="28"/>
        </w:rPr>
        <w:t>及投資機構，樣本選取標準如下：</w:t>
      </w:r>
    </w:p>
    <w:p w14:paraId="43B34C03" w14:textId="6094A447" w:rsidR="008E037C" w:rsidRPr="008E037C" w:rsidRDefault="0008198A" w:rsidP="00276D9D">
      <w:pPr>
        <w:pStyle w:val="a9"/>
        <w:numPr>
          <w:ilvl w:val="0"/>
          <w:numId w:val="3"/>
        </w:numPr>
        <w:spacing w:line="440" w:lineRule="exact"/>
        <w:jc w:val="both"/>
        <w:rPr>
          <w:rFonts w:ascii="Times New Roman" w:eastAsia="標楷體" w:hAnsi="Times New Roman"/>
          <w:sz w:val="28"/>
        </w:rPr>
      </w:pPr>
      <w:r w:rsidRPr="00C73390">
        <w:rPr>
          <w:rFonts w:ascii="Times New Roman" w:eastAsia="標楷體" w:hAnsi="Times New Roman" w:hint="eastAsia"/>
          <w:sz w:val="28"/>
        </w:rPr>
        <w:t>未上市（櫃）公司</w:t>
      </w:r>
    </w:p>
    <w:p w14:paraId="5DBF1D1E" w14:textId="5AFB6DD1" w:rsidR="008E037C" w:rsidRPr="00D7284D" w:rsidRDefault="00750C07" w:rsidP="00F435FF">
      <w:pPr>
        <w:spacing w:line="440" w:lineRule="exact"/>
        <w:ind w:firstLineChars="200" w:firstLine="560"/>
        <w:contextualSpacing/>
        <w:jc w:val="both"/>
        <w:rPr>
          <w:rFonts w:ascii="Times New Roman" w:eastAsia="標楷體" w:hAnsi="Times New Roman"/>
          <w:sz w:val="28"/>
        </w:rPr>
      </w:pPr>
      <w:r>
        <w:rPr>
          <w:rFonts w:ascii="Times New Roman" w:eastAsia="標楷體" w:hAnsi="Times New Roman" w:hint="eastAsia"/>
          <w:sz w:val="28"/>
        </w:rPr>
        <w:t>本計畫</w:t>
      </w:r>
      <w:r w:rsidR="00F435FF" w:rsidRPr="00F435FF">
        <w:rPr>
          <w:rFonts w:ascii="Times New Roman" w:eastAsia="標楷體" w:hAnsi="Times New Roman" w:hint="eastAsia"/>
          <w:sz w:val="28"/>
        </w:rPr>
        <w:t>根據國發基金投資方案的階段別差異，樣本公司依投資階段分為三類：</w:t>
      </w:r>
      <w:r w:rsidR="00661BD6">
        <w:rPr>
          <w:rFonts w:ascii="Times New Roman" w:eastAsia="標楷體" w:hAnsi="Times New Roman" w:hint="eastAsia"/>
          <w:sz w:val="28"/>
        </w:rPr>
        <w:t>第一階段選擇</w:t>
      </w:r>
      <w:r w:rsidR="00A57F12" w:rsidRPr="00A57F12">
        <w:rPr>
          <w:rFonts w:ascii="Times New Roman" w:eastAsia="標楷體" w:hAnsi="Times New Roman" w:hint="eastAsia"/>
          <w:sz w:val="28"/>
        </w:rPr>
        <w:t>創業天使投資方案</w:t>
      </w:r>
      <w:r w:rsidR="00661BD6">
        <w:rPr>
          <w:rFonts w:ascii="Times New Roman" w:eastAsia="標楷體" w:hAnsi="Times New Roman" w:hint="eastAsia"/>
          <w:sz w:val="28"/>
        </w:rPr>
        <w:t>；第二階</w:t>
      </w:r>
      <w:r w:rsidR="001D1B66">
        <w:rPr>
          <w:rFonts w:ascii="Times New Roman" w:eastAsia="標楷體" w:hAnsi="Times New Roman" w:hint="eastAsia"/>
          <w:sz w:val="28"/>
        </w:rPr>
        <w:t>選擇</w:t>
      </w:r>
      <w:r w:rsidR="00216B79" w:rsidRPr="00216B79">
        <w:rPr>
          <w:rFonts w:ascii="Times New Roman" w:eastAsia="標楷體" w:hAnsi="Times New Roman" w:hint="eastAsia"/>
          <w:sz w:val="28"/>
        </w:rPr>
        <w:t>加強投資中小企業實施方案</w:t>
      </w:r>
      <w:r w:rsidR="00216B79">
        <w:rPr>
          <w:rFonts w:ascii="Times New Roman" w:eastAsia="標楷體" w:hAnsi="Times New Roman" w:hint="eastAsia"/>
          <w:sz w:val="28"/>
        </w:rPr>
        <w:t>、</w:t>
      </w:r>
      <w:r w:rsidR="00216B79" w:rsidRPr="00216B79">
        <w:rPr>
          <w:rFonts w:ascii="Times New Roman" w:eastAsia="標楷體" w:hAnsi="Times New Roman" w:hint="eastAsia"/>
          <w:sz w:val="28"/>
        </w:rPr>
        <w:t>加強投資策略性服務業實施方案</w:t>
      </w:r>
      <w:r w:rsidR="00216B79">
        <w:rPr>
          <w:rFonts w:ascii="Times New Roman" w:eastAsia="標楷體" w:hAnsi="Times New Roman" w:hint="eastAsia"/>
          <w:sz w:val="28"/>
        </w:rPr>
        <w:t>、</w:t>
      </w:r>
      <w:r w:rsidR="00216B79" w:rsidRPr="00216B79">
        <w:rPr>
          <w:rFonts w:ascii="Times New Roman" w:eastAsia="標楷體" w:hAnsi="Times New Roman" w:hint="eastAsia"/>
          <w:sz w:val="28"/>
        </w:rPr>
        <w:t>加強投資策略性製造業實施方案</w:t>
      </w:r>
      <w:r w:rsidR="00216B79">
        <w:rPr>
          <w:rFonts w:ascii="Times New Roman" w:eastAsia="標楷體" w:hAnsi="Times New Roman" w:hint="eastAsia"/>
          <w:sz w:val="28"/>
        </w:rPr>
        <w:t>、</w:t>
      </w:r>
      <w:r w:rsidR="00216B79" w:rsidRPr="00216B79">
        <w:rPr>
          <w:rFonts w:ascii="Times New Roman" w:eastAsia="標楷體" w:hAnsi="Times New Roman" w:hint="eastAsia"/>
          <w:sz w:val="28"/>
        </w:rPr>
        <w:t>加強投資文化創意產業實施方案</w:t>
      </w:r>
      <w:r w:rsidR="001D1B66">
        <w:rPr>
          <w:rFonts w:ascii="Times New Roman" w:eastAsia="標楷體" w:hAnsi="Times New Roman" w:hint="eastAsia"/>
          <w:sz w:val="28"/>
        </w:rPr>
        <w:t>；第三階段則選擇直接投資方案</w:t>
      </w:r>
      <w:r w:rsidR="00216B79">
        <w:rPr>
          <w:rFonts w:ascii="Times New Roman" w:eastAsia="標楷體" w:hAnsi="Times New Roman" w:hint="eastAsia"/>
          <w:sz w:val="28"/>
        </w:rPr>
        <w:t>之</w:t>
      </w:r>
      <w:r w:rsidR="00216B79" w:rsidRPr="00C73390">
        <w:rPr>
          <w:rFonts w:ascii="Times New Roman" w:eastAsia="標楷體" w:hAnsi="Times New Roman" w:hint="eastAsia"/>
          <w:sz w:val="28"/>
        </w:rPr>
        <w:t>未上市（櫃）公司</w:t>
      </w:r>
      <w:r w:rsidR="001D1B66">
        <w:rPr>
          <w:rFonts w:ascii="Times New Roman" w:eastAsia="標楷體" w:hAnsi="Times New Roman" w:hint="eastAsia"/>
          <w:sz w:val="28"/>
        </w:rPr>
        <w:t>。除此之外，本計畫亦挑選</w:t>
      </w:r>
      <w:r w:rsidR="00216B79" w:rsidRPr="00216B79">
        <w:rPr>
          <w:rFonts w:ascii="Times New Roman" w:eastAsia="標楷體" w:hAnsi="Times New Roman" w:hint="eastAsia"/>
          <w:sz w:val="28"/>
        </w:rPr>
        <w:t>具有創新性</w:t>
      </w:r>
      <w:r w:rsidR="00216B79">
        <w:rPr>
          <w:rFonts w:ascii="Times New Roman" w:eastAsia="標楷體" w:hAnsi="Times New Roman" w:hint="eastAsia"/>
          <w:sz w:val="28"/>
        </w:rPr>
        <w:t>及</w:t>
      </w:r>
      <w:r w:rsidR="00216B79" w:rsidRPr="00216B79">
        <w:rPr>
          <w:rFonts w:ascii="Times New Roman" w:eastAsia="標楷體" w:hAnsi="Times New Roman" w:hint="eastAsia"/>
          <w:sz w:val="28"/>
        </w:rPr>
        <w:t>成長潛力的</w:t>
      </w:r>
      <w:r w:rsidR="00216B79" w:rsidRPr="00C73390">
        <w:rPr>
          <w:rFonts w:ascii="Times New Roman" w:eastAsia="標楷體" w:hAnsi="Times New Roman" w:hint="eastAsia"/>
          <w:sz w:val="28"/>
        </w:rPr>
        <w:t>未上市（櫃）公司</w:t>
      </w:r>
      <w:r w:rsidR="00D7284D">
        <w:rPr>
          <w:rFonts w:ascii="Times New Roman" w:eastAsia="標楷體" w:hAnsi="Times New Roman" w:hint="eastAsia"/>
          <w:sz w:val="28"/>
        </w:rPr>
        <w:t>，</w:t>
      </w:r>
      <w:r w:rsidR="00D7284D" w:rsidRPr="00D7284D">
        <w:rPr>
          <w:rFonts w:ascii="Times New Roman" w:eastAsia="標楷體" w:hAnsi="Times New Roman" w:hint="eastAsia"/>
          <w:sz w:val="28"/>
        </w:rPr>
        <w:t>涵蓋</w:t>
      </w:r>
      <w:r w:rsidR="00312B7A">
        <w:rPr>
          <w:rFonts w:ascii="Times New Roman" w:eastAsia="標楷體" w:hAnsi="Times New Roman" w:hint="eastAsia"/>
          <w:sz w:val="28"/>
        </w:rPr>
        <w:t>半導體</w:t>
      </w:r>
      <w:r w:rsidR="00D7284D" w:rsidRPr="00D7284D">
        <w:rPr>
          <w:rFonts w:ascii="Times New Roman" w:eastAsia="標楷體" w:hAnsi="Times New Roman" w:hint="eastAsia"/>
          <w:sz w:val="28"/>
        </w:rPr>
        <w:t>、</w:t>
      </w:r>
      <w:r w:rsidR="00312B7A">
        <w:rPr>
          <w:rFonts w:ascii="Times New Roman" w:eastAsia="標楷體" w:hAnsi="Times New Roman" w:hint="eastAsia"/>
          <w:sz w:val="28"/>
        </w:rPr>
        <w:t>人工智慧、通訊、電</w:t>
      </w:r>
      <w:r w:rsidR="00B04866">
        <w:rPr>
          <w:rFonts w:ascii="Times New Roman" w:eastAsia="標楷體" w:hAnsi="Times New Roman" w:hint="eastAsia"/>
          <w:sz w:val="28"/>
        </w:rPr>
        <w:t>子</w:t>
      </w:r>
      <w:r w:rsidR="00312B7A">
        <w:rPr>
          <w:rFonts w:ascii="Times New Roman" w:eastAsia="標楷體" w:hAnsi="Times New Roman" w:hint="eastAsia"/>
          <w:sz w:val="28"/>
        </w:rPr>
        <w:t>商</w:t>
      </w:r>
      <w:r w:rsidR="00B04866">
        <w:rPr>
          <w:rFonts w:ascii="Times New Roman" w:eastAsia="標楷體" w:hAnsi="Times New Roman" w:hint="eastAsia"/>
          <w:sz w:val="28"/>
        </w:rPr>
        <w:t>務</w:t>
      </w:r>
      <w:r w:rsidR="00312B7A">
        <w:rPr>
          <w:rFonts w:ascii="Times New Roman" w:eastAsia="標楷體" w:hAnsi="Times New Roman" w:hint="eastAsia"/>
          <w:sz w:val="28"/>
        </w:rPr>
        <w:t>、生技、</w:t>
      </w:r>
      <w:r w:rsidR="00B04866">
        <w:rPr>
          <w:rFonts w:ascii="Times New Roman" w:eastAsia="標楷體" w:hAnsi="Times New Roman" w:hint="eastAsia"/>
          <w:sz w:val="28"/>
        </w:rPr>
        <w:t>與機械製造</w:t>
      </w:r>
      <w:r w:rsidR="00D7284D" w:rsidRPr="00D7284D">
        <w:rPr>
          <w:rFonts w:ascii="Times New Roman" w:eastAsia="標楷體" w:hAnsi="Times New Roman" w:hint="eastAsia"/>
          <w:sz w:val="28"/>
        </w:rPr>
        <w:t>等多元產業</w:t>
      </w:r>
      <w:r w:rsidR="00D7284D">
        <w:rPr>
          <w:rFonts w:ascii="Times New Roman" w:eastAsia="標楷體" w:hAnsi="Times New Roman" w:hint="eastAsia"/>
          <w:sz w:val="28"/>
        </w:rPr>
        <w:t>。</w:t>
      </w:r>
    </w:p>
    <w:p w14:paraId="34D1FE7E" w14:textId="7E84A7F0" w:rsidR="0008198A" w:rsidRPr="0008198A" w:rsidRDefault="0008198A" w:rsidP="00276D9D">
      <w:pPr>
        <w:pStyle w:val="a9"/>
        <w:numPr>
          <w:ilvl w:val="0"/>
          <w:numId w:val="3"/>
        </w:numPr>
        <w:spacing w:line="440" w:lineRule="exact"/>
        <w:jc w:val="both"/>
        <w:rPr>
          <w:rFonts w:ascii="Times New Roman" w:eastAsia="標楷體" w:hAnsi="Times New Roman"/>
          <w:sz w:val="28"/>
        </w:rPr>
      </w:pPr>
      <w:r>
        <w:rPr>
          <w:rFonts w:ascii="Times New Roman" w:eastAsia="標楷體" w:hAnsi="Times New Roman" w:hint="eastAsia"/>
          <w:sz w:val="28"/>
        </w:rPr>
        <w:t>投資人</w:t>
      </w:r>
    </w:p>
    <w:p w14:paraId="0E5742B0" w14:textId="706CA294" w:rsidR="00761251" w:rsidRPr="00750C07" w:rsidRDefault="00750C07" w:rsidP="00750C07">
      <w:pPr>
        <w:spacing w:line="440" w:lineRule="exact"/>
        <w:ind w:firstLineChars="200" w:firstLine="560"/>
        <w:contextualSpacing/>
        <w:jc w:val="both"/>
        <w:rPr>
          <w:rFonts w:ascii="Times New Roman" w:eastAsia="標楷體" w:hAnsi="Times New Roman"/>
          <w:sz w:val="28"/>
        </w:rPr>
      </w:pPr>
      <w:r>
        <w:rPr>
          <w:rFonts w:ascii="Times New Roman" w:eastAsia="標楷體" w:hAnsi="Times New Roman" w:hint="eastAsia"/>
          <w:sz w:val="28"/>
        </w:rPr>
        <w:t>本計畫</w:t>
      </w:r>
      <w:r w:rsidRPr="00750C07">
        <w:rPr>
          <w:rFonts w:ascii="Times New Roman" w:eastAsia="標楷體" w:hAnsi="Times New Roman" w:hint="eastAsia"/>
          <w:sz w:val="28"/>
        </w:rPr>
        <w:t>根據投資人所投資的未上市（櫃）公司發展階段，</w:t>
      </w:r>
      <w:r>
        <w:rPr>
          <w:rFonts w:ascii="Times New Roman" w:eastAsia="標楷體" w:hAnsi="Times New Roman" w:hint="eastAsia"/>
          <w:sz w:val="28"/>
        </w:rPr>
        <w:t>同樣</w:t>
      </w:r>
      <w:r w:rsidRPr="00750C07">
        <w:rPr>
          <w:rFonts w:ascii="Times New Roman" w:eastAsia="標楷體" w:hAnsi="Times New Roman" w:hint="eastAsia"/>
          <w:sz w:val="28"/>
        </w:rPr>
        <w:t>設計</w:t>
      </w:r>
      <w:proofErr w:type="gramStart"/>
      <w:r w:rsidRPr="00750C07">
        <w:rPr>
          <w:rFonts w:ascii="Times New Roman" w:eastAsia="標楷體" w:hAnsi="Times New Roman" w:hint="eastAsia"/>
          <w:sz w:val="28"/>
        </w:rPr>
        <w:t>三</w:t>
      </w:r>
      <w:proofErr w:type="gramEnd"/>
      <w:r w:rsidRPr="00750C07">
        <w:rPr>
          <w:rFonts w:ascii="Times New Roman" w:eastAsia="標楷體" w:hAnsi="Times New Roman" w:hint="eastAsia"/>
          <w:sz w:val="28"/>
        </w:rPr>
        <w:t>階段的問卷進行填答。參與的投資人背景涵蓋國內外知名創投公司與企業創投（</w:t>
      </w:r>
      <w:r w:rsidRPr="00750C07">
        <w:rPr>
          <w:rFonts w:ascii="Times New Roman" w:eastAsia="標楷體" w:hAnsi="Times New Roman" w:hint="eastAsia"/>
          <w:sz w:val="28"/>
        </w:rPr>
        <w:t>Corporate Venture Capital, CVC</w:t>
      </w:r>
      <w:r w:rsidRPr="00750C07">
        <w:rPr>
          <w:rFonts w:ascii="Times New Roman" w:eastAsia="標楷體" w:hAnsi="Times New Roman" w:hint="eastAsia"/>
          <w:sz w:val="28"/>
        </w:rPr>
        <w:t>）。其中，多數創投機構專注於第一階段與第二階段的未上市（櫃）公司投資，而企業創投則主要聚焦於第三階段的投資標的。</w:t>
      </w:r>
    </w:p>
    <w:p w14:paraId="6CCAD5F6" w14:textId="02228E91" w:rsidR="00761251" w:rsidRPr="0008198A" w:rsidRDefault="00761251" w:rsidP="00761251">
      <w:pPr>
        <w:pStyle w:val="a9"/>
        <w:numPr>
          <w:ilvl w:val="0"/>
          <w:numId w:val="2"/>
        </w:numPr>
        <w:spacing w:line="440" w:lineRule="exact"/>
        <w:jc w:val="both"/>
        <w:rPr>
          <w:rFonts w:ascii="Times New Roman" w:eastAsia="標楷體" w:hAnsi="Times New Roman"/>
          <w:b/>
          <w:bCs/>
          <w:sz w:val="28"/>
        </w:rPr>
      </w:pPr>
      <w:r w:rsidRPr="0008198A">
        <w:rPr>
          <w:rFonts w:ascii="Times New Roman" w:eastAsia="標楷體" w:hAnsi="Times New Roman" w:hint="eastAsia"/>
          <w:b/>
          <w:bCs/>
          <w:sz w:val="28"/>
        </w:rPr>
        <w:t>樣本</w:t>
      </w:r>
      <w:r>
        <w:rPr>
          <w:rFonts w:ascii="Times New Roman" w:eastAsia="標楷體" w:hAnsi="Times New Roman" w:hint="eastAsia"/>
          <w:b/>
          <w:bCs/>
          <w:sz w:val="28"/>
        </w:rPr>
        <w:t>限制</w:t>
      </w:r>
    </w:p>
    <w:p w14:paraId="4DEA303F" w14:textId="45C92209" w:rsidR="008702B3" w:rsidRDefault="008702B3" w:rsidP="008702B3">
      <w:pPr>
        <w:spacing w:line="440" w:lineRule="exact"/>
        <w:ind w:firstLineChars="200" w:firstLine="560"/>
        <w:contextualSpacing/>
        <w:jc w:val="both"/>
        <w:rPr>
          <w:rFonts w:ascii="Times New Roman" w:eastAsia="標楷體" w:hAnsi="Times New Roman"/>
          <w:sz w:val="28"/>
        </w:rPr>
      </w:pPr>
      <w:r w:rsidRPr="008702B3">
        <w:rPr>
          <w:rFonts w:ascii="Times New Roman" w:eastAsia="標楷體" w:hAnsi="Times New Roman" w:hint="eastAsia"/>
          <w:sz w:val="28"/>
        </w:rPr>
        <w:t>由於資料來源主要集中於</w:t>
      </w:r>
      <w:r>
        <w:rPr>
          <w:rFonts w:ascii="Times New Roman" w:eastAsia="標楷體" w:hAnsi="Times New Roman" w:hint="eastAsia"/>
          <w:sz w:val="28"/>
        </w:rPr>
        <w:t>臺</w:t>
      </w:r>
      <w:r w:rsidRPr="008702B3">
        <w:rPr>
          <w:rFonts w:ascii="Times New Roman" w:eastAsia="標楷體" w:hAnsi="Times New Roman" w:hint="eastAsia"/>
          <w:sz w:val="28"/>
        </w:rPr>
        <w:t>灣，</w:t>
      </w:r>
      <w:r w:rsidR="00312B7A">
        <w:rPr>
          <w:rFonts w:ascii="Times New Roman" w:eastAsia="標楷體" w:hAnsi="Times New Roman" w:hint="eastAsia"/>
          <w:sz w:val="28"/>
        </w:rPr>
        <w:t>因此</w:t>
      </w:r>
      <w:r w:rsidRPr="008702B3">
        <w:rPr>
          <w:rFonts w:ascii="Times New Roman" w:eastAsia="標楷體" w:hAnsi="Times New Roman" w:hint="eastAsia"/>
          <w:sz w:val="28"/>
        </w:rPr>
        <w:t>可能無法全面代表其他地區的未上市</w:t>
      </w:r>
      <w:r w:rsidRPr="00C73390">
        <w:rPr>
          <w:rFonts w:ascii="Times New Roman" w:eastAsia="標楷體" w:hAnsi="Times New Roman" w:hint="eastAsia"/>
          <w:sz w:val="28"/>
        </w:rPr>
        <w:t>（櫃）</w:t>
      </w:r>
      <w:r w:rsidRPr="008702B3">
        <w:rPr>
          <w:rFonts w:ascii="Times New Roman" w:eastAsia="標楷體" w:hAnsi="Times New Roman" w:hint="eastAsia"/>
          <w:sz w:val="28"/>
        </w:rPr>
        <w:t>公司與投資人特徵</w:t>
      </w:r>
      <w:r>
        <w:rPr>
          <w:rFonts w:ascii="Times New Roman" w:eastAsia="標楷體" w:hAnsi="Times New Roman" w:hint="eastAsia"/>
          <w:sz w:val="28"/>
        </w:rPr>
        <w:t>，</w:t>
      </w:r>
      <w:r w:rsidR="00312B7A" w:rsidRPr="00312B7A">
        <w:rPr>
          <w:rFonts w:ascii="Times New Roman" w:eastAsia="標楷體" w:hAnsi="Times New Roman" w:hint="eastAsia"/>
          <w:sz w:val="28"/>
        </w:rPr>
        <w:t>存在一定的</w:t>
      </w:r>
      <w:proofErr w:type="gramStart"/>
      <w:r w:rsidR="00312B7A" w:rsidRPr="00312B7A">
        <w:rPr>
          <w:rFonts w:ascii="Times New Roman" w:eastAsia="標楷體" w:hAnsi="Times New Roman" w:hint="eastAsia"/>
          <w:sz w:val="28"/>
        </w:rPr>
        <w:t>樣本偏誤</w:t>
      </w:r>
      <w:proofErr w:type="gramEnd"/>
      <w:r w:rsidRPr="008702B3">
        <w:rPr>
          <w:rFonts w:ascii="Times New Roman" w:eastAsia="標楷體" w:hAnsi="Times New Roman" w:hint="eastAsia"/>
          <w:sz w:val="28"/>
        </w:rPr>
        <w:t>。</w:t>
      </w:r>
    </w:p>
    <w:p w14:paraId="72DC7C86" w14:textId="3C351B09" w:rsidR="008702B3" w:rsidRPr="00276D9D" w:rsidRDefault="008702B3" w:rsidP="00F21211">
      <w:pPr>
        <w:spacing w:line="440" w:lineRule="exact"/>
        <w:contextualSpacing/>
        <w:jc w:val="both"/>
        <w:rPr>
          <w:rFonts w:ascii="Times New Roman" w:eastAsia="標楷體" w:hAnsi="Times New Roman"/>
          <w:sz w:val="28"/>
        </w:rPr>
      </w:pPr>
    </w:p>
    <w:p w14:paraId="5AEE5E17" w14:textId="056D611F" w:rsidR="00FB168C" w:rsidRPr="0008198A" w:rsidRDefault="00FB168C" w:rsidP="00276D9D">
      <w:pPr>
        <w:pStyle w:val="a9"/>
        <w:numPr>
          <w:ilvl w:val="0"/>
          <w:numId w:val="2"/>
        </w:numPr>
        <w:spacing w:line="440" w:lineRule="exact"/>
        <w:jc w:val="both"/>
        <w:rPr>
          <w:rFonts w:ascii="Times New Roman" w:eastAsia="標楷體" w:hAnsi="Times New Roman"/>
          <w:b/>
          <w:bCs/>
          <w:sz w:val="28"/>
        </w:rPr>
      </w:pPr>
      <w:r w:rsidRPr="0008198A">
        <w:rPr>
          <w:rFonts w:ascii="Times New Roman" w:eastAsia="標楷體" w:hAnsi="Times New Roman" w:hint="eastAsia"/>
          <w:b/>
          <w:bCs/>
          <w:sz w:val="28"/>
        </w:rPr>
        <w:lastRenderedPageBreak/>
        <w:t>統計</w:t>
      </w:r>
      <w:r w:rsidR="00F21211">
        <w:rPr>
          <w:rFonts w:ascii="Times New Roman" w:eastAsia="標楷體" w:hAnsi="Times New Roman" w:hint="eastAsia"/>
          <w:b/>
          <w:bCs/>
          <w:sz w:val="28"/>
        </w:rPr>
        <w:t>分析</w:t>
      </w:r>
    </w:p>
    <w:p w14:paraId="73027234" w14:textId="583C322D" w:rsidR="00266F18" w:rsidRPr="00266F18" w:rsidRDefault="00266F18" w:rsidP="00276D9D">
      <w:pPr>
        <w:spacing w:line="440" w:lineRule="exact"/>
        <w:contextualSpacing/>
        <w:jc w:val="both"/>
        <w:rPr>
          <w:rFonts w:ascii="Times New Roman" w:eastAsia="標楷體" w:hAnsi="Times New Roman"/>
          <w:sz w:val="28"/>
        </w:rPr>
      </w:pPr>
      <w:r w:rsidRPr="00266F18">
        <w:rPr>
          <w:rFonts w:ascii="Times New Roman" w:eastAsia="標楷體" w:hAnsi="Times New Roman"/>
          <w:sz w:val="28"/>
        </w:rPr>
        <w:t>本</w:t>
      </w:r>
      <w:r>
        <w:rPr>
          <w:rFonts w:ascii="Times New Roman" w:eastAsia="標楷體" w:hAnsi="Times New Roman" w:hint="eastAsia"/>
          <w:sz w:val="28"/>
        </w:rPr>
        <w:t>研究問卷</w:t>
      </w:r>
      <w:r w:rsidRPr="00266F18">
        <w:rPr>
          <w:rFonts w:ascii="Times New Roman" w:eastAsia="標楷體" w:hAnsi="Times New Roman"/>
          <w:sz w:val="28"/>
        </w:rPr>
        <w:t>共蒐集樣本</w:t>
      </w:r>
      <w:r w:rsidRPr="00266F18">
        <w:rPr>
          <w:rFonts w:ascii="Times New Roman" w:eastAsia="標楷體" w:hAnsi="Times New Roman"/>
          <w:sz w:val="28"/>
        </w:rPr>
        <w:t xml:space="preserve"> 40 </w:t>
      </w:r>
      <w:r w:rsidRPr="00266F18">
        <w:rPr>
          <w:rFonts w:ascii="Times New Roman" w:eastAsia="標楷體" w:hAnsi="Times New Roman"/>
          <w:sz w:val="28"/>
        </w:rPr>
        <w:t>份</w:t>
      </w:r>
      <w:r>
        <w:rPr>
          <w:rFonts w:ascii="Times New Roman" w:eastAsia="標楷體" w:hAnsi="Times New Roman" w:hint="eastAsia"/>
          <w:sz w:val="28"/>
        </w:rPr>
        <w:t>，</w:t>
      </w:r>
      <w:r w:rsidRPr="00266F18">
        <w:rPr>
          <w:rFonts w:ascii="Times New Roman" w:eastAsia="標楷體" w:hAnsi="Times New Roman"/>
          <w:sz w:val="28"/>
        </w:rPr>
        <w:t>樣本共分為兩類</w:t>
      </w:r>
    </w:p>
    <w:p w14:paraId="4EB17DEA" w14:textId="5F06A795" w:rsidR="00FB168C" w:rsidRDefault="00266F18" w:rsidP="00276D9D">
      <w:pPr>
        <w:spacing w:line="440" w:lineRule="exact"/>
        <w:contextualSpacing/>
        <w:jc w:val="both"/>
        <w:rPr>
          <w:rFonts w:ascii="Times New Roman" w:eastAsia="標楷體" w:hAnsi="Times New Roman"/>
          <w:sz w:val="28"/>
        </w:rPr>
      </w:pPr>
      <w:r w:rsidRPr="00266F18">
        <w:rPr>
          <w:rFonts w:ascii="Times New Roman" w:eastAsia="標楷體" w:hAnsi="Times New Roman"/>
          <w:sz w:val="28"/>
        </w:rPr>
        <w:t>公司方：共計</w:t>
      </w:r>
      <w:r w:rsidRPr="00266F18">
        <w:rPr>
          <w:rFonts w:ascii="Times New Roman" w:eastAsia="標楷體" w:hAnsi="Times New Roman"/>
          <w:sz w:val="28"/>
        </w:rPr>
        <w:t xml:space="preserve"> 32 </w:t>
      </w:r>
      <w:r w:rsidRPr="00266F18">
        <w:rPr>
          <w:rFonts w:ascii="Times New Roman" w:eastAsia="標楷體" w:hAnsi="Times New Roman"/>
          <w:sz w:val="28"/>
        </w:rPr>
        <w:t>份</w:t>
      </w:r>
      <w:r>
        <w:rPr>
          <w:rFonts w:ascii="Times New Roman" w:eastAsia="標楷體" w:hAnsi="Times New Roman" w:hint="eastAsia"/>
          <w:sz w:val="28"/>
        </w:rPr>
        <w:t>，</w:t>
      </w:r>
      <w:r w:rsidRPr="00266F18">
        <w:rPr>
          <w:rFonts w:ascii="Times New Roman" w:eastAsia="標楷體" w:hAnsi="Times New Roman"/>
          <w:sz w:val="28"/>
        </w:rPr>
        <w:t>涵蓋創辦人、高階主管及公司治理相關人員等</w:t>
      </w:r>
    </w:p>
    <w:p w14:paraId="32CD14F9" w14:textId="5222261D" w:rsidR="00266F18" w:rsidRDefault="00266F18" w:rsidP="00276D9D">
      <w:pPr>
        <w:spacing w:line="440" w:lineRule="exact"/>
        <w:contextualSpacing/>
        <w:jc w:val="both"/>
        <w:rPr>
          <w:rFonts w:ascii="Times New Roman" w:eastAsia="標楷體" w:hAnsi="Times New Roman"/>
          <w:sz w:val="28"/>
        </w:rPr>
      </w:pPr>
      <w:r w:rsidRPr="00266F18">
        <w:rPr>
          <w:rFonts w:ascii="Times New Roman" w:eastAsia="標楷體" w:hAnsi="Times New Roman"/>
          <w:sz w:val="28"/>
        </w:rPr>
        <w:t>投資方：共計</w:t>
      </w:r>
      <w:r w:rsidRPr="00266F18">
        <w:rPr>
          <w:rFonts w:ascii="Times New Roman" w:eastAsia="標楷體" w:hAnsi="Times New Roman"/>
          <w:sz w:val="28"/>
        </w:rPr>
        <w:t xml:space="preserve"> 8 </w:t>
      </w:r>
      <w:r w:rsidRPr="00266F18">
        <w:rPr>
          <w:rFonts w:ascii="Times New Roman" w:eastAsia="標楷體" w:hAnsi="Times New Roman"/>
          <w:sz w:val="28"/>
        </w:rPr>
        <w:t>份</w:t>
      </w:r>
      <w:r>
        <w:rPr>
          <w:rFonts w:ascii="Times New Roman" w:eastAsia="標楷體" w:hAnsi="Times New Roman" w:hint="eastAsia"/>
          <w:sz w:val="28"/>
        </w:rPr>
        <w:t>，</w:t>
      </w:r>
      <w:r w:rsidRPr="00266F18">
        <w:rPr>
          <w:rFonts w:ascii="Times New Roman" w:eastAsia="標楷體" w:hAnsi="Times New Roman"/>
          <w:sz w:val="28"/>
        </w:rPr>
        <w:t>涵蓋創投、天使投資人及其他機構投資人等</w:t>
      </w:r>
    </w:p>
    <w:p w14:paraId="2683FDB4" w14:textId="77777777" w:rsidR="00266F18" w:rsidRPr="00266F18" w:rsidRDefault="00266F18" w:rsidP="00276D9D">
      <w:pPr>
        <w:spacing w:line="440" w:lineRule="exact"/>
        <w:contextualSpacing/>
        <w:jc w:val="both"/>
        <w:rPr>
          <w:rFonts w:ascii="Times New Roman" w:eastAsia="標楷體" w:hAnsi="Times New Roman"/>
          <w:sz w:val="28"/>
        </w:rPr>
      </w:pPr>
    </w:p>
    <w:p w14:paraId="0A14ED56" w14:textId="392724F7" w:rsidR="0090182B" w:rsidRPr="00664AAB" w:rsidRDefault="00D7284D" w:rsidP="00664AAB">
      <w:pPr>
        <w:pStyle w:val="a9"/>
        <w:numPr>
          <w:ilvl w:val="1"/>
          <w:numId w:val="3"/>
        </w:numPr>
        <w:spacing w:line="440" w:lineRule="exact"/>
        <w:rPr>
          <w:rFonts w:ascii="Times New Roman" w:eastAsia="標楷體" w:hAnsi="Times New Roman"/>
          <w:sz w:val="28"/>
        </w:rPr>
      </w:pPr>
      <w:r w:rsidRPr="00664AAB">
        <w:rPr>
          <w:rFonts w:ascii="Times New Roman" w:eastAsia="標楷體" w:hAnsi="Times New Roman" w:hint="eastAsia"/>
          <w:sz w:val="28"/>
        </w:rPr>
        <w:t>請問公司經營團隊合計持股比例為多少？</w:t>
      </w:r>
    </w:p>
    <w:p w14:paraId="6A9E6F0A" w14:textId="104DE0DF" w:rsidR="00850269" w:rsidRPr="00664AAB" w:rsidRDefault="001571F1" w:rsidP="00664AAB">
      <w:pPr>
        <w:pStyle w:val="a9"/>
        <w:numPr>
          <w:ilvl w:val="0"/>
          <w:numId w:val="6"/>
        </w:numPr>
        <w:spacing w:line="440" w:lineRule="exact"/>
        <w:rPr>
          <w:rFonts w:ascii="Times New Roman" w:eastAsia="標楷體" w:hAnsi="Times New Roman"/>
          <w:sz w:val="28"/>
        </w:rPr>
      </w:pPr>
      <w:r w:rsidRPr="00664AAB">
        <w:rPr>
          <w:rFonts w:ascii="Times New Roman" w:eastAsia="標楷體" w:hAnsi="Times New Roman"/>
          <w:sz w:val="28"/>
        </w:rPr>
        <w:t>公司方與投資方比較</w:t>
      </w:r>
    </w:p>
    <w:p w14:paraId="4B0D3609" w14:textId="361EB5A6" w:rsidR="001571F1" w:rsidRPr="00972E2E" w:rsidRDefault="001571F1" w:rsidP="00664AAB">
      <w:pPr>
        <w:spacing w:line="440" w:lineRule="exact"/>
        <w:ind w:firstLine="480"/>
        <w:contextualSpacing/>
        <w:rPr>
          <w:rFonts w:ascii="Times New Roman" w:eastAsia="標楷體" w:hAnsi="Times New Roman"/>
          <w:sz w:val="28"/>
        </w:rPr>
      </w:pPr>
      <w:r w:rsidRPr="00972E2E">
        <w:rPr>
          <w:rFonts w:ascii="Times New Roman" w:eastAsia="標楷體" w:hAnsi="Times New Roman"/>
          <w:sz w:val="28"/>
        </w:rPr>
        <w:t>公司方樣本中，經營團隊持股比例</w:t>
      </w:r>
      <w:r w:rsidR="002C1203" w:rsidRPr="00972E2E">
        <w:rPr>
          <w:rFonts w:ascii="Times New Roman" w:eastAsia="標楷體" w:hAnsi="Times New Roman"/>
          <w:sz w:val="28"/>
        </w:rPr>
        <w:t>最主要分布區間</w:t>
      </w:r>
      <w:r w:rsidR="002C1203">
        <w:rPr>
          <w:rFonts w:ascii="Times New Roman" w:eastAsia="標楷體" w:hAnsi="Times New Roman" w:hint="eastAsia"/>
          <w:sz w:val="28"/>
        </w:rPr>
        <w:t>為</w:t>
      </w:r>
      <w:r w:rsidRPr="00972E2E">
        <w:rPr>
          <w:rFonts w:ascii="Times New Roman" w:eastAsia="標楷體" w:hAnsi="Times New Roman"/>
          <w:sz w:val="28"/>
        </w:rPr>
        <w:t>介於</w:t>
      </w:r>
      <w:r w:rsidRPr="00972E2E">
        <w:rPr>
          <w:rFonts w:ascii="Times New Roman" w:eastAsia="標楷體" w:hAnsi="Times New Roman"/>
          <w:sz w:val="28"/>
        </w:rPr>
        <w:t xml:space="preserve"> 20%</w:t>
      </w:r>
      <w:r w:rsidRPr="00972E2E">
        <w:rPr>
          <w:rFonts w:ascii="Times New Roman" w:eastAsia="標楷體" w:hAnsi="Times New Roman"/>
          <w:sz w:val="28"/>
        </w:rPr>
        <w:t>至</w:t>
      </w:r>
      <w:r w:rsidRPr="00972E2E">
        <w:rPr>
          <w:rFonts w:ascii="Times New Roman" w:eastAsia="標楷體" w:hAnsi="Times New Roman"/>
          <w:sz w:val="28"/>
        </w:rPr>
        <w:t>50%</w:t>
      </w:r>
      <w:r w:rsidRPr="00972E2E">
        <w:rPr>
          <w:rFonts w:ascii="Times New Roman" w:eastAsia="標楷體" w:hAnsi="Times New Roman"/>
          <w:sz w:val="28"/>
        </w:rPr>
        <w:t>（不含）及</w:t>
      </w:r>
      <w:r w:rsidRPr="00972E2E">
        <w:rPr>
          <w:rFonts w:ascii="Times New Roman" w:eastAsia="標楷體" w:hAnsi="Times New Roman"/>
          <w:sz w:val="28"/>
        </w:rPr>
        <w:t xml:space="preserve"> 50%</w:t>
      </w:r>
      <w:r w:rsidRPr="00972E2E">
        <w:rPr>
          <w:rFonts w:ascii="Times New Roman" w:eastAsia="標楷體" w:hAnsi="Times New Roman"/>
          <w:sz w:val="28"/>
        </w:rPr>
        <w:t>至</w:t>
      </w:r>
      <w:r w:rsidRPr="00972E2E">
        <w:rPr>
          <w:rFonts w:ascii="Times New Roman" w:eastAsia="標楷體" w:hAnsi="Times New Roman"/>
          <w:sz w:val="28"/>
        </w:rPr>
        <w:t>67%</w:t>
      </w:r>
      <w:r w:rsidRPr="00972E2E">
        <w:rPr>
          <w:rFonts w:ascii="Times New Roman" w:eastAsia="標楷體" w:hAnsi="Times New Roman"/>
          <w:sz w:val="28"/>
        </w:rPr>
        <w:t>（不含）的比例各占</w:t>
      </w:r>
      <w:r w:rsidRPr="00972E2E">
        <w:rPr>
          <w:rFonts w:ascii="Times New Roman" w:eastAsia="標楷體" w:hAnsi="Times New Roman"/>
          <w:sz w:val="28"/>
        </w:rPr>
        <w:t xml:space="preserve"> 9 </w:t>
      </w:r>
      <w:r w:rsidR="006A0BD2" w:rsidRPr="00972E2E">
        <w:rPr>
          <w:rFonts w:ascii="Times New Roman" w:eastAsia="標楷體" w:hAnsi="Times New Roman" w:hint="eastAsia"/>
          <w:sz w:val="28"/>
        </w:rPr>
        <w:t>份</w:t>
      </w:r>
      <w:r w:rsidRPr="00972E2E">
        <w:rPr>
          <w:rFonts w:ascii="Times New Roman" w:eastAsia="標楷體" w:hAnsi="Times New Roman"/>
          <w:sz w:val="28"/>
        </w:rPr>
        <w:t>；</w:t>
      </w:r>
      <w:r w:rsidR="00664AAB" w:rsidRPr="00972E2E">
        <w:rPr>
          <w:rFonts w:ascii="Times New Roman" w:eastAsia="標楷體" w:hAnsi="Times New Roman" w:hint="eastAsia"/>
          <w:sz w:val="28"/>
        </w:rPr>
        <w:t>僅</w:t>
      </w:r>
      <w:r w:rsidRPr="00972E2E">
        <w:rPr>
          <w:rFonts w:ascii="Times New Roman" w:eastAsia="標楷體" w:hAnsi="Times New Roman"/>
          <w:sz w:val="28"/>
        </w:rPr>
        <w:t xml:space="preserve"> 4 </w:t>
      </w:r>
      <w:r w:rsidRPr="00972E2E">
        <w:rPr>
          <w:rFonts w:ascii="Times New Roman" w:eastAsia="標楷體" w:hAnsi="Times New Roman"/>
          <w:sz w:val="28"/>
        </w:rPr>
        <w:t>家公司持股比例達</w:t>
      </w:r>
      <w:r w:rsidRPr="00972E2E">
        <w:rPr>
          <w:rFonts w:ascii="Times New Roman" w:eastAsia="標楷體" w:hAnsi="Times New Roman"/>
          <w:sz w:val="28"/>
        </w:rPr>
        <w:t xml:space="preserve"> 90%</w:t>
      </w:r>
      <w:r w:rsidRPr="00972E2E">
        <w:rPr>
          <w:rFonts w:ascii="Times New Roman" w:eastAsia="標楷體" w:hAnsi="Times New Roman"/>
          <w:sz w:val="28"/>
        </w:rPr>
        <w:t>以上，顯示部分公司仍維持高度創辦人集中持股。</w:t>
      </w:r>
    </w:p>
    <w:p w14:paraId="00B02BE1" w14:textId="262ED503" w:rsidR="001571F1" w:rsidRPr="00972E2E" w:rsidRDefault="00664AAB" w:rsidP="00664AAB">
      <w:pPr>
        <w:spacing w:line="440" w:lineRule="exact"/>
        <w:ind w:firstLine="480"/>
        <w:contextualSpacing/>
        <w:rPr>
          <w:rFonts w:ascii="Times New Roman" w:eastAsia="標楷體" w:hAnsi="Times New Roman"/>
          <w:sz w:val="28"/>
        </w:rPr>
      </w:pPr>
      <w:r w:rsidRPr="00972E2E">
        <w:rPr>
          <w:rFonts w:ascii="Times New Roman" w:eastAsia="標楷體" w:hAnsi="Times New Roman"/>
          <w:sz w:val="28"/>
        </w:rPr>
        <w:t>投資方所投資企業之經營團隊持股比例集中於</w:t>
      </w:r>
      <w:r w:rsidRPr="00972E2E">
        <w:rPr>
          <w:rFonts w:ascii="Times New Roman" w:eastAsia="標楷體" w:hAnsi="Times New Roman"/>
          <w:sz w:val="28"/>
        </w:rPr>
        <w:t>20%</w:t>
      </w:r>
      <w:r w:rsidRPr="00972E2E">
        <w:rPr>
          <w:rFonts w:ascii="Times New Roman" w:eastAsia="標楷體" w:hAnsi="Times New Roman"/>
          <w:sz w:val="28"/>
        </w:rPr>
        <w:t>至</w:t>
      </w:r>
      <w:r w:rsidRPr="00972E2E">
        <w:rPr>
          <w:rFonts w:ascii="Times New Roman" w:eastAsia="標楷體" w:hAnsi="Times New Roman"/>
          <w:sz w:val="28"/>
        </w:rPr>
        <w:t>50%</w:t>
      </w:r>
      <w:r w:rsidRPr="00972E2E">
        <w:rPr>
          <w:rFonts w:ascii="Times New Roman" w:eastAsia="標楷體" w:hAnsi="Times New Roman"/>
          <w:sz w:val="28"/>
        </w:rPr>
        <w:t>（不含）共</w:t>
      </w:r>
      <w:r w:rsidRPr="00972E2E">
        <w:rPr>
          <w:rFonts w:ascii="Times New Roman" w:eastAsia="標楷體" w:hAnsi="Times New Roman"/>
          <w:sz w:val="28"/>
        </w:rPr>
        <w:t xml:space="preserve"> 7 </w:t>
      </w:r>
      <w:r w:rsidR="006A0BD2" w:rsidRPr="00972E2E">
        <w:rPr>
          <w:rFonts w:ascii="Times New Roman" w:eastAsia="標楷體" w:hAnsi="Times New Roman" w:hint="eastAsia"/>
          <w:sz w:val="28"/>
        </w:rPr>
        <w:t>份</w:t>
      </w:r>
      <w:r w:rsidRPr="00972E2E">
        <w:rPr>
          <w:rFonts w:ascii="Times New Roman" w:eastAsia="標楷體" w:hAnsi="Times New Roman" w:hint="eastAsia"/>
          <w:sz w:val="28"/>
        </w:rPr>
        <w:t>。</w:t>
      </w:r>
      <w:r w:rsidRPr="00972E2E">
        <w:rPr>
          <w:rFonts w:ascii="Times New Roman" w:eastAsia="標楷體" w:hAnsi="Times New Roman"/>
          <w:sz w:val="28"/>
        </w:rPr>
        <w:t>投資方樣本反映隨著外部資金導入，經營團隊持股比例相對分散，股權結構在投資後逐漸稀釋。</w:t>
      </w:r>
    </w:p>
    <w:p w14:paraId="5AEBD571" w14:textId="2D00045C" w:rsidR="00664AAB" w:rsidRPr="00972E2E" w:rsidRDefault="00664AAB" w:rsidP="00664AAB">
      <w:pPr>
        <w:pStyle w:val="a9"/>
        <w:numPr>
          <w:ilvl w:val="0"/>
          <w:numId w:val="6"/>
        </w:numPr>
        <w:spacing w:line="440" w:lineRule="exact"/>
        <w:rPr>
          <w:rFonts w:ascii="Times New Roman" w:eastAsia="標楷體" w:hAnsi="Times New Roman"/>
          <w:sz w:val="28"/>
        </w:rPr>
      </w:pPr>
      <w:r w:rsidRPr="00972E2E">
        <w:rPr>
          <w:rFonts w:ascii="Times New Roman" w:eastAsia="標楷體" w:hAnsi="Times New Roman"/>
          <w:sz w:val="28"/>
        </w:rPr>
        <w:t>公司階段分析</w:t>
      </w:r>
    </w:p>
    <w:p w14:paraId="2783DAE4" w14:textId="1BB54BE9" w:rsidR="00664AAB" w:rsidRPr="00972E2E" w:rsidRDefault="005A3545" w:rsidP="00664AAB">
      <w:pPr>
        <w:spacing w:line="440" w:lineRule="exact"/>
        <w:ind w:firstLine="480"/>
        <w:contextualSpacing/>
        <w:rPr>
          <w:rFonts w:ascii="Times New Roman" w:eastAsia="標楷體" w:hAnsi="Times New Roman"/>
          <w:sz w:val="28"/>
        </w:rPr>
      </w:pPr>
      <w:r w:rsidRPr="00972E2E">
        <w:rPr>
          <w:rFonts w:ascii="Times New Roman" w:eastAsia="標楷體" w:hAnsi="Times New Roman" w:hint="eastAsia"/>
          <w:sz w:val="28"/>
        </w:rPr>
        <w:t>第一階段至第三階段，</w:t>
      </w:r>
      <w:r w:rsidRPr="00972E2E">
        <w:rPr>
          <w:rFonts w:ascii="Times New Roman" w:eastAsia="標楷體" w:hAnsi="Times New Roman"/>
          <w:sz w:val="28"/>
        </w:rPr>
        <w:t>多數經營團隊持股比例集中於</w:t>
      </w:r>
      <w:r w:rsidRPr="00972E2E">
        <w:rPr>
          <w:rFonts w:ascii="Times New Roman" w:eastAsia="標楷體" w:hAnsi="Times New Roman"/>
          <w:sz w:val="28"/>
        </w:rPr>
        <w:t xml:space="preserve"> 20%</w:t>
      </w:r>
      <w:proofErr w:type="gramStart"/>
      <w:r w:rsidRPr="00972E2E">
        <w:rPr>
          <w:rFonts w:ascii="Times New Roman" w:eastAsia="標楷體" w:hAnsi="Times New Roman"/>
          <w:sz w:val="28"/>
        </w:rPr>
        <w:t>–</w:t>
      </w:r>
      <w:proofErr w:type="gramEnd"/>
      <w:r w:rsidRPr="00972E2E">
        <w:rPr>
          <w:rFonts w:ascii="Times New Roman" w:eastAsia="標楷體" w:hAnsi="Times New Roman"/>
          <w:sz w:val="28"/>
        </w:rPr>
        <w:t>50%</w:t>
      </w:r>
      <w:r w:rsidRPr="00972E2E">
        <w:rPr>
          <w:rFonts w:ascii="Times New Roman" w:eastAsia="標楷體" w:hAnsi="Times New Roman"/>
          <w:sz w:val="28"/>
        </w:rPr>
        <w:t>（不含）</w:t>
      </w:r>
      <w:r w:rsidRPr="00972E2E">
        <w:rPr>
          <w:rFonts w:ascii="Times New Roman" w:eastAsia="標楷體" w:hAnsi="Times New Roman"/>
          <w:sz w:val="28"/>
        </w:rPr>
        <w:t xml:space="preserve"> </w:t>
      </w:r>
      <w:r w:rsidRPr="00972E2E">
        <w:rPr>
          <w:rFonts w:ascii="Times New Roman" w:eastAsia="標楷體" w:hAnsi="Times New Roman"/>
          <w:sz w:val="28"/>
        </w:rPr>
        <w:t>及</w:t>
      </w:r>
      <w:r w:rsidRPr="00972E2E">
        <w:rPr>
          <w:rFonts w:ascii="Times New Roman" w:eastAsia="標楷體" w:hAnsi="Times New Roman"/>
          <w:sz w:val="28"/>
        </w:rPr>
        <w:t xml:space="preserve"> 50%</w:t>
      </w:r>
      <w:proofErr w:type="gramStart"/>
      <w:r w:rsidRPr="00972E2E">
        <w:rPr>
          <w:rFonts w:ascii="Times New Roman" w:eastAsia="標楷體" w:hAnsi="Times New Roman"/>
          <w:sz w:val="28"/>
        </w:rPr>
        <w:t>–</w:t>
      </w:r>
      <w:proofErr w:type="gramEnd"/>
      <w:r w:rsidRPr="00972E2E">
        <w:rPr>
          <w:rFonts w:ascii="Times New Roman" w:eastAsia="標楷體" w:hAnsi="Times New Roman"/>
          <w:sz w:val="28"/>
        </w:rPr>
        <w:t>67%</w:t>
      </w:r>
      <w:r w:rsidRPr="00972E2E">
        <w:rPr>
          <w:rFonts w:ascii="Times New Roman" w:eastAsia="標楷體" w:hAnsi="Times New Roman"/>
          <w:sz w:val="28"/>
        </w:rPr>
        <w:t>（不含），顯示</w:t>
      </w:r>
      <w:r w:rsidRPr="00972E2E">
        <w:rPr>
          <w:rFonts w:ascii="Times New Roman" w:eastAsia="標楷體" w:hAnsi="Times New Roman" w:hint="eastAsia"/>
          <w:sz w:val="28"/>
        </w:rPr>
        <w:t>公司在不同階段</w:t>
      </w:r>
      <w:r w:rsidRPr="00972E2E">
        <w:rPr>
          <w:rFonts w:ascii="Times New Roman" w:eastAsia="標楷體" w:hAnsi="Times New Roman"/>
          <w:sz w:val="28"/>
        </w:rPr>
        <w:t>仍保有主導權。</w:t>
      </w:r>
    </w:p>
    <w:p w14:paraId="0AABB6C6" w14:textId="788F81EF" w:rsidR="001571F1" w:rsidRPr="00972E2E" w:rsidRDefault="001571F1" w:rsidP="00E33791">
      <w:pPr>
        <w:spacing w:line="440" w:lineRule="exact"/>
        <w:contextualSpacing/>
        <w:rPr>
          <w:rFonts w:ascii="Times New Roman" w:eastAsia="標楷體" w:hAnsi="Times New Roman"/>
          <w:sz w:val="28"/>
        </w:rPr>
      </w:pPr>
      <w:r w:rsidRPr="00972E2E">
        <w:rPr>
          <w:rFonts w:ascii="Times New Roman" w:eastAsia="標楷體" w:hAnsi="Times New Roman" w:hint="eastAsia"/>
          <w:noProof/>
          <w:sz w:val="28"/>
        </w:rPr>
        <w:drawing>
          <wp:anchor distT="0" distB="0" distL="114300" distR="114300" simplePos="0" relativeHeight="251659264" behindDoc="1" locked="0" layoutInCell="1" allowOverlap="1" wp14:anchorId="3478A1A3" wp14:editId="3848FBC8">
            <wp:simplePos x="0" y="0"/>
            <wp:positionH relativeFrom="column">
              <wp:posOffset>0</wp:posOffset>
            </wp:positionH>
            <wp:positionV relativeFrom="paragraph">
              <wp:posOffset>279400</wp:posOffset>
            </wp:positionV>
            <wp:extent cx="5269004" cy="2448000"/>
            <wp:effectExtent l="0" t="0" r="8255" b="0"/>
            <wp:wrapTight wrapText="bothSides">
              <wp:wrapPolygon edited="0">
                <wp:start x="0" y="0"/>
                <wp:lineTo x="0" y="21348"/>
                <wp:lineTo x="21556" y="21348"/>
                <wp:lineTo x="21556" y="0"/>
                <wp:lineTo x="0" y="0"/>
              </wp:wrapPolygon>
            </wp:wrapTight>
            <wp:docPr id="182442277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2774" name="圖片 2"/>
                    <pic:cNvPicPr/>
                  </pic:nvPicPr>
                  <pic:blipFill>
                    <a:blip r:embed="rId8">
                      <a:extLst>
                        <a:ext uri="{28A0092B-C50C-407E-A947-70E740481C1C}">
                          <a14:useLocalDpi xmlns:a14="http://schemas.microsoft.com/office/drawing/2010/main" val="0"/>
                        </a:ext>
                      </a:extLst>
                    </a:blip>
                    <a:stretch>
                      <a:fillRect/>
                    </a:stretch>
                  </pic:blipFill>
                  <pic:spPr>
                    <a:xfrm>
                      <a:off x="0" y="0"/>
                      <a:ext cx="5269004" cy="2448000"/>
                    </a:xfrm>
                    <a:prstGeom prst="rect">
                      <a:avLst/>
                    </a:prstGeom>
                  </pic:spPr>
                </pic:pic>
              </a:graphicData>
            </a:graphic>
            <wp14:sizeRelH relativeFrom="margin">
              <wp14:pctWidth>0</wp14:pctWidth>
            </wp14:sizeRelH>
            <wp14:sizeRelV relativeFrom="margin">
              <wp14:pctHeight>0</wp14:pctHeight>
            </wp14:sizeRelV>
          </wp:anchor>
        </w:drawing>
      </w:r>
    </w:p>
    <w:p w14:paraId="0BC9560C" w14:textId="77777777" w:rsidR="00822538" w:rsidRDefault="00822538">
      <w:pPr>
        <w:widowControl/>
        <w:rPr>
          <w:rFonts w:ascii="Times New Roman" w:eastAsia="標楷體" w:hAnsi="Times New Roman"/>
          <w:sz w:val="28"/>
        </w:rPr>
      </w:pPr>
      <w:r>
        <w:rPr>
          <w:rFonts w:ascii="Times New Roman" w:eastAsia="標楷體" w:hAnsi="Times New Roman"/>
          <w:sz w:val="28"/>
        </w:rPr>
        <w:br w:type="page"/>
      </w:r>
    </w:p>
    <w:p w14:paraId="43F04A1B" w14:textId="488AB187" w:rsidR="006A0BD2" w:rsidRDefault="006A2E0D" w:rsidP="006A0BD2">
      <w:pPr>
        <w:pStyle w:val="a9"/>
        <w:numPr>
          <w:ilvl w:val="1"/>
          <w:numId w:val="3"/>
        </w:numPr>
        <w:spacing w:line="440" w:lineRule="exact"/>
        <w:rPr>
          <w:rFonts w:ascii="Times New Roman" w:eastAsia="標楷體" w:hAnsi="Times New Roman"/>
          <w:sz w:val="28"/>
        </w:rPr>
      </w:pPr>
      <w:r w:rsidRPr="006A2E0D">
        <w:rPr>
          <w:rFonts w:ascii="Times New Roman" w:eastAsia="標楷體" w:hAnsi="Times New Roman"/>
          <w:sz w:val="28"/>
        </w:rPr>
        <w:lastRenderedPageBreak/>
        <w:t>股東會結構與運作</w:t>
      </w:r>
      <w:r w:rsidRPr="006A2E0D">
        <w:rPr>
          <w:rFonts w:ascii="Times New Roman" w:eastAsia="標楷體" w:hAnsi="Times New Roman"/>
          <w:sz w:val="28"/>
        </w:rPr>
        <w:t xml:space="preserve"> - </w:t>
      </w:r>
      <w:r w:rsidRPr="006A2E0D">
        <w:rPr>
          <w:rFonts w:ascii="Times New Roman" w:eastAsia="標楷體" w:hAnsi="Times New Roman"/>
          <w:sz w:val="28"/>
        </w:rPr>
        <w:t>召開股東會議的行政成本與時間，對公司是個不小的負擔</w:t>
      </w:r>
    </w:p>
    <w:p w14:paraId="570B3256" w14:textId="6EFC1457" w:rsidR="006A0BD2" w:rsidRPr="006A0BD2" w:rsidRDefault="006A0BD2" w:rsidP="006A0BD2">
      <w:pPr>
        <w:pStyle w:val="a9"/>
        <w:numPr>
          <w:ilvl w:val="0"/>
          <w:numId w:val="9"/>
        </w:numPr>
        <w:spacing w:line="440" w:lineRule="exact"/>
        <w:rPr>
          <w:rFonts w:ascii="Times New Roman" w:eastAsia="標楷體" w:hAnsi="Times New Roman"/>
          <w:sz w:val="28"/>
        </w:rPr>
      </w:pPr>
      <w:r w:rsidRPr="006A0BD2">
        <w:rPr>
          <w:rFonts w:ascii="Times New Roman" w:eastAsia="標楷體" w:hAnsi="Times New Roman"/>
          <w:sz w:val="28"/>
        </w:rPr>
        <w:t>公司方與投資方比較</w:t>
      </w:r>
    </w:p>
    <w:p w14:paraId="760D20D4" w14:textId="3475B7F7" w:rsidR="006A0BD2" w:rsidRDefault="00D0763D" w:rsidP="00BE0272">
      <w:pPr>
        <w:spacing w:line="440" w:lineRule="exact"/>
        <w:ind w:left="480" w:firstLine="360"/>
        <w:rPr>
          <w:rFonts w:ascii="Times New Roman" w:eastAsia="標楷體" w:hAnsi="Times New Roman"/>
          <w:sz w:val="28"/>
        </w:rPr>
      </w:pPr>
      <w:r w:rsidRPr="006A0BD2">
        <w:rPr>
          <w:rFonts w:ascii="Times New Roman" w:eastAsia="標楷體" w:hAnsi="Times New Roman"/>
          <w:sz w:val="28"/>
        </w:rPr>
        <w:t>公司方樣本中，其中「普通」</w:t>
      </w:r>
      <w:proofErr w:type="gramStart"/>
      <w:r w:rsidRPr="006A0BD2">
        <w:rPr>
          <w:rFonts w:ascii="Times New Roman" w:eastAsia="標楷體" w:hAnsi="Times New Roman"/>
          <w:sz w:val="28"/>
        </w:rPr>
        <w:t>佔</w:t>
      </w:r>
      <w:proofErr w:type="gramEnd"/>
      <w:r w:rsidRPr="006A0BD2">
        <w:rPr>
          <w:rFonts w:ascii="Times New Roman" w:eastAsia="標楷體" w:hAnsi="Times New Roman"/>
          <w:sz w:val="28"/>
        </w:rPr>
        <w:t>比最高，顯示公司方對股東會行政負擔的感受</w:t>
      </w:r>
      <w:r w:rsidR="002C1203">
        <w:rPr>
          <w:rFonts w:ascii="Times New Roman" w:eastAsia="標楷體" w:hAnsi="Times New Roman" w:hint="eastAsia"/>
          <w:sz w:val="28"/>
        </w:rPr>
        <w:t>較為中性</w:t>
      </w:r>
      <w:r w:rsidRPr="006A0BD2">
        <w:rPr>
          <w:rFonts w:ascii="Times New Roman" w:eastAsia="標楷體" w:hAnsi="Times New Roman"/>
          <w:sz w:val="28"/>
        </w:rPr>
        <w:t>，但仍有</w:t>
      </w:r>
      <w:r w:rsidRPr="006A0BD2">
        <w:rPr>
          <w:rFonts w:ascii="Times New Roman" w:eastAsia="標楷體" w:hAnsi="Times New Roman"/>
          <w:sz w:val="28"/>
        </w:rPr>
        <w:t xml:space="preserve"> 12 </w:t>
      </w:r>
      <w:r w:rsidRPr="006A0BD2">
        <w:rPr>
          <w:rFonts w:ascii="Times New Roman" w:eastAsia="標楷體" w:hAnsi="Times New Roman"/>
          <w:sz w:val="28"/>
        </w:rPr>
        <w:t>份樣本表示「同意」或「非常同意」，顯示部分公司</w:t>
      </w:r>
      <w:r w:rsidRPr="006A0BD2">
        <w:rPr>
          <w:rFonts w:ascii="Times New Roman" w:eastAsia="標楷體" w:hAnsi="Times New Roman" w:hint="eastAsia"/>
          <w:sz w:val="28"/>
        </w:rPr>
        <w:t>認為</w:t>
      </w:r>
      <w:r w:rsidRPr="006A0BD2">
        <w:rPr>
          <w:rFonts w:ascii="Times New Roman" w:eastAsia="標楷體" w:hAnsi="Times New Roman"/>
          <w:sz w:val="28"/>
        </w:rPr>
        <w:t>召開股東會議的行政成本</w:t>
      </w:r>
      <w:r w:rsidR="006A0BD2" w:rsidRPr="006A0BD2">
        <w:rPr>
          <w:rFonts w:ascii="Times New Roman" w:eastAsia="標楷體" w:hAnsi="Times New Roman" w:hint="eastAsia"/>
          <w:sz w:val="28"/>
        </w:rPr>
        <w:t>是不小的負擔</w:t>
      </w:r>
      <w:r w:rsidR="00BE0272">
        <w:rPr>
          <w:rFonts w:ascii="Times New Roman" w:eastAsia="標楷體" w:hAnsi="Times New Roman" w:hint="eastAsia"/>
          <w:sz w:val="28"/>
        </w:rPr>
        <w:t>。</w:t>
      </w:r>
      <w:r w:rsidR="006A0BD2" w:rsidRPr="006A0BD2">
        <w:rPr>
          <w:rFonts w:ascii="Times New Roman" w:eastAsia="標楷體" w:hAnsi="Times New Roman"/>
          <w:sz w:val="28"/>
        </w:rPr>
        <w:t>投資方則集中於「同意」與「不同意」，各占</w:t>
      </w:r>
      <w:r w:rsidR="006A0BD2" w:rsidRPr="006A0BD2">
        <w:rPr>
          <w:rFonts w:ascii="Times New Roman" w:eastAsia="標楷體" w:hAnsi="Times New Roman"/>
          <w:sz w:val="28"/>
        </w:rPr>
        <w:t xml:space="preserve"> 4 </w:t>
      </w:r>
      <w:r w:rsidR="006A0BD2" w:rsidRPr="006A0BD2">
        <w:rPr>
          <w:rFonts w:ascii="Times New Roman" w:eastAsia="標楷體" w:hAnsi="Times New Roman"/>
          <w:sz w:val="28"/>
        </w:rPr>
        <w:t>份，未出現「普通」或「非常同意」回應，</w:t>
      </w:r>
      <w:r w:rsidR="003C52A0">
        <w:rPr>
          <w:rFonts w:ascii="Times New Roman" w:eastAsia="標楷體" w:hAnsi="Times New Roman" w:hint="eastAsia"/>
          <w:sz w:val="28"/>
        </w:rPr>
        <w:t>反映</w:t>
      </w:r>
      <w:r w:rsidR="006A0BD2" w:rsidRPr="006A0BD2">
        <w:rPr>
          <w:rFonts w:ascii="Times New Roman" w:eastAsia="標楷體" w:hAnsi="Times New Roman"/>
          <w:sz w:val="28"/>
        </w:rPr>
        <w:t>投資方對此議題的看法較為兩極。</w:t>
      </w:r>
    </w:p>
    <w:p w14:paraId="306A5F48" w14:textId="4AA7252D" w:rsidR="006A0BD2" w:rsidRPr="006A0BD2" w:rsidRDefault="006A0BD2" w:rsidP="006A0BD2">
      <w:pPr>
        <w:spacing w:line="440" w:lineRule="exact"/>
        <w:ind w:left="480" w:firstLine="360"/>
        <w:rPr>
          <w:rFonts w:ascii="Times New Roman" w:eastAsia="標楷體" w:hAnsi="Times New Roman"/>
          <w:sz w:val="28"/>
        </w:rPr>
      </w:pPr>
      <w:r w:rsidRPr="006A0BD2">
        <w:rPr>
          <w:rFonts w:ascii="Times New Roman" w:eastAsia="標楷體" w:hAnsi="Times New Roman"/>
          <w:sz w:val="28"/>
        </w:rPr>
        <w:t>公司方比投資方更可能認為股東會是一項行政負擔，可能因實際執行層面由公司主導，而投資方則多為監督者</w:t>
      </w:r>
      <w:r>
        <w:rPr>
          <w:rFonts w:ascii="Times New Roman" w:eastAsia="標楷體" w:hAnsi="Times New Roman" w:hint="eastAsia"/>
          <w:sz w:val="28"/>
        </w:rPr>
        <w:t>或</w:t>
      </w:r>
      <w:r w:rsidRPr="006A0BD2">
        <w:rPr>
          <w:rFonts w:ascii="Times New Roman" w:eastAsia="標楷體" w:hAnsi="Times New Roman"/>
          <w:sz w:val="28"/>
        </w:rPr>
        <w:t>參與者。</w:t>
      </w:r>
    </w:p>
    <w:p w14:paraId="750A6EEC" w14:textId="6A90F90F" w:rsidR="006A0BD2" w:rsidRDefault="006A0BD2" w:rsidP="006A0BD2">
      <w:pPr>
        <w:pStyle w:val="a9"/>
        <w:numPr>
          <w:ilvl w:val="0"/>
          <w:numId w:val="9"/>
        </w:numPr>
        <w:spacing w:line="440" w:lineRule="exact"/>
        <w:rPr>
          <w:rFonts w:ascii="Times New Roman" w:eastAsia="標楷體" w:hAnsi="Times New Roman"/>
          <w:sz w:val="28"/>
        </w:rPr>
      </w:pPr>
      <w:r w:rsidRPr="006A0BD2">
        <w:rPr>
          <w:rFonts w:ascii="Times New Roman" w:eastAsia="標楷體" w:hAnsi="Times New Roman"/>
          <w:sz w:val="28"/>
        </w:rPr>
        <w:t>公司階段分析</w:t>
      </w:r>
    </w:p>
    <w:p w14:paraId="318FC576" w14:textId="4C10F722" w:rsidR="00BE0272" w:rsidRPr="00972E2E" w:rsidRDefault="006A0BD2" w:rsidP="00BE0272">
      <w:pPr>
        <w:spacing w:line="440" w:lineRule="exact"/>
        <w:ind w:left="480" w:firstLine="360"/>
        <w:rPr>
          <w:rFonts w:ascii="標楷體" w:eastAsia="標楷體" w:hAnsi="標楷體"/>
          <w:sz w:val="28"/>
          <w:szCs w:val="28"/>
        </w:rPr>
      </w:pPr>
      <w:r w:rsidRPr="00972E2E">
        <w:rPr>
          <w:rStyle w:val="af2"/>
          <w:rFonts w:ascii="標楷體" w:eastAsia="標楷體" w:hAnsi="標楷體"/>
          <w:b w:val="0"/>
          <w:bCs w:val="0"/>
          <w:sz w:val="28"/>
          <w:szCs w:val="28"/>
        </w:rPr>
        <w:t>第一階段公司中「同意」與「非常同意」比例最高（8份）</w:t>
      </w:r>
      <w:r w:rsidRPr="00972E2E">
        <w:rPr>
          <w:rFonts w:ascii="標楷體" w:eastAsia="標楷體" w:hAnsi="標楷體"/>
          <w:sz w:val="28"/>
          <w:szCs w:val="28"/>
        </w:rPr>
        <w:t>，顯示早期公司對召開股東會的行政負擔感受最強烈，可能與資源有限、人力不足有關</w:t>
      </w:r>
      <w:r w:rsidR="002C1203">
        <w:rPr>
          <w:rFonts w:ascii="標楷體" w:eastAsia="標楷體" w:hAnsi="標楷體" w:hint="eastAsia"/>
          <w:sz w:val="28"/>
          <w:szCs w:val="28"/>
        </w:rPr>
        <w:t>，</w:t>
      </w:r>
      <w:r w:rsidRPr="00972E2E">
        <w:rPr>
          <w:rFonts w:ascii="標楷體" w:eastAsia="標楷體" w:hAnsi="標楷體" w:hint="eastAsia"/>
          <w:sz w:val="28"/>
          <w:szCs w:val="28"/>
        </w:rPr>
        <w:t>而</w:t>
      </w:r>
      <w:r w:rsidRPr="00972E2E">
        <w:rPr>
          <w:rStyle w:val="af2"/>
          <w:rFonts w:ascii="標楷體" w:eastAsia="標楷體" w:hAnsi="標楷體"/>
          <w:b w:val="0"/>
          <w:bCs w:val="0"/>
          <w:sz w:val="28"/>
          <w:szCs w:val="28"/>
        </w:rPr>
        <w:t>第二階段公司回應分布較平均</w:t>
      </w:r>
      <w:r w:rsidR="002C1203">
        <w:rPr>
          <w:rFonts w:ascii="標楷體" w:eastAsia="標楷體" w:hAnsi="標楷體" w:hint="eastAsia"/>
          <w:sz w:val="28"/>
          <w:szCs w:val="28"/>
        </w:rPr>
        <w:t>。</w:t>
      </w:r>
      <w:r w:rsidRPr="00972E2E">
        <w:rPr>
          <w:rFonts w:ascii="標楷體" w:eastAsia="標楷體" w:hAnsi="標楷體"/>
          <w:sz w:val="28"/>
          <w:szCs w:val="28"/>
        </w:rPr>
        <w:t>隨著公司成長，行政制度逐漸成熟，但仍有部分公司感受到負擔。</w:t>
      </w:r>
      <w:r w:rsidRPr="00972E2E">
        <w:rPr>
          <w:rStyle w:val="af2"/>
          <w:rFonts w:ascii="標楷體" w:eastAsia="標楷體" w:hAnsi="標楷體"/>
          <w:b w:val="0"/>
          <w:bCs w:val="0"/>
          <w:sz w:val="28"/>
          <w:szCs w:val="28"/>
        </w:rPr>
        <w:t>第三階段公司中「普通」回應最多（5份）</w:t>
      </w:r>
      <w:r w:rsidRPr="00972E2E">
        <w:rPr>
          <w:rFonts w:ascii="標楷體" w:eastAsia="標楷體" w:hAnsi="標楷體"/>
          <w:sz w:val="28"/>
          <w:szCs w:val="28"/>
        </w:rPr>
        <w:t>，且「非常同意」為零，</w:t>
      </w:r>
      <w:r w:rsidR="002C1203">
        <w:rPr>
          <w:rFonts w:ascii="標楷體" w:eastAsia="標楷體" w:hAnsi="標楷體" w:hint="eastAsia"/>
          <w:sz w:val="28"/>
          <w:szCs w:val="28"/>
        </w:rPr>
        <w:t>代表</w:t>
      </w:r>
      <w:r w:rsidRPr="00972E2E">
        <w:rPr>
          <w:rFonts w:ascii="標楷體" w:eastAsia="標楷體" w:hAnsi="標楷體"/>
          <w:sz w:val="28"/>
          <w:szCs w:val="28"/>
        </w:rPr>
        <w:t>成熟公司對股東會行政負擔的感受相對較低，可能已建立標準化流程或委外處理。</w:t>
      </w:r>
    </w:p>
    <w:p w14:paraId="72724C92" w14:textId="0B8CA28E" w:rsidR="00BE0272" w:rsidRPr="00BE0272" w:rsidRDefault="00BE0272" w:rsidP="00BE0272">
      <w:pPr>
        <w:widowControl/>
        <w:jc w:val="center"/>
        <w:rPr>
          <w:rFonts w:ascii="標楷體" w:eastAsia="標楷體" w:hAnsi="標楷體"/>
          <w:sz w:val="28"/>
          <w:szCs w:val="28"/>
        </w:rPr>
      </w:pPr>
      <w:r>
        <w:rPr>
          <w:rFonts w:ascii="Times New Roman" w:eastAsia="標楷體" w:hAnsi="Times New Roman" w:hint="eastAsia"/>
          <w:noProof/>
          <w:sz w:val="28"/>
        </w:rPr>
        <w:drawing>
          <wp:inline distT="0" distB="0" distL="0" distR="0" wp14:anchorId="13D99E1B" wp14:editId="70D08BB5">
            <wp:extent cx="5268238" cy="2448000"/>
            <wp:effectExtent l="0" t="0" r="8890" b="0"/>
            <wp:docPr id="474842954" name="圖片 4" descr="一張含有 螢幕擷取畫面, Rectangle,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9551" name="圖片 4" descr="一張含有 螢幕擷取畫面, Rectangle, 行, 圖表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268238" cy="2448000"/>
                    </a:xfrm>
                    <a:prstGeom prst="rect">
                      <a:avLst/>
                    </a:prstGeom>
                  </pic:spPr>
                </pic:pic>
              </a:graphicData>
            </a:graphic>
          </wp:inline>
        </w:drawing>
      </w:r>
      <w:r>
        <w:rPr>
          <w:rFonts w:ascii="標楷體" w:eastAsia="標楷體" w:hAnsi="標楷體"/>
          <w:sz w:val="28"/>
          <w:szCs w:val="28"/>
        </w:rPr>
        <w:br w:type="page"/>
      </w:r>
    </w:p>
    <w:p w14:paraId="51A5568C" w14:textId="08646148" w:rsidR="0024025E" w:rsidRDefault="0024025E" w:rsidP="0024025E">
      <w:pPr>
        <w:pStyle w:val="a9"/>
        <w:numPr>
          <w:ilvl w:val="1"/>
          <w:numId w:val="3"/>
        </w:numPr>
        <w:spacing w:line="440" w:lineRule="exact"/>
        <w:rPr>
          <w:rFonts w:ascii="Times New Roman" w:eastAsia="標楷體" w:hAnsi="Times New Roman"/>
          <w:sz w:val="28"/>
        </w:rPr>
      </w:pPr>
      <w:r w:rsidRPr="0024025E">
        <w:rPr>
          <w:rFonts w:ascii="Times New Roman" w:eastAsia="標楷體" w:hAnsi="Times New Roman"/>
          <w:sz w:val="28"/>
        </w:rPr>
        <w:lastRenderedPageBreak/>
        <w:t>股東會結構與運作</w:t>
      </w:r>
      <w:r w:rsidRPr="0024025E">
        <w:rPr>
          <w:rFonts w:ascii="Times New Roman" w:eastAsia="標楷體" w:hAnsi="Times New Roman"/>
          <w:sz w:val="28"/>
        </w:rPr>
        <w:t xml:space="preserve"> - </w:t>
      </w:r>
      <w:r w:rsidRPr="0024025E">
        <w:rPr>
          <w:rFonts w:ascii="Times New Roman" w:eastAsia="標楷體" w:hAnsi="Times New Roman"/>
          <w:sz w:val="28"/>
        </w:rPr>
        <w:t>公司股東會決議方式能夠清楚載明，且議事錄完整記載會議資訊（如時間、地點、主席、決議方法及結果）</w:t>
      </w:r>
    </w:p>
    <w:p w14:paraId="0F99DB97" w14:textId="74EB25E4" w:rsidR="0024025E" w:rsidRPr="00822538" w:rsidRDefault="0024025E" w:rsidP="00822538">
      <w:pPr>
        <w:pStyle w:val="a9"/>
        <w:numPr>
          <w:ilvl w:val="0"/>
          <w:numId w:val="12"/>
        </w:numPr>
        <w:spacing w:line="440" w:lineRule="exact"/>
        <w:rPr>
          <w:rFonts w:ascii="Times New Roman" w:eastAsia="標楷體" w:hAnsi="Times New Roman"/>
          <w:sz w:val="28"/>
        </w:rPr>
      </w:pPr>
      <w:r w:rsidRPr="00822538">
        <w:rPr>
          <w:rFonts w:ascii="Times New Roman" w:eastAsia="標楷體" w:hAnsi="Times New Roman"/>
          <w:sz w:val="28"/>
        </w:rPr>
        <w:t>公司方與投資方比較</w:t>
      </w:r>
    </w:p>
    <w:p w14:paraId="1EDFCD4C" w14:textId="5F643563" w:rsidR="0024025E" w:rsidRPr="0024025E" w:rsidRDefault="0024025E" w:rsidP="0024025E">
      <w:pPr>
        <w:spacing w:line="440" w:lineRule="exact"/>
        <w:ind w:firstLine="480"/>
        <w:rPr>
          <w:rFonts w:ascii="Times New Roman" w:eastAsia="標楷體" w:hAnsi="Times New Roman"/>
          <w:sz w:val="28"/>
        </w:rPr>
      </w:pPr>
      <w:r w:rsidRPr="0024025E">
        <w:rPr>
          <w:rFonts w:ascii="Times New Roman" w:eastAsia="標楷體" w:hAnsi="Times New Roman"/>
          <w:sz w:val="28"/>
        </w:rPr>
        <w:t>公司方樣本中</w:t>
      </w:r>
      <w:r w:rsidRPr="0024025E">
        <w:rPr>
          <w:rFonts w:ascii="Times New Roman" w:eastAsia="標楷體" w:hAnsi="Times New Roman" w:hint="eastAsia"/>
          <w:sz w:val="28"/>
        </w:rPr>
        <w:t>，</w:t>
      </w:r>
      <w:r w:rsidRPr="0024025E">
        <w:rPr>
          <w:rFonts w:ascii="Times New Roman" w:eastAsia="標楷體" w:hAnsi="Times New Roman"/>
          <w:sz w:val="28"/>
        </w:rPr>
        <w:t>多數公司方對股東會決議方式及議事錄完整性持高度肯定，其中</w:t>
      </w:r>
      <w:r w:rsidRPr="0024025E">
        <w:rPr>
          <w:rFonts w:ascii="Times New Roman" w:eastAsia="標楷體" w:hAnsi="Times New Roman"/>
          <w:sz w:val="28"/>
        </w:rPr>
        <w:t xml:space="preserve"> </w:t>
      </w:r>
      <w:r w:rsidRPr="00972E2E">
        <w:rPr>
          <w:rFonts w:ascii="Times New Roman" w:eastAsia="標楷體" w:hAnsi="Times New Roman"/>
          <w:sz w:val="28"/>
        </w:rPr>
        <w:t xml:space="preserve">68.8% </w:t>
      </w:r>
      <w:r w:rsidRPr="00972E2E">
        <w:rPr>
          <w:rFonts w:ascii="Times New Roman" w:eastAsia="標楷體" w:hAnsi="Times New Roman"/>
          <w:sz w:val="28"/>
        </w:rPr>
        <w:t>表示非常同意，另有</w:t>
      </w:r>
      <w:r w:rsidRPr="00972E2E">
        <w:rPr>
          <w:rFonts w:ascii="Times New Roman" w:eastAsia="標楷體" w:hAnsi="Times New Roman"/>
          <w:sz w:val="28"/>
        </w:rPr>
        <w:t xml:space="preserve"> 28.1% </w:t>
      </w:r>
      <w:r w:rsidRPr="00972E2E">
        <w:rPr>
          <w:rFonts w:ascii="Times New Roman" w:eastAsia="標楷體" w:hAnsi="Times New Roman"/>
          <w:sz w:val="28"/>
        </w:rPr>
        <w:t>表示同意</w:t>
      </w:r>
      <w:r w:rsidRPr="0024025E">
        <w:rPr>
          <w:rFonts w:ascii="Times New Roman" w:eastAsia="標楷體" w:hAnsi="Times New Roman"/>
          <w:sz w:val="28"/>
        </w:rPr>
        <w:t>，</w:t>
      </w:r>
      <w:r w:rsidR="002C1203">
        <w:rPr>
          <w:rFonts w:ascii="Times New Roman" w:eastAsia="標楷體" w:hAnsi="Times New Roman" w:hint="eastAsia"/>
          <w:sz w:val="28"/>
        </w:rPr>
        <w:t>反映</w:t>
      </w:r>
      <w:r w:rsidRPr="0024025E">
        <w:rPr>
          <w:rFonts w:ascii="Times New Roman" w:eastAsia="標楷體" w:hAnsi="Times New Roman"/>
          <w:sz w:val="28"/>
        </w:rPr>
        <w:t>受訪</w:t>
      </w:r>
      <w:r w:rsidR="002C1203">
        <w:rPr>
          <w:rFonts w:ascii="Times New Roman" w:eastAsia="標楷體" w:hAnsi="Times New Roman" w:hint="eastAsia"/>
          <w:sz w:val="28"/>
        </w:rPr>
        <w:t>公司</w:t>
      </w:r>
      <w:r w:rsidRPr="0024025E">
        <w:rPr>
          <w:rFonts w:ascii="Times New Roman" w:eastAsia="標楷體" w:hAnsi="Times New Roman"/>
          <w:sz w:val="28"/>
        </w:rPr>
        <w:t>普遍具備完善的股東會程序與紀錄機制。</w:t>
      </w:r>
    </w:p>
    <w:p w14:paraId="49654ED3" w14:textId="5DBD712E" w:rsidR="00822538" w:rsidRDefault="002C1203" w:rsidP="00822538">
      <w:pPr>
        <w:spacing w:line="440" w:lineRule="exact"/>
        <w:ind w:firstLine="480"/>
        <w:rPr>
          <w:rFonts w:ascii="Times New Roman" w:eastAsia="標楷體" w:hAnsi="Times New Roman"/>
          <w:sz w:val="28"/>
        </w:rPr>
      </w:pPr>
      <w:r>
        <w:rPr>
          <w:rFonts w:ascii="Times New Roman" w:eastAsia="標楷體" w:hAnsi="Times New Roman" w:hint="eastAsia"/>
          <w:sz w:val="28"/>
        </w:rPr>
        <w:t>在</w:t>
      </w:r>
      <w:r w:rsidR="0024025E" w:rsidRPr="0024025E">
        <w:rPr>
          <w:rFonts w:ascii="Times New Roman" w:eastAsia="標楷體" w:hAnsi="Times New Roman"/>
          <w:sz w:val="28"/>
        </w:rPr>
        <w:t>投資方</w:t>
      </w:r>
      <w:r>
        <w:rPr>
          <w:rFonts w:ascii="Times New Roman" w:eastAsia="標楷體" w:hAnsi="Times New Roman" w:hint="eastAsia"/>
          <w:sz w:val="28"/>
        </w:rPr>
        <w:t>樣本中，</w:t>
      </w:r>
      <w:r w:rsidR="0024025E" w:rsidRPr="0024025E">
        <w:rPr>
          <w:rFonts w:ascii="Times New Roman" w:eastAsia="標楷體" w:hAnsi="Times New Roman"/>
          <w:sz w:val="28"/>
        </w:rPr>
        <w:t>整體評價亦偏向肯定，但相較公司方略顯保留。</w:t>
      </w:r>
      <w:r w:rsidR="0024025E" w:rsidRPr="00972E2E">
        <w:rPr>
          <w:rFonts w:ascii="Times New Roman" w:eastAsia="標楷體" w:hAnsi="Times New Roman"/>
          <w:sz w:val="28"/>
        </w:rPr>
        <w:t xml:space="preserve">62.5% </w:t>
      </w:r>
      <w:r w:rsidR="0024025E" w:rsidRPr="00972E2E">
        <w:rPr>
          <w:rFonts w:ascii="Times New Roman" w:eastAsia="標楷體" w:hAnsi="Times New Roman"/>
          <w:sz w:val="28"/>
        </w:rPr>
        <w:t>投資方選擇「同意」，而「非常同意」比例僅</w:t>
      </w:r>
      <w:r w:rsidR="0024025E" w:rsidRPr="00972E2E">
        <w:rPr>
          <w:rFonts w:ascii="Times New Roman" w:eastAsia="標楷體" w:hAnsi="Times New Roman"/>
          <w:sz w:val="28"/>
        </w:rPr>
        <w:t xml:space="preserve"> 37.5%</w:t>
      </w:r>
      <w:r w:rsidR="0024025E" w:rsidRPr="0024025E">
        <w:rPr>
          <w:rFonts w:ascii="Times New Roman" w:eastAsia="標楷體" w:hAnsi="Times New Roman"/>
          <w:sz w:val="28"/>
        </w:rPr>
        <w:t>，顯示部分投資人對未上市公司股東會資訊揭露與決議透明度仍存疑慮。</w:t>
      </w:r>
    </w:p>
    <w:p w14:paraId="63ECB19A" w14:textId="29D5C6A4" w:rsidR="0024025E" w:rsidRPr="00822538" w:rsidRDefault="0024025E" w:rsidP="00822538">
      <w:pPr>
        <w:pStyle w:val="a9"/>
        <w:numPr>
          <w:ilvl w:val="0"/>
          <w:numId w:val="12"/>
        </w:numPr>
        <w:spacing w:line="440" w:lineRule="exact"/>
        <w:rPr>
          <w:rFonts w:ascii="Times New Roman" w:eastAsia="標楷體" w:hAnsi="Times New Roman"/>
          <w:sz w:val="28"/>
        </w:rPr>
      </w:pPr>
      <w:r w:rsidRPr="00822538">
        <w:rPr>
          <w:rFonts w:ascii="Times New Roman" w:eastAsia="標楷體" w:hAnsi="Times New Roman"/>
          <w:sz w:val="28"/>
        </w:rPr>
        <w:t>公司階段分析</w:t>
      </w:r>
    </w:p>
    <w:p w14:paraId="66FBDEF6" w14:textId="536E0577" w:rsidR="008A2FE5" w:rsidRDefault="00972E2E" w:rsidP="008A2FE5">
      <w:pPr>
        <w:spacing w:line="440" w:lineRule="exact"/>
        <w:ind w:firstLine="480"/>
        <w:rPr>
          <w:rFonts w:ascii="Times New Roman" w:eastAsia="標楷體" w:hAnsi="Times New Roman"/>
          <w:sz w:val="28"/>
        </w:rPr>
      </w:pPr>
      <w:r>
        <w:rPr>
          <w:rFonts w:ascii="Times New Roman" w:eastAsia="標楷體" w:hAnsi="Times New Roman" w:hint="eastAsia"/>
          <w:sz w:val="28"/>
        </w:rPr>
        <w:t>不同階段公司皆</w:t>
      </w:r>
      <w:r w:rsidR="0024025E" w:rsidRPr="0024025E">
        <w:rPr>
          <w:rFonts w:ascii="Times New Roman" w:eastAsia="標楷體" w:hAnsi="Times New Roman"/>
          <w:sz w:val="28"/>
        </w:rPr>
        <w:t>對股東會結構與運作表示高度肯定，其中「非常同意」的比例最高，</w:t>
      </w:r>
      <w:r w:rsidR="002C1203">
        <w:rPr>
          <w:rFonts w:ascii="Times New Roman" w:eastAsia="標楷體" w:hAnsi="Times New Roman" w:hint="eastAsia"/>
          <w:sz w:val="28"/>
        </w:rPr>
        <w:t>反映</w:t>
      </w:r>
      <w:r w:rsidR="0024025E" w:rsidRPr="0024025E">
        <w:rPr>
          <w:rFonts w:ascii="Times New Roman" w:eastAsia="標楷體" w:hAnsi="Times New Roman"/>
          <w:sz w:val="28"/>
        </w:rPr>
        <w:t>受訪公司在股東會程序與紀錄方面具備一定治理水準。</w:t>
      </w:r>
    </w:p>
    <w:p w14:paraId="78D86159" w14:textId="3B70871B" w:rsidR="001571F1" w:rsidRDefault="00BE0272" w:rsidP="008A2FE5">
      <w:pPr>
        <w:spacing w:line="440" w:lineRule="exact"/>
        <w:ind w:firstLine="480"/>
        <w:rPr>
          <w:rFonts w:ascii="Times New Roman" w:eastAsia="標楷體" w:hAnsi="Times New Roman"/>
          <w:sz w:val="28"/>
        </w:rPr>
      </w:pPr>
      <w:r>
        <w:rPr>
          <w:rFonts w:ascii="Times New Roman" w:eastAsia="標楷體" w:hAnsi="Times New Roman" w:hint="eastAsia"/>
          <w:noProof/>
          <w:sz w:val="28"/>
        </w:rPr>
        <w:drawing>
          <wp:anchor distT="0" distB="0" distL="114300" distR="114300" simplePos="0" relativeHeight="251661312" behindDoc="1" locked="0" layoutInCell="1" allowOverlap="1" wp14:anchorId="70F5A461" wp14:editId="60E5E779">
            <wp:simplePos x="0" y="0"/>
            <wp:positionH relativeFrom="column">
              <wp:posOffset>0</wp:posOffset>
            </wp:positionH>
            <wp:positionV relativeFrom="paragraph">
              <wp:posOffset>279400</wp:posOffset>
            </wp:positionV>
            <wp:extent cx="5267325" cy="2447925"/>
            <wp:effectExtent l="0" t="0" r="9525" b="9525"/>
            <wp:wrapSquare wrapText="bothSides"/>
            <wp:docPr id="1621789551" name="圖片 4" descr="一張含有 螢幕擷取畫面, Rectangle,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9551" name="圖片 4" descr="一張含有 螢幕擷取畫面, Rectangle, 行, 圖表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267325" cy="2447925"/>
                    </a:xfrm>
                    <a:prstGeom prst="rect">
                      <a:avLst/>
                    </a:prstGeom>
                  </pic:spPr>
                </pic:pic>
              </a:graphicData>
            </a:graphic>
            <wp14:sizeRelH relativeFrom="margin">
              <wp14:pctWidth>0</wp14:pctWidth>
            </wp14:sizeRelH>
            <wp14:sizeRelV relativeFrom="margin">
              <wp14:pctHeight>0</wp14:pctHeight>
            </wp14:sizeRelV>
          </wp:anchor>
        </w:drawing>
      </w:r>
    </w:p>
    <w:p w14:paraId="140DD0C6" w14:textId="77777777" w:rsidR="001571F1" w:rsidRPr="00E33791" w:rsidRDefault="001571F1" w:rsidP="00E33791">
      <w:pPr>
        <w:spacing w:line="440" w:lineRule="exact"/>
        <w:contextualSpacing/>
        <w:rPr>
          <w:rFonts w:ascii="Times New Roman" w:eastAsia="標楷體" w:hAnsi="Times New Roman"/>
          <w:sz w:val="28"/>
        </w:rPr>
      </w:pPr>
    </w:p>
    <w:p w14:paraId="72E4F792" w14:textId="10E6FB8C" w:rsidR="00BE0272" w:rsidRDefault="00BE0272">
      <w:pPr>
        <w:widowControl/>
        <w:rPr>
          <w:rFonts w:ascii="Times New Roman" w:eastAsia="標楷體" w:hAnsi="Times New Roman"/>
          <w:sz w:val="28"/>
        </w:rPr>
      </w:pPr>
    </w:p>
    <w:p w14:paraId="2D2F1580" w14:textId="77777777" w:rsidR="0090182B" w:rsidRPr="00E33791" w:rsidRDefault="0090182B" w:rsidP="00E33791">
      <w:pPr>
        <w:spacing w:line="440" w:lineRule="exact"/>
        <w:contextualSpacing/>
        <w:rPr>
          <w:rFonts w:ascii="Times New Roman" w:eastAsia="標楷體" w:hAnsi="Times New Roman"/>
          <w:sz w:val="28"/>
        </w:rPr>
      </w:pPr>
    </w:p>
    <w:p w14:paraId="658963C1" w14:textId="77777777" w:rsidR="00850269" w:rsidRDefault="00850269" w:rsidP="00E33791">
      <w:pPr>
        <w:spacing w:line="440" w:lineRule="exact"/>
        <w:contextualSpacing/>
        <w:rPr>
          <w:rFonts w:ascii="Times New Roman" w:eastAsia="標楷體" w:hAnsi="Times New Roman"/>
          <w:noProof/>
          <w:sz w:val="28"/>
        </w:rPr>
      </w:pPr>
    </w:p>
    <w:p w14:paraId="3E8C6102" w14:textId="36CA5B94" w:rsidR="00822538" w:rsidRDefault="00822538" w:rsidP="00822538">
      <w:pPr>
        <w:pStyle w:val="a9"/>
        <w:numPr>
          <w:ilvl w:val="1"/>
          <w:numId w:val="3"/>
        </w:numPr>
        <w:spacing w:line="440" w:lineRule="exact"/>
        <w:rPr>
          <w:rFonts w:ascii="Times New Roman" w:eastAsia="標楷體" w:hAnsi="Times New Roman"/>
          <w:sz w:val="28"/>
        </w:rPr>
      </w:pPr>
      <w:r w:rsidRPr="00822538">
        <w:rPr>
          <w:rFonts w:eastAsia="標楷體"/>
          <w:sz w:val="28"/>
          <w:szCs w:val="28"/>
        </w:rPr>
        <w:lastRenderedPageBreak/>
        <w:t>公司最近一期的年度財務報表，是否委任外部會計師進行查核簽證？若有，其遵循的會計準則為何？</w:t>
      </w:r>
    </w:p>
    <w:p w14:paraId="466F652B" w14:textId="73733C9A" w:rsidR="00822538" w:rsidRPr="00822538" w:rsidRDefault="00822538" w:rsidP="00822538">
      <w:pPr>
        <w:pStyle w:val="a9"/>
        <w:numPr>
          <w:ilvl w:val="0"/>
          <w:numId w:val="11"/>
        </w:numPr>
        <w:spacing w:line="440" w:lineRule="exact"/>
        <w:rPr>
          <w:rFonts w:ascii="Times New Roman" w:eastAsia="標楷體" w:hAnsi="Times New Roman"/>
          <w:sz w:val="28"/>
        </w:rPr>
      </w:pPr>
      <w:r w:rsidRPr="00822538">
        <w:rPr>
          <w:rFonts w:ascii="Times New Roman" w:eastAsia="標楷體" w:hAnsi="Times New Roman"/>
          <w:sz w:val="28"/>
        </w:rPr>
        <w:t>公司方與投資方比較</w:t>
      </w:r>
    </w:p>
    <w:p w14:paraId="349C8D80" w14:textId="6F385F14" w:rsidR="00822538" w:rsidRDefault="00822538" w:rsidP="00822538">
      <w:pPr>
        <w:spacing w:line="440" w:lineRule="exact"/>
        <w:ind w:firstLine="360"/>
        <w:rPr>
          <w:rFonts w:ascii="Times New Roman" w:eastAsia="標楷體" w:hAnsi="Times New Roman"/>
          <w:sz w:val="28"/>
        </w:rPr>
      </w:pPr>
      <w:r w:rsidRPr="00972E2E">
        <w:rPr>
          <w:rFonts w:ascii="Times New Roman" w:eastAsia="標楷體" w:hAnsi="Times New Roman"/>
          <w:sz w:val="28"/>
        </w:rPr>
        <w:t>公司方樣本中，有</w:t>
      </w:r>
      <w:r w:rsidRPr="00972E2E">
        <w:rPr>
          <w:rFonts w:ascii="Times New Roman" w:eastAsia="標楷體" w:hAnsi="Times New Roman"/>
          <w:sz w:val="28"/>
        </w:rPr>
        <w:t>31</w:t>
      </w:r>
      <w:r w:rsidRPr="00972E2E">
        <w:rPr>
          <w:rFonts w:ascii="Times New Roman" w:eastAsia="標楷體" w:hAnsi="Times New Roman" w:hint="eastAsia"/>
          <w:sz w:val="28"/>
        </w:rPr>
        <w:t>家公司</w:t>
      </w:r>
      <w:r w:rsidRPr="00972E2E">
        <w:rPr>
          <w:rFonts w:ascii="Times New Roman" w:eastAsia="標楷體" w:hAnsi="Times New Roman" w:hint="eastAsia"/>
          <w:sz w:val="28"/>
        </w:rPr>
        <w:t>(</w:t>
      </w:r>
      <w:proofErr w:type="gramStart"/>
      <w:r w:rsidRPr="00972E2E">
        <w:rPr>
          <w:rFonts w:ascii="Times New Roman" w:eastAsia="標楷體" w:hAnsi="Times New Roman"/>
          <w:sz w:val="28"/>
        </w:rPr>
        <w:t>佔</w:t>
      </w:r>
      <w:proofErr w:type="gramEnd"/>
      <w:r w:rsidRPr="00972E2E">
        <w:rPr>
          <w:rFonts w:ascii="Times New Roman" w:eastAsia="標楷體" w:hAnsi="Times New Roman"/>
          <w:sz w:val="28"/>
        </w:rPr>
        <w:t>96.9%</w:t>
      </w:r>
      <w:r w:rsidRPr="00972E2E">
        <w:rPr>
          <w:rFonts w:ascii="Times New Roman" w:eastAsia="標楷體" w:hAnsi="Times New Roman" w:hint="eastAsia"/>
          <w:sz w:val="28"/>
        </w:rPr>
        <w:t>)</w:t>
      </w:r>
      <w:r w:rsidRPr="00972E2E">
        <w:rPr>
          <w:rFonts w:ascii="Times New Roman" w:eastAsia="標楷體" w:hAnsi="Times New Roman"/>
          <w:sz w:val="28"/>
        </w:rPr>
        <w:t>已委任外部會計師進行查核</w:t>
      </w:r>
      <w:r w:rsidRPr="00972E2E">
        <w:rPr>
          <w:rFonts w:ascii="Times New Roman" w:eastAsia="標楷體" w:hAnsi="Times New Roman" w:hint="eastAsia"/>
          <w:sz w:val="28"/>
        </w:rPr>
        <w:t>，其中</w:t>
      </w:r>
      <w:r w:rsidRPr="00972E2E">
        <w:rPr>
          <w:rFonts w:ascii="Times New Roman" w:eastAsia="標楷體" w:hAnsi="Times New Roman"/>
          <w:sz w:val="28"/>
        </w:rPr>
        <w:t>19</w:t>
      </w:r>
      <w:r w:rsidRPr="00972E2E">
        <w:rPr>
          <w:rFonts w:ascii="Times New Roman" w:eastAsia="標楷體" w:hAnsi="Times New Roman"/>
          <w:sz w:val="28"/>
        </w:rPr>
        <w:t>家企業採用</w:t>
      </w:r>
      <w:r w:rsidRPr="00822538">
        <w:rPr>
          <w:rFonts w:ascii="Times New Roman" w:eastAsia="標楷體" w:hAnsi="Times New Roman"/>
          <w:sz w:val="28"/>
        </w:rPr>
        <w:t>國際財務報導準則（</w:t>
      </w:r>
      <w:r w:rsidRPr="00822538">
        <w:rPr>
          <w:rFonts w:ascii="Times New Roman" w:eastAsia="標楷體" w:hAnsi="Times New Roman"/>
          <w:sz w:val="28"/>
        </w:rPr>
        <w:t>IFRSs</w:t>
      </w:r>
      <w:r w:rsidRPr="00822538">
        <w:rPr>
          <w:rFonts w:ascii="Times New Roman" w:eastAsia="標楷體" w:hAnsi="Times New Roman"/>
          <w:sz w:val="28"/>
        </w:rPr>
        <w:t>）</w:t>
      </w:r>
      <w:r w:rsidRPr="00822538">
        <w:rPr>
          <w:rFonts w:ascii="Times New Roman" w:eastAsia="標楷體" w:hAnsi="Times New Roman" w:hint="eastAsia"/>
          <w:sz w:val="28"/>
        </w:rPr>
        <w:t>，</w:t>
      </w:r>
      <w:r w:rsidRPr="00822538">
        <w:rPr>
          <w:rFonts w:ascii="Times New Roman" w:eastAsia="標楷體" w:hAnsi="Times New Roman"/>
          <w:sz w:val="28"/>
        </w:rPr>
        <w:t xml:space="preserve">12 </w:t>
      </w:r>
      <w:r w:rsidRPr="00822538">
        <w:rPr>
          <w:rFonts w:ascii="Times New Roman" w:eastAsia="標楷體" w:hAnsi="Times New Roman"/>
          <w:sz w:val="28"/>
        </w:rPr>
        <w:t>家企業採用企業會計準則（</w:t>
      </w:r>
      <w:r w:rsidRPr="00822538">
        <w:rPr>
          <w:rFonts w:ascii="Times New Roman" w:eastAsia="標楷體" w:hAnsi="Times New Roman"/>
          <w:sz w:val="28"/>
        </w:rPr>
        <w:t>EAS</w:t>
      </w:r>
      <w:r w:rsidRPr="00822538">
        <w:rPr>
          <w:rFonts w:ascii="Times New Roman" w:eastAsia="標楷體" w:hAnsi="Times New Roman"/>
          <w:sz w:val="28"/>
        </w:rPr>
        <w:t>）</w:t>
      </w:r>
      <w:r w:rsidR="005D490C">
        <w:rPr>
          <w:rFonts w:ascii="Times New Roman" w:eastAsia="標楷體" w:hAnsi="Times New Roman" w:hint="eastAsia"/>
          <w:sz w:val="28"/>
        </w:rPr>
        <w:t>，</w:t>
      </w:r>
      <w:r w:rsidR="005D490C" w:rsidRPr="005D490C">
        <w:rPr>
          <w:rFonts w:ascii="Times New Roman" w:eastAsia="標楷體" w:hAnsi="Times New Roman"/>
          <w:sz w:val="28"/>
        </w:rPr>
        <w:t>公司方在財務報導制度上普遍具備查核意識，且偏好採用</w:t>
      </w:r>
      <w:r w:rsidR="005D490C" w:rsidRPr="005D490C">
        <w:rPr>
          <w:rFonts w:ascii="Times New Roman" w:eastAsia="標楷體" w:hAnsi="Times New Roman"/>
          <w:sz w:val="28"/>
        </w:rPr>
        <w:t xml:space="preserve"> IFRSs</w:t>
      </w:r>
      <w:r w:rsidR="005D490C" w:rsidRPr="005D490C">
        <w:rPr>
          <w:rFonts w:ascii="Times New Roman" w:eastAsia="標楷體" w:hAnsi="Times New Roman"/>
          <w:sz w:val="28"/>
        </w:rPr>
        <w:t>，可能與企業規模、國際化程度或上市準備有關</w:t>
      </w:r>
      <w:r w:rsidR="005D490C">
        <w:rPr>
          <w:rFonts w:ascii="Times New Roman" w:eastAsia="標楷體" w:hAnsi="Times New Roman" w:hint="eastAsia"/>
          <w:sz w:val="28"/>
        </w:rPr>
        <w:t>。</w:t>
      </w:r>
    </w:p>
    <w:p w14:paraId="31F79792" w14:textId="506A8F67" w:rsidR="00822538" w:rsidRDefault="00822538" w:rsidP="00822538">
      <w:pPr>
        <w:spacing w:line="440" w:lineRule="exact"/>
        <w:ind w:firstLine="360"/>
        <w:rPr>
          <w:rFonts w:ascii="Times New Roman" w:eastAsia="標楷體" w:hAnsi="Times New Roman"/>
          <w:sz w:val="28"/>
        </w:rPr>
      </w:pPr>
      <w:r w:rsidRPr="00822538">
        <w:rPr>
          <w:rFonts w:ascii="Times New Roman" w:eastAsia="標楷體" w:hAnsi="Times New Roman"/>
          <w:sz w:val="28"/>
        </w:rPr>
        <w:t>投資方樣本中，</w:t>
      </w:r>
      <w:r w:rsidRPr="00972E2E">
        <w:rPr>
          <w:rFonts w:ascii="Times New Roman" w:eastAsia="標楷體" w:hAnsi="Times New Roman" w:hint="eastAsia"/>
          <w:sz w:val="28"/>
        </w:rPr>
        <w:t>公</w:t>
      </w:r>
      <w:r>
        <w:rPr>
          <w:rFonts w:ascii="Times New Roman" w:eastAsia="標楷體" w:hAnsi="Times New Roman" w:hint="eastAsia"/>
          <w:sz w:val="28"/>
        </w:rPr>
        <w:t>司</w:t>
      </w:r>
      <w:r w:rsidRPr="00822538">
        <w:rPr>
          <w:rFonts w:ascii="Times New Roman" w:eastAsia="標楷體" w:hAnsi="Times New Roman"/>
          <w:sz w:val="28"/>
        </w:rPr>
        <w:t>皆表示有委任外部會計師，</w:t>
      </w:r>
      <w:r>
        <w:rPr>
          <w:rFonts w:ascii="Times New Roman" w:eastAsia="標楷體" w:hAnsi="Times New Roman" w:hint="eastAsia"/>
          <w:sz w:val="28"/>
        </w:rPr>
        <w:t>採用</w:t>
      </w:r>
      <w:r w:rsidRPr="00822538">
        <w:rPr>
          <w:rFonts w:ascii="Times New Roman" w:eastAsia="標楷體" w:hAnsi="Times New Roman"/>
          <w:sz w:val="28"/>
        </w:rPr>
        <w:t>國際財務報導準則（</w:t>
      </w:r>
      <w:r w:rsidRPr="00822538">
        <w:rPr>
          <w:rFonts w:ascii="Times New Roman" w:eastAsia="標楷體" w:hAnsi="Times New Roman"/>
          <w:sz w:val="28"/>
        </w:rPr>
        <w:t>IFRSs</w:t>
      </w:r>
      <w:r w:rsidRPr="00822538">
        <w:rPr>
          <w:rFonts w:ascii="Times New Roman" w:eastAsia="標楷體" w:hAnsi="Times New Roman"/>
          <w:sz w:val="28"/>
        </w:rPr>
        <w:t>）</w:t>
      </w:r>
      <w:r>
        <w:rPr>
          <w:rFonts w:ascii="Times New Roman" w:eastAsia="標楷體" w:hAnsi="Times New Roman" w:hint="eastAsia"/>
          <w:sz w:val="28"/>
        </w:rPr>
        <w:t>及</w:t>
      </w:r>
      <w:r w:rsidRPr="00822538">
        <w:rPr>
          <w:rFonts w:ascii="Times New Roman" w:eastAsia="標楷體" w:hAnsi="Times New Roman"/>
          <w:sz w:val="28"/>
        </w:rPr>
        <w:t>企業會計準則（</w:t>
      </w:r>
      <w:r w:rsidRPr="00822538">
        <w:rPr>
          <w:rFonts w:ascii="Times New Roman" w:eastAsia="標楷體" w:hAnsi="Times New Roman"/>
          <w:sz w:val="28"/>
        </w:rPr>
        <w:t>EAS</w:t>
      </w:r>
      <w:r w:rsidRPr="00822538">
        <w:rPr>
          <w:rFonts w:ascii="Times New Roman" w:eastAsia="標楷體" w:hAnsi="Times New Roman"/>
          <w:sz w:val="28"/>
        </w:rPr>
        <w:t>）</w:t>
      </w:r>
      <w:r>
        <w:rPr>
          <w:rFonts w:ascii="Times New Roman" w:eastAsia="標楷體" w:hAnsi="Times New Roman" w:hint="eastAsia"/>
          <w:sz w:val="28"/>
        </w:rPr>
        <w:t>皆一半</w:t>
      </w:r>
      <w:r w:rsidR="005D490C">
        <w:rPr>
          <w:rFonts w:ascii="Times New Roman" w:eastAsia="標楷體" w:hAnsi="Times New Roman" w:hint="eastAsia"/>
          <w:sz w:val="28"/>
        </w:rPr>
        <w:t>，</w:t>
      </w:r>
      <w:r w:rsidR="005D490C" w:rsidRPr="005D490C">
        <w:rPr>
          <w:rFonts w:ascii="Times New Roman" w:eastAsia="標楷體" w:hAnsi="Times New Roman"/>
          <w:sz w:val="28"/>
        </w:rPr>
        <w:t>呈現均衡分布，對會計準則的接受度較廣。</w:t>
      </w:r>
    </w:p>
    <w:p w14:paraId="07173406" w14:textId="77777777" w:rsidR="00972E2E" w:rsidRDefault="00972E2E" w:rsidP="00972E2E">
      <w:pPr>
        <w:pStyle w:val="a9"/>
        <w:numPr>
          <w:ilvl w:val="0"/>
          <w:numId w:val="11"/>
        </w:numPr>
        <w:spacing w:line="440" w:lineRule="exact"/>
        <w:rPr>
          <w:rFonts w:ascii="Times New Roman" w:eastAsia="標楷體" w:hAnsi="Times New Roman"/>
          <w:sz w:val="28"/>
        </w:rPr>
      </w:pPr>
      <w:r w:rsidRPr="00972E2E">
        <w:rPr>
          <w:rFonts w:ascii="Times New Roman" w:eastAsia="標楷體" w:hAnsi="Times New Roman"/>
          <w:sz w:val="28"/>
        </w:rPr>
        <w:t>公司階段分析</w:t>
      </w:r>
    </w:p>
    <w:p w14:paraId="4006433A" w14:textId="66413919" w:rsidR="00972E2E" w:rsidRDefault="00972E2E" w:rsidP="00972E2E">
      <w:pPr>
        <w:spacing w:line="440" w:lineRule="exact"/>
        <w:ind w:firstLine="360"/>
        <w:rPr>
          <w:rFonts w:ascii="標楷體" w:eastAsia="標楷體" w:hAnsi="標楷體"/>
          <w:sz w:val="28"/>
          <w:szCs w:val="28"/>
        </w:rPr>
      </w:pPr>
      <w:r w:rsidRPr="00972E2E">
        <w:rPr>
          <w:rStyle w:val="af2"/>
          <w:rFonts w:ascii="標楷體" w:eastAsia="標楷體" w:hAnsi="標楷體"/>
          <w:b w:val="0"/>
          <w:bCs w:val="0"/>
          <w:sz w:val="28"/>
          <w:szCs w:val="28"/>
        </w:rPr>
        <w:t>第一階段公司</w:t>
      </w:r>
      <w:r w:rsidRPr="00972E2E">
        <w:rPr>
          <w:rFonts w:ascii="標楷體" w:eastAsia="標楷體" w:hAnsi="標楷體" w:hint="eastAsia"/>
          <w:sz w:val="28"/>
          <w:szCs w:val="28"/>
        </w:rPr>
        <w:t>中，多數公司遵循</w:t>
      </w:r>
      <w:r w:rsidRPr="00972E2E">
        <w:rPr>
          <w:rFonts w:ascii="標楷體" w:eastAsia="標楷體" w:hAnsi="標楷體"/>
          <w:sz w:val="28"/>
          <w:szCs w:val="28"/>
        </w:rPr>
        <w:t>企業會計準則</w:t>
      </w:r>
      <w:r w:rsidR="002519D7">
        <w:rPr>
          <w:rFonts w:ascii="標楷體" w:eastAsia="標楷體" w:hAnsi="標楷體" w:hint="eastAsia"/>
          <w:sz w:val="28"/>
          <w:szCs w:val="28"/>
        </w:rPr>
        <w:t>(</w:t>
      </w:r>
      <w:r w:rsidRPr="002519D7">
        <w:rPr>
          <w:rFonts w:ascii="Times New Roman" w:eastAsia="標楷體" w:hAnsi="Times New Roman" w:cs="Times New Roman"/>
          <w:sz w:val="28"/>
          <w:szCs w:val="28"/>
        </w:rPr>
        <w:t>EAS</w:t>
      </w:r>
      <w:r w:rsidR="002519D7">
        <w:rPr>
          <w:rFonts w:ascii="標楷體" w:eastAsia="標楷體" w:hAnsi="標楷體" w:hint="eastAsia"/>
          <w:sz w:val="28"/>
          <w:szCs w:val="28"/>
        </w:rPr>
        <w:t>)，</w:t>
      </w:r>
      <w:r w:rsidRPr="00972E2E">
        <w:rPr>
          <w:rFonts w:ascii="標楷體" w:eastAsia="標楷體" w:hAnsi="標楷體" w:hint="eastAsia"/>
          <w:sz w:val="28"/>
          <w:szCs w:val="28"/>
        </w:rPr>
        <w:t>而</w:t>
      </w:r>
      <w:r w:rsidRPr="00972E2E">
        <w:rPr>
          <w:rStyle w:val="af2"/>
          <w:rFonts w:ascii="標楷體" w:eastAsia="標楷體" w:hAnsi="標楷體"/>
          <w:b w:val="0"/>
          <w:bCs w:val="0"/>
          <w:sz w:val="28"/>
          <w:szCs w:val="28"/>
        </w:rPr>
        <w:t>第二階段</w:t>
      </w:r>
      <w:r w:rsidRPr="00972E2E">
        <w:rPr>
          <w:rStyle w:val="af2"/>
          <w:rFonts w:ascii="標楷體" w:eastAsia="標楷體" w:hAnsi="標楷體" w:hint="eastAsia"/>
          <w:b w:val="0"/>
          <w:bCs w:val="0"/>
          <w:sz w:val="28"/>
          <w:szCs w:val="28"/>
        </w:rPr>
        <w:t>及第</w:t>
      </w:r>
      <w:proofErr w:type="gramStart"/>
      <w:r w:rsidRPr="00972E2E">
        <w:rPr>
          <w:rStyle w:val="af2"/>
          <w:rFonts w:ascii="標楷體" w:eastAsia="標楷體" w:hAnsi="標楷體" w:hint="eastAsia"/>
          <w:b w:val="0"/>
          <w:bCs w:val="0"/>
          <w:sz w:val="28"/>
          <w:szCs w:val="28"/>
        </w:rPr>
        <w:t>三</w:t>
      </w:r>
      <w:proofErr w:type="gramEnd"/>
      <w:r w:rsidR="002519D7">
        <w:rPr>
          <w:rStyle w:val="af2"/>
          <w:rFonts w:ascii="標楷體" w:eastAsia="標楷體" w:hAnsi="標楷體" w:hint="eastAsia"/>
          <w:b w:val="0"/>
          <w:bCs w:val="0"/>
          <w:sz w:val="28"/>
          <w:szCs w:val="28"/>
        </w:rPr>
        <w:t>階段</w:t>
      </w:r>
      <w:r w:rsidRPr="00972E2E">
        <w:rPr>
          <w:rStyle w:val="af2"/>
          <w:rFonts w:ascii="標楷體" w:eastAsia="標楷體" w:hAnsi="標楷體" w:hint="eastAsia"/>
          <w:b w:val="0"/>
          <w:bCs w:val="0"/>
          <w:sz w:val="28"/>
          <w:szCs w:val="28"/>
        </w:rPr>
        <w:t>公司</w:t>
      </w:r>
      <w:r w:rsidRPr="00972E2E">
        <w:rPr>
          <w:rFonts w:ascii="標楷體" w:eastAsia="標楷體" w:hAnsi="標楷體"/>
          <w:sz w:val="28"/>
          <w:szCs w:val="28"/>
        </w:rPr>
        <w:t>中，</w:t>
      </w:r>
      <w:r w:rsidRPr="00972E2E">
        <w:rPr>
          <w:rFonts w:ascii="標楷體" w:eastAsia="標楷體" w:hAnsi="標楷體" w:hint="eastAsia"/>
          <w:sz w:val="28"/>
          <w:szCs w:val="28"/>
        </w:rPr>
        <w:t>多數採用</w:t>
      </w:r>
      <w:r w:rsidRPr="00972E2E">
        <w:rPr>
          <w:rFonts w:ascii="標楷體" w:eastAsia="標楷體" w:hAnsi="標楷體"/>
          <w:sz w:val="28"/>
          <w:szCs w:val="28"/>
        </w:rPr>
        <w:t>國際財務報導準則</w:t>
      </w:r>
      <w:r w:rsidR="002519D7">
        <w:rPr>
          <w:rFonts w:ascii="標楷體" w:eastAsia="標楷體" w:hAnsi="標楷體" w:hint="eastAsia"/>
          <w:sz w:val="28"/>
          <w:szCs w:val="28"/>
        </w:rPr>
        <w:t>(</w:t>
      </w:r>
      <w:r w:rsidRPr="002519D7">
        <w:rPr>
          <w:rFonts w:ascii="Times New Roman" w:eastAsia="標楷體" w:hAnsi="Times New Roman" w:cs="Times New Roman"/>
          <w:sz w:val="28"/>
          <w:szCs w:val="28"/>
        </w:rPr>
        <w:t>IFRSs</w:t>
      </w:r>
      <w:r w:rsidR="002519D7">
        <w:rPr>
          <w:rFonts w:ascii="標楷體" w:eastAsia="標楷體" w:hAnsi="標楷體" w:hint="eastAsia"/>
          <w:sz w:val="28"/>
          <w:szCs w:val="28"/>
        </w:rPr>
        <w:t>)</w:t>
      </w:r>
      <w:r w:rsidRPr="00972E2E">
        <w:rPr>
          <w:rFonts w:ascii="標楷體" w:eastAsia="標楷體" w:hAnsi="標楷體"/>
          <w:sz w:val="28"/>
          <w:szCs w:val="28"/>
        </w:rPr>
        <w:t>，</w:t>
      </w:r>
      <w:r w:rsidR="002C1203">
        <w:rPr>
          <w:rFonts w:ascii="標楷體" w:eastAsia="標楷體" w:hAnsi="標楷體" w:hint="eastAsia"/>
          <w:sz w:val="28"/>
          <w:szCs w:val="28"/>
        </w:rPr>
        <w:t>顯示</w:t>
      </w:r>
      <w:r w:rsidRPr="00972E2E">
        <w:rPr>
          <w:rFonts w:ascii="標楷體" w:eastAsia="標楷體" w:hAnsi="標楷體"/>
          <w:sz w:val="28"/>
          <w:szCs w:val="28"/>
        </w:rPr>
        <w:t>長期企業在財務制度上已逐步與國際標準接軌</w:t>
      </w:r>
      <w:r w:rsidR="0090166E">
        <w:rPr>
          <w:rFonts w:ascii="標楷體" w:eastAsia="標楷體" w:hAnsi="標楷體" w:hint="eastAsia"/>
          <w:sz w:val="28"/>
          <w:szCs w:val="28"/>
        </w:rPr>
        <w:t>及</w:t>
      </w:r>
      <w:r w:rsidRPr="00972E2E">
        <w:rPr>
          <w:rFonts w:ascii="標楷體" w:eastAsia="標楷體" w:hAnsi="標楷體"/>
          <w:sz w:val="28"/>
          <w:szCs w:val="28"/>
        </w:rPr>
        <w:t>在準備上市前對財務報導品質的重視</w:t>
      </w:r>
      <w:r w:rsidR="0090166E">
        <w:rPr>
          <w:rFonts w:ascii="標楷體" w:eastAsia="標楷體" w:hAnsi="標楷體" w:hint="eastAsia"/>
          <w:sz w:val="28"/>
          <w:szCs w:val="28"/>
        </w:rPr>
        <w:t>與</w:t>
      </w:r>
      <w:r w:rsidRPr="00972E2E">
        <w:rPr>
          <w:rFonts w:ascii="標楷體" w:eastAsia="標楷體" w:hAnsi="標楷體"/>
          <w:sz w:val="28"/>
          <w:szCs w:val="28"/>
        </w:rPr>
        <w:t>以因應募資或投資人要求。</w:t>
      </w:r>
    </w:p>
    <w:p w14:paraId="50ED3797" w14:textId="7AC15351" w:rsidR="002519D7" w:rsidRPr="00972E2E" w:rsidRDefault="002519D7" w:rsidP="002519D7">
      <w:pPr>
        <w:spacing w:line="440" w:lineRule="exact"/>
        <w:rPr>
          <w:rFonts w:ascii="標楷體" w:eastAsia="標楷體" w:hAnsi="標楷體"/>
          <w:sz w:val="28"/>
          <w:szCs w:val="28"/>
        </w:rPr>
      </w:pPr>
      <w:r>
        <w:rPr>
          <w:rFonts w:ascii="標楷體" w:eastAsia="標楷體" w:hAnsi="標楷體" w:hint="eastAsia"/>
          <w:noProof/>
          <w:sz w:val="28"/>
          <w:szCs w:val="28"/>
        </w:rPr>
        <w:drawing>
          <wp:anchor distT="0" distB="0" distL="114300" distR="114300" simplePos="0" relativeHeight="251663360" behindDoc="0" locked="0" layoutInCell="1" allowOverlap="1" wp14:anchorId="65A6539E" wp14:editId="38E2C4B7">
            <wp:simplePos x="0" y="0"/>
            <wp:positionH relativeFrom="column">
              <wp:posOffset>0</wp:posOffset>
            </wp:positionH>
            <wp:positionV relativeFrom="paragraph">
              <wp:posOffset>380365</wp:posOffset>
            </wp:positionV>
            <wp:extent cx="5274310" cy="2451100"/>
            <wp:effectExtent l="0" t="0" r="2540" b="6350"/>
            <wp:wrapSquare wrapText="bothSides"/>
            <wp:docPr id="761196743" name="圖片 6" descr="一張含有 螢幕擷取畫面, 行,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6743" name="圖片 6" descr="一張含有 螢幕擷取畫面, 行, 圖表, Rectangle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274310" cy="2451100"/>
                    </a:xfrm>
                    <a:prstGeom prst="rect">
                      <a:avLst/>
                    </a:prstGeom>
                  </pic:spPr>
                </pic:pic>
              </a:graphicData>
            </a:graphic>
          </wp:anchor>
        </w:drawing>
      </w:r>
    </w:p>
    <w:p w14:paraId="39E7CE4B" w14:textId="5DE66301" w:rsidR="00972E2E" w:rsidRPr="00972E2E" w:rsidRDefault="00972E2E" w:rsidP="00972E2E">
      <w:pPr>
        <w:spacing w:line="440" w:lineRule="exact"/>
        <w:rPr>
          <w:rFonts w:ascii="Times New Roman" w:eastAsia="標楷體" w:hAnsi="Times New Roman"/>
          <w:sz w:val="28"/>
        </w:rPr>
      </w:pPr>
    </w:p>
    <w:p w14:paraId="29537EF7" w14:textId="4EB70105" w:rsidR="00850269" w:rsidRDefault="00850269" w:rsidP="00822538">
      <w:pPr>
        <w:spacing w:line="440" w:lineRule="exact"/>
        <w:rPr>
          <w:rFonts w:ascii="Times New Roman" w:eastAsia="標楷體" w:hAnsi="Times New Roman"/>
          <w:sz w:val="28"/>
        </w:rPr>
      </w:pPr>
    </w:p>
    <w:p w14:paraId="2E526075" w14:textId="77777777" w:rsidR="002519D7" w:rsidRDefault="002519D7" w:rsidP="00822538">
      <w:pPr>
        <w:spacing w:line="440" w:lineRule="exact"/>
        <w:rPr>
          <w:rFonts w:ascii="Times New Roman" w:eastAsia="標楷體" w:hAnsi="Times New Roman"/>
          <w:sz w:val="28"/>
        </w:rPr>
      </w:pPr>
    </w:p>
    <w:p w14:paraId="4296F12F" w14:textId="1C4B5852" w:rsidR="002519D7" w:rsidRPr="00580EE9" w:rsidRDefault="00580EE9" w:rsidP="002519D7">
      <w:pPr>
        <w:pStyle w:val="a9"/>
        <w:numPr>
          <w:ilvl w:val="1"/>
          <w:numId w:val="3"/>
        </w:numPr>
        <w:spacing w:line="440" w:lineRule="exact"/>
        <w:rPr>
          <w:rFonts w:ascii="Times New Roman" w:eastAsia="標楷體" w:hAnsi="Times New Roman"/>
          <w:sz w:val="32"/>
          <w:szCs w:val="28"/>
        </w:rPr>
      </w:pPr>
      <w:r w:rsidRPr="00580EE9">
        <w:rPr>
          <w:rFonts w:eastAsia="標楷體" w:hint="eastAsia"/>
          <w:sz w:val="28"/>
          <w:szCs w:val="28"/>
        </w:rPr>
        <w:lastRenderedPageBreak/>
        <w:t>公司通常多久向股東提供財務報告</w:t>
      </w:r>
    </w:p>
    <w:p w14:paraId="62D0A430" w14:textId="3EF4175C" w:rsidR="00580EE9" w:rsidRPr="00580EE9" w:rsidRDefault="00580EE9" w:rsidP="00580EE9">
      <w:pPr>
        <w:pStyle w:val="a9"/>
        <w:numPr>
          <w:ilvl w:val="0"/>
          <w:numId w:val="14"/>
        </w:numPr>
        <w:spacing w:line="440" w:lineRule="exact"/>
        <w:rPr>
          <w:rFonts w:ascii="Times New Roman" w:eastAsia="標楷體" w:hAnsi="Times New Roman"/>
          <w:sz w:val="28"/>
        </w:rPr>
      </w:pPr>
      <w:r w:rsidRPr="00580EE9">
        <w:rPr>
          <w:rFonts w:ascii="Times New Roman" w:eastAsia="標楷體" w:hAnsi="Times New Roman"/>
          <w:sz w:val="28"/>
        </w:rPr>
        <w:t>公司方與投資方比較</w:t>
      </w:r>
    </w:p>
    <w:p w14:paraId="6ECF9D83" w14:textId="0F4500B5" w:rsidR="00580EE9" w:rsidRDefault="00580EE9" w:rsidP="00580EE9">
      <w:pPr>
        <w:spacing w:line="440" w:lineRule="exact"/>
        <w:ind w:firstLine="360"/>
        <w:rPr>
          <w:rFonts w:ascii="Times New Roman" w:eastAsia="標楷體" w:hAnsi="Times New Roman"/>
          <w:sz w:val="28"/>
        </w:rPr>
      </w:pPr>
      <w:r w:rsidRPr="00972E2E">
        <w:rPr>
          <w:rFonts w:ascii="Times New Roman" w:eastAsia="標楷體" w:hAnsi="Times New Roman"/>
          <w:sz w:val="28"/>
        </w:rPr>
        <w:t>公司方樣本中</w:t>
      </w:r>
      <w:r>
        <w:rPr>
          <w:rFonts w:ascii="Times New Roman" w:eastAsia="標楷體" w:hAnsi="Times New Roman" w:hint="eastAsia"/>
          <w:sz w:val="28"/>
        </w:rPr>
        <w:t>，</w:t>
      </w:r>
      <w:r w:rsidRPr="006C6EEA">
        <w:rPr>
          <w:rFonts w:ascii="Times New Roman" w:eastAsia="標楷體" w:hAnsi="Times New Roman"/>
          <w:sz w:val="28"/>
        </w:rPr>
        <w:t>以「每年提供」為主，</w:t>
      </w:r>
      <w:proofErr w:type="gramStart"/>
      <w:r w:rsidRPr="006C6EEA">
        <w:rPr>
          <w:rFonts w:ascii="Times New Roman" w:eastAsia="標楷體" w:hAnsi="Times New Roman" w:hint="eastAsia"/>
          <w:sz w:val="28"/>
        </w:rPr>
        <w:t>佔</w:t>
      </w:r>
      <w:proofErr w:type="gramEnd"/>
      <w:r w:rsidRPr="006C6EEA">
        <w:rPr>
          <w:rFonts w:ascii="Times New Roman" w:eastAsia="標楷體" w:hAnsi="Times New Roman"/>
          <w:sz w:val="28"/>
        </w:rPr>
        <w:t>40.6%</w:t>
      </w:r>
      <w:r w:rsidRPr="006C6EEA">
        <w:rPr>
          <w:rFonts w:ascii="Times New Roman" w:eastAsia="標楷體" w:hAnsi="Times New Roman" w:hint="eastAsia"/>
          <w:sz w:val="28"/>
        </w:rPr>
        <w:t>，</w:t>
      </w:r>
      <w:r w:rsidRPr="006C6EEA">
        <w:rPr>
          <w:rFonts w:ascii="Times New Roman" w:eastAsia="標楷體" w:hAnsi="Times New Roman"/>
          <w:sz w:val="28"/>
        </w:rPr>
        <w:t>其次為「每季提供」僅有</w:t>
      </w:r>
      <w:r w:rsidRPr="006C6EEA">
        <w:rPr>
          <w:rFonts w:ascii="Times New Roman" w:eastAsia="標楷體" w:hAnsi="Times New Roman"/>
          <w:sz w:val="28"/>
        </w:rPr>
        <w:t xml:space="preserve"> 2</w:t>
      </w:r>
      <w:r w:rsidRPr="006C6EEA">
        <w:rPr>
          <w:rFonts w:ascii="Times New Roman" w:eastAsia="標楷體" w:hAnsi="Times New Roman" w:hint="eastAsia"/>
          <w:sz w:val="28"/>
        </w:rPr>
        <w:t>5</w:t>
      </w:r>
      <w:r w:rsidRPr="006C6EEA">
        <w:rPr>
          <w:rFonts w:ascii="Times New Roman" w:eastAsia="標楷體" w:hAnsi="Times New Roman"/>
          <w:sz w:val="28"/>
        </w:rPr>
        <w:t>%</w:t>
      </w:r>
      <w:r w:rsidRPr="006C6EEA">
        <w:rPr>
          <w:rFonts w:ascii="Times New Roman" w:eastAsia="標楷體" w:hAnsi="Times New Roman" w:hint="eastAsia"/>
          <w:sz w:val="28"/>
        </w:rPr>
        <w:t>，</w:t>
      </w:r>
      <w:r w:rsidR="0090166E">
        <w:rPr>
          <w:rFonts w:ascii="Times New Roman" w:eastAsia="標楷體" w:hAnsi="Times New Roman" w:hint="eastAsia"/>
          <w:sz w:val="28"/>
        </w:rPr>
        <w:t>反映</w:t>
      </w:r>
      <w:r w:rsidRPr="00580EE9">
        <w:rPr>
          <w:rFonts w:ascii="Times New Roman" w:eastAsia="標楷體" w:hAnsi="Times New Roman"/>
          <w:sz w:val="28"/>
        </w:rPr>
        <w:t>部分公司仍以年度報告為主要揭露方式，資訊揭露頻率偏低。</w:t>
      </w:r>
    </w:p>
    <w:p w14:paraId="03C4E184" w14:textId="4F9E55D5" w:rsidR="00580EE9" w:rsidRPr="00580EE9" w:rsidRDefault="00580EE9" w:rsidP="00580EE9">
      <w:pPr>
        <w:spacing w:line="440" w:lineRule="exact"/>
        <w:ind w:firstLine="360"/>
        <w:rPr>
          <w:rFonts w:ascii="Times New Roman" w:eastAsia="標楷體" w:hAnsi="Times New Roman"/>
          <w:sz w:val="28"/>
        </w:rPr>
      </w:pPr>
      <w:r w:rsidRPr="00580EE9">
        <w:rPr>
          <w:rFonts w:ascii="Times New Roman" w:eastAsia="標楷體" w:hAnsi="Times New Roman" w:hint="eastAsia"/>
          <w:sz w:val="28"/>
        </w:rPr>
        <w:t>投資</w:t>
      </w:r>
      <w:r w:rsidRPr="00580EE9">
        <w:rPr>
          <w:rFonts w:ascii="Times New Roman" w:eastAsia="標楷體" w:hAnsi="Times New Roman"/>
          <w:sz w:val="28"/>
        </w:rPr>
        <w:t>方樣本中</w:t>
      </w:r>
      <w:r w:rsidRPr="00580EE9">
        <w:rPr>
          <w:rFonts w:ascii="Times New Roman" w:eastAsia="標楷體" w:hAnsi="Times New Roman" w:hint="eastAsia"/>
          <w:sz w:val="28"/>
        </w:rPr>
        <w:t>，</w:t>
      </w:r>
      <w:r w:rsidRPr="00580EE9">
        <w:rPr>
          <w:rFonts w:ascii="Times New Roman" w:eastAsia="標楷體" w:hAnsi="Times New Roman"/>
          <w:sz w:val="28"/>
        </w:rPr>
        <w:t>以「每</w:t>
      </w:r>
      <w:r w:rsidRPr="00580EE9">
        <w:rPr>
          <w:rFonts w:ascii="Times New Roman" w:eastAsia="標楷體" w:hAnsi="Times New Roman" w:hint="eastAsia"/>
          <w:sz w:val="28"/>
        </w:rPr>
        <w:t>季</w:t>
      </w:r>
      <w:r w:rsidRPr="00580EE9">
        <w:rPr>
          <w:rFonts w:ascii="Times New Roman" w:eastAsia="標楷體" w:hAnsi="Times New Roman"/>
          <w:sz w:val="28"/>
        </w:rPr>
        <w:t>提供」為主，</w:t>
      </w:r>
      <w:proofErr w:type="gramStart"/>
      <w:r w:rsidRPr="00580EE9">
        <w:rPr>
          <w:rFonts w:ascii="Times New Roman" w:eastAsia="標楷體" w:hAnsi="Times New Roman" w:hint="eastAsia"/>
          <w:sz w:val="28"/>
        </w:rPr>
        <w:t>佔</w:t>
      </w:r>
      <w:proofErr w:type="gramEnd"/>
      <w:r w:rsidRPr="00580EE9">
        <w:rPr>
          <w:rFonts w:ascii="Times New Roman" w:eastAsia="標楷體" w:hAnsi="Times New Roman" w:hint="eastAsia"/>
          <w:sz w:val="28"/>
        </w:rPr>
        <w:t>62</w:t>
      </w:r>
      <w:r w:rsidRPr="00580EE9">
        <w:rPr>
          <w:rFonts w:ascii="Times New Roman" w:eastAsia="標楷體" w:hAnsi="Times New Roman"/>
          <w:sz w:val="28"/>
        </w:rPr>
        <w:t>.</w:t>
      </w:r>
      <w:r w:rsidRPr="00580EE9">
        <w:rPr>
          <w:rFonts w:ascii="Times New Roman" w:eastAsia="標楷體" w:hAnsi="Times New Roman" w:hint="eastAsia"/>
          <w:sz w:val="28"/>
        </w:rPr>
        <w:t>5</w:t>
      </w:r>
      <w:r w:rsidRPr="00580EE9">
        <w:rPr>
          <w:rFonts w:ascii="Times New Roman" w:eastAsia="標楷體" w:hAnsi="Times New Roman"/>
          <w:sz w:val="28"/>
        </w:rPr>
        <w:t>%</w:t>
      </w:r>
      <w:r w:rsidRPr="00580EE9">
        <w:rPr>
          <w:rFonts w:ascii="Times New Roman" w:eastAsia="標楷體" w:hAnsi="Times New Roman" w:hint="eastAsia"/>
          <w:sz w:val="28"/>
        </w:rPr>
        <w:t>，</w:t>
      </w:r>
      <w:r w:rsidRPr="00580EE9">
        <w:rPr>
          <w:rFonts w:ascii="Times New Roman" w:eastAsia="標楷體" w:hAnsi="Times New Roman"/>
          <w:sz w:val="28"/>
        </w:rPr>
        <w:t>投資方的回應集中度高，顯示其對治理透明度有一致性要求，可能與投資決策、風險控管及監督機制有關。</w:t>
      </w:r>
    </w:p>
    <w:p w14:paraId="32C214FD" w14:textId="1E95A62F" w:rsidR="00580EE9" w:rsidRPr="00580EE9" w:rsidRDefault="00580EE9" w:rsidP="00580EE9">
      <w:pPr>
        <w:pStyle w:val="a9"/>
        <w:numPr>
          <w:ilvl w:val="0"/>
          <w:numId w:val="14"/>
        </w:numPr>
        <w:spacing w:line="440" w:lineRule="exact"/>
        <w:rPr>
          <w:rFonts w:ascii="Times New Roman" w:eastAsia="標楷體" w:hAnsi="Times New Roman"/>
          <w:sz w:val="28"/>
        </w:rPr>
      </w:pPr>
      <w:r w:rsidRPr="00580EE9">
        <w:rPr>
          <w:rFonts w:ascii="Times New Roman" w:eastAsia="標楷體" w:hAnsi="Times New Roman"/>
          <w:sz w:val="28"/>
        </w:rPr>
        <w:t>公司階段分析</w:t>
      </w:r>
    </w:p>
    <w:p w14:paraId="08F43B55" w14:textId="63F3EEE0" w:rsidR="006C6EEA" w:rsidRDefault="00A1470A" w:rsidP="00553180">
      <w:pPr>
        <w:spacing w:line="440" w:lineRule="exact"/>
        <w:ind w:firstLine="360"/>
        <w:rPr>
          <w:rFonts w:ascii="Times New Roman" w:eastAsia="標楷體" w:hAnsi="Times New Roman"/>
          <w:sz w:val="28"/>
        </w:rPr>
      </w:pPr>
      <w:r w:rsidRPr="00A1470A">
        <w:rPr>
          <w:rFonts w:ascii="Times New Roman" w:eastAsia="標楷體" w:hAnsi="Times New Roman"/>
          <w:sz w:val="28"/>
        </w:rPr>
        <w:t>第一階段</w:t>
      </w:r>
      <w:r w:rsidRPr="00A1470A">
        <w:rPr>
          <w:rFonts w:ascii="Times New Roman" w:eastAsia="標楷體" w:hAnsi="Times New Roman" w:hint="eastAsia"/>
          <w:sz w:val="28"/>
        </w:rPr>
        <w:t>公司</w:t>
      </w:r>
      <w:r w:rsidRPr="00A1470A">
        <w:rPr>
          <w:rFonts w:ascii="Times New Roman" w:eastAsia="標楷體" w:hAnsi="Times New Roman"/>
          <w:sz w:val="28"/>
        </w:rPr>
        <w:t>主要以「每年」與「每月」提供財報為主（</w:t>
      </w:r>
      <w:r w:rsidRPr="00A1470A">
        <w:rPr>
          <w:rFonts w:ascii="Times New Roman" w:eastAsia="標楷體" w:hAnsi="Times New Roman"/>
          <w:sz w:val="28"/>
        </w:rPr>
        <w:t>6</w:t>
      </w:r>
      <w:r w:rsidRPr="00A1470A">
        <w:rPr>
          <w:rFonts w:ascii="Times New Roman" w:eastAsia="標楷體" w:hAnsi="Times New Roman"/>
          <w:sz w:val="28"/>
        </w:rPr>
        <w:t>家與</w:t>
      </w:r>
      <w:r w:rsidRPr="00A1470A">
        <w:rPr>
          <w:rFonts w:ascii="Times New Roman" w:eastAsia="標楷體" w:hAnsi="Times New Roman"/>
          <w:sz w:val="28"/>
        </w:rPr>
        <w:t>5</w:t>
      </w:r>
      <w:r w:rsidRPr="00A1470A">
        <w:rPr>
          <w:rFonts w:ascii="Times New Roman" w:eastAsia="標楷體" w:hAnsi="Times New Roman"/>
          <w:sz w:val="28"/>
        </w:rPr>
        <w:t>家）</w:t>
      </w:r>
      <w:r>
        <w:rPr>
          <w:rFonts w:ascii="Times New Roman" w:eastAsia="標楷體" w:hAnsi="Times New Roman" w:hint="eastAsia"/>
          <w:sz w:val="28"/>
        </w:rPr>
        <w:t>，反映可能</w:t>
      </w:r>
      <w:r w:rsidRPr="00A1470A">
        <w:rPr>
          <w:rFonts w:ascii="Times New Roman" w:eastAsia="標楷體" w:hAnsi="Times New Roman"/>
          <w:sz w:val="28"/>
        </w:rPr>
        <w:t>初創公司階段資訊透明度差異大</w:t>
      </w:r>
      <w:r>
        <w:rPr>
          <w:rFonts w:ascii="Times New Roman" w:eastAsia="標楷體" w:hAnsi="Times New Roman" w:hint="eastAsia"/>
          <w:sz w:val="28"/>
        </w:rPr>
        <w:t>，</w:t>
      </w:r>
      <w:r w:rsidRPr="00A1470A">
        <w:rPr>
          <w:rFonts w:ascii="Times New Roman" w:eastAsia="標楷體" w:hAnsi="Times New Roman"/>
          <w:sz w:val="28"/>
        </w:rPr>
        <w:t>有些公司為了吸引投資者、建立信任，選擇頻繁（月或季）提供財報</w:t>
      </w:r>
      <w:r>
        <w:rPr>
          <w:rFonts w:ascii="Times New Roman" w:eastAsia="標楷體" w:hAnsi="Times New Roman" w:hint="eastAsia"/>
          <w:sz w:val="28"/>
        </w:rPr>
        <w:t>，</w:t>
      </w:r>
      <w:r w:rsidRPr="00A1470A">
        <w:rPr>
          <w:rFonts w:ascii="Times New Roman" w:eastAsia="標楷體" w:hAnsi="Times New Roman"/>
          <w:sz w:val="28"/>
        </w:rPr>
        <w:t>但也有公司因規模小、人力有限，只在年度進行財報揭露。第二階段</w:t>
      </w:r>
      <w:r w:rsidR="00553180" w:rsidRPr="00553180">
        <w:rPr>
          <w:rFonts w:ascii="Times New Roman" w:eastAsia="標楷體" w:hAnsi="Times New Roman" w:hint="eastAsia"/>
          <w:sz w:val="28"/>
        </w:rPr>
        <w:t>公司</w:t>
      </w:r>
      <w:r w:rsidRPr="00A1470A">
        <w:rPr>
          <w:rFonts w:ascii="Times New Roman" w:eastAsia="標楷體" w:hAnsi="Times New Roman"/>
          <w:sz w:val="28"/>
        </w:rPr>
        <w:t>以「每季」及「每年」提供為主（各</w:t>
      </w:r>
      <w:r w:rsidRPr="00A1470A">
        <w:rPr>
          <w:rFonts w:ascii="Times New Roman" w:eastAsia="標楷體" w:hAnsi="Times New Roman"/>
          <w:sz w:val="28"/>
        </w:rPr>
        <w:t>4</w:t>
      </w:r>
      <w:r w:rsidRPr="00A1470A">
        <w:rPr>
          <w:rFonts w:ascii="Times New Roman" w:eastAsia="標楷體" w:hAnsi="Times New Roman"/>
          <w:sz w:val="28"/>
        </w:rPr>
        <w:t>家）顯示</w:t>
      </w:r>
      <w:r w:rsidR="00553180" w:rsidRPr="00553180">
        <w:rPr>
          <w:rFonts w:ascii="Times New Roman" w:eastAsia="標楷體" w:hAnsi="Times New Roman" w:hint="eastAsia"/>
          <w:sz w:val="28"/>
        </w:rPr>
        <w:t>這時</w:t>
      </w:r>
      <w:r w:rsidRPr="00A1470A">
        <w:rPr>
          <w:rFonts w:ascii="Times New Roman" w:eastAsia="標楷體" w:hAnsi="Times New Roman"/>
          <w:sz w:val="28"/>
        </w:rPr>
        <w:t>已逐步建立穩定的財報制度，季報成為常態</w:t>
      </w:r>
      <w:r w:rsidR="00553180" w:rsidRPr="00553180">
        <w:rPr>
          <w:rFonts w:ascii="Times New Roman" w:eastAsia="標楷體" w:hAnsi="Times New Roman" w:hint="eastAsia"/>
          <w:sz w:val="28"/>
        </w:rPr>
        <w:t>，而</w:t>
      </w:r>
      <w:r w:rsidRPr="00A1470A">
        <w:rPr>
          <w:rFonts w:ascii="Times New Roman" w:eastAsia="標楷體" w:hAnsi="Times New Roman"/>
          <w:sz w:val="28"/>
        </w:rPr>
        <w:t>第三階段</w:t>
      </w:r>
      <w:r w:rsidR="00553180" w:rsidRPr="00553180">
        <w:rPr>
          <w:rFonts w:ascii="Times New Roman" w:eastAsia="標楷體" w:hAnsi="Times New Roman" w:hint="eastAsia"/>
          <w:sz w:val="28"/>
        </w:rPr>
        <w:t>公司</w:t>
      </w:r>
      <w:r w:rsidRPr="00A1470A">
        <w:rPr>
          <w:rFonts w:ascii="Times New Roman" w:eastAsia="標楷體" w:hAnsi="Times New Roman"/>
          <w:sz w:val="28"/>
        </w:rPr>
        <w:t>「每季提供」比例最高（</w:t>
      </w:r>
      <w:r w:rsidRPr="00A1470A">
        <w:rPr>
          <w:rFonts w:ascii="Times New Roman" w:eastAsia="標楷體" w:hAnsi="Times New Roman"/>
          <w:sz w:val="28"/>
        </w:rPr>
        <w:t>6</w:t>
      </w:r>
      <w:r w:rsidRPr="00A1470A">
        <w:rPr>
          <w:rFonts w:ascii="Times New Roman" w:eastAsia="標楷體" w:hAnsi="Times New Roman"/>
          <w:sz w:val="28"/>
        </w:rPr>
        <w:t>家），顯示企業已接近上市規範，資訊揭露頻率與上市公司接軌。</w:t>
      </w:r>
    </w:p>
    <w:p w14:paraId="561427D2" w14:textId="5E489135" w:rsidR="006C6EEA" w:rsidRPr="00580EE9" w:rsidRDefault="006C6EEA" w:rsidP="00580EE9">
      <w:pPr>
        <w:spacing w:line="440" w:lineRule="exact"/>
        <w:rPr>
          <w:rFonts w:ascii="Times New Roman" w:eastAsia="標楷體" w:hAnsi="Times New Roman"/>
          <w:sz w:val="28"/>
        </w:rPr>
      </w:pPr>
      <w:r>
        <w:rPr>
          <w:rFonts w:ascii="Times New Roman" w:eastAsia="標楷體" w:hAnsi="Times New Roman" w:hint="eastAsia"/>
          <w:noProof/>
          <w:sz w:val="28"/>
        </w:rPr>
        <w:drawing>
          <wp:anchor distT="0" distB="0" distL="114300" distR="114300" simplePos="0" relativeHeight="251665408" behindDoc="0" locked="0" layoutInCell="1" allowOverlap="1" wp14:anchorId="20F78A01" wp14:editId="5376037B">
            <wp:simplePos x="0" y="0"/>
            <wp:positionH relativeFrom="column">
              <wp:posOffset>0</wp:posOffset>
            </wp:positionH>
            <wp:positionV relativeFrom="paragraph">
              <wp:posOffset>380365</wp:posOffset>
            </wp:positionV>
            <wp:extent cx="5274310" cy="2451100"/>
            <wp:effectExtent l="0" t="0" r="2540" b="6350"/>
            <wp:wrapSquare wrapText="bothSides"/>
            <wp:docPr id="475581251" name="圖片 7" descr="一張含有 螢幕擷取畫面, 圖表, 行,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81251" name="圖片 7" descr="一張含有 螢幕擷取畫面, 圖表, 行, 鮮豔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274310" cy="2451100"/>
                    </a:xfrm>
                    <a:prstGeom prst="rect">
                      <a:avLst/>
                    </a:prstGeom>
                  </pic:spPr>
                </pic:pic>
              </a:graphicData>
            </a:graphic>
          </wp:anchor>
        </w:drawing>
      </w:r>
    </w:p>
    <w:sectPr w:rsidR="006C6EEA" w:rsidRPr="00580EE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9EA3B" w14:textId="77777777" w:rsidR="00881588" w:rsidRDefault="00881588" w:rsidP="002C1203">
      <w:pPr>
        <w:spacing w:after="0" w:line="240" w:lineRule="auto"/>
      </w:pPr>
      <w:r>
        <w:separator/>
      </w:r>
    </w:p>
  </w:endnote>
  <w:endnote w:type="continuationSeparator" w:id="0">
    <w:p w14:paraId="21D252E3" w14:textId="77777777" w:rsidR="00881588" w:rsidRDefault="00881588" w:rsidP="002C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7456" w14:textId="77777777" w:rsidR="00881588" w:rsidRDefault="00881588" w:rsidP="002C1203">
      <w:pPr>
        <w:spacing w:after="0" w:line="240" w:lineRule="auto"/>
      </w:pPr>
      <w:r>
        <w:separator/>
      </w:r>
    </w:p>
  </w:footnote>
  <w:footnote w:type="continuationSeparator" w:id="0">
    <w:p w14:paraId="3757F387" w14:textId="77777777" w:rsidR="00881588" w:rsidRDefault="00881588" w:rsidP="002C1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ED7"/>
    <w:multiLevelType w:val="hybridMultilevel"/>
    <w:tmpl w:val="8354AF0A"/>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6B1EF5"/>
    <w:multiLevelType w:val="hybridMultilevel"/>
    <w:tmpl w:val="18688E4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15B75D8"/>
    <w:multiLevelType w:val="hybridMultilevel"/>
    <w:tmpl w:val="8208123C"/>
    <w:lvl w:ilvl="0" w:tplc="84EE08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ABA0573"/>
    <w:multiLevelType w:val="hybridMultilevel"/>
    <w:tmpl w:val="8F3A4C52"/>
    <w:lvl w:ilvl="0" w:tplc="493ACD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985248"/>
    <w:multiLevelType w:val="hybridMultilevel"/>
    <w:tmpl w:val="D4C2C0B4"/>
    <w:lvl w:ilvl="0" w:tplc="F36E67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7C15713"/>
    <w:multiLevelType w:val="hybridMultilevel"/>
    <w:tmpl w:val="8ADC9B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FAA5B35"/>
    <w:multiLevelType w:val="multilevel"/>
    <w:tmpl w:val="B5D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470B2"/>
    <w:multiLevelType w:val="hybridMultilevel"/>
    <w:tmpl w:val="B6F0920C"/>
    <w:lvl w:ilvl="0" w:tplc="FFFFFFFF">
      <w:start w:val="1"/>
      <w:numFmt w:val="decimal"/>
      <w:lvlText w:val="%1."/>
      <w:lvlJc w:val="left"/>
      <w:pPr>
        <w:ind w:left="360" w:hanging="360"/>
      </w:pPr>
      <w:rPr>
        <w:rFonts w:hint="default"/>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ADE62F5"/>
    <w:multiLevelType w:val="multilevel"/>
    <w:tmpl w:val="583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B0D74"/>
    <w:multiLevelType w:val="multilevel"/>
    <w:tmpl w:val="9D2C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47D1A"/>
    <w:multiLevelType w:val="hybridMultilevel"/>
    <w:tmpl w:val="0512C244"/>
    <w:lvl w:ilvl="0" w:tplc="04090013">
      <w:start w:val="1"/>
      <w:numFmt w:val="upperRoman"/>
      <w:lvlText w:val="%1."/>
      <w:lvlJc w:val="left"/>
      <w:pPr>
        <w:ind w:left="480" w:hanging="480"/>
      </w:pPr>
    </w:lvl>
    <w:lvl w:ilvl="1" w:tplc="4664E000">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8F14C9C"/>
    <w:multiLevelType w:val="hybridMultilevel"/>
    <w:tmpl w:val="7C287A3A"/>
    <w:lvl w:ilvl="0" w:tplc="FFFFFFFF">
      <w:start w:val="1"/>
      <w:numFmt w:val="decimal"/>
      <w:lvlText w:val="(%1)"/>
      <w:lvlJc w:val="left"/>
      <w:pPr>
        <w:ind w:left="480" w:hanging="480"/>
      </w:pPr>
      <w:rPr>
        <w:rFonts w:ascii="Times New Roman" w:hAnsi="Times New Roman"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1909F3"/>
    <w:multiLevelType w:val="hybridMultilevel"/>
    <w:tmpl w:val="9398D7F2"/>
    <w:lvl w:ilvl="0" w:tplc="5FA46E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E24FA8"/>
    <w:multiLevelType w:val="hybridMultilevel"/>
    <w:tmpl w:val="E4EE1A22"/>
    <w:lvl w:ilvl="0" w:tplc="CD1A071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70EF53B9"/>
    <w:multiLevelType w:val="multilevel"/>
    <w:tmpl w:val="4AC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D14BE"/>
    <w:multiLevelType w:val="hybridMultilevel"/>
    <w:tmpl w:val="CB622822"/>
    <w:lvl w:ilvl="0" w:tplc="7AA6B2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50925C3"/>
    <w:multiLevelType w:val="multilevel"/>
    <w:tmpl w:val="E93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767730">
    <w:abstractNumId w:val="1"/>
  </w:num>
  <w:num w:numId="2" w16cid:durableId="1326392988">
    <w:abstractNumId w:val="11"/>
  </w:num>
  <w:num w:numId="3" w16cid:durableId="1077095865">
    <w:abstractNumId w:val="10"/>
  </w:num>
  <w:num w:numId="4" w16cid:durableId="163739308">
    <w:abstractNumId w:val="0"/>
  </w:num>
  <w:num w:numId="5" w16cid:durableId="475609692">
    <w:abstractNumId w:val="5"/>
  </w:num>
  <w:num w:numId="6" w16cid:durableId="748964344">
    <w:abstractNumId w:val="4"/>
  </w:num>
  <w:num w:numId="7" w16cid:durableId="322051849">
    <w:abstractNumId w:val="14"/>
  </w:num>
  <w:num w:numId="8" w16cid:durableId="1531721346">
    <w:abstractNumId w:val="13"/>
  </w:num>
  <w:num w:numId="9" w16cid:durableId="1139304045">
    <w:abstractNumId w:val="15"/>
  </w:num>
  <w:num w:numId="10" w16cid:durableId="623660442">
    <w:abstractNumId w:val="7"/>
  </w:num>
  <w:num w:numId="11" w16cid:durableId="1929076209">
    <w:abstractNumId w:val="12"/>
  </w:num>
  <w:num w:numId="12" w16cid:durableId="1574654541">
    <w:abstractNumId w:val="3"/>
  </w:num>
  <w:num w:numId="13" w16cid:durableId="682825497">
    <w:abstractNumId w:val="6"/>
  </w:num>
  <w:num w:numId="14" w16cid:durableId="206836831">
    <w:abstractNumId w:val="2"/>
  </w:num>
  <w:num w:numId="15" w16cid:durableId="2089686018">
    <w:abstractNumId w:val="9"/>
  </w:num>
  <w:num w:numId="16" w16cid:durableId="217786369">
    <w:abstractNumId w:val="8"/>
  </w:num>
  <w:num w:numId="17" w16cid:durableId="1959683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71"/>
    <w:rsid w:val="00001F60"/>
    <w:rsid w:val="00002D22"/>
    <w:rsid w:val="00041A3D"/>
    <w:rsid w:val="0008198A"/>
    <w:rsid w:val="001571F1"/>
    <w:rsid w:val="001D1B66"/>
    <w:rsid w:val="002138B9"/>
    <w:rsid w:val="00216B79"/>
    <w:rsid w:val="0024025E"/>
    <w:rsid w:val="002418CB"/>
    <w:rsid w:val="002519D7"/>
    <w:rsid w:val="00266F18"/>
    <w:rsid w:val="00276D9D"/>
    <w:rsid w:val="002C1203"/>
    <w:rsid w:val="002F72D1"/>
    <w:rsid w:val="00312B7A"/>
    <w:rsid w:val="00325BE6"/>
    <w:rsid w:val="003A3E22"/>
    <w:rsid w:val="003C3DB5"/>
    <w:rsid w:val="003C52A0"/>
    <w:rsid w:val="00436D65"/>
    <w:rsid w:val="005155A2"/>
    <w:rsid w:val="00553180"/>
    <w:rsid w:val="00580EE9"/>
    <w:rsid w:val="005A3545"/>
    <w:rsid w:val="005A7A5E"/>
    <w:rsid w:val="005D490C"/>
    <w:rsid w:val="00617D74"/>
    <w:rsid w:val="00622E71"/>
    <w:rsid w:val="0062630D"/>
    <w:rsid w:val="00661B0E"/>
    <w:rsid w:val="00661BD6"/>
    <w:rsid w:val="00664AAB"/>
    <w:rsid w:val="006A0BD2"/>
    <w:rsid w:val="006A2E0D"/>
    <w:rsid w:val="006C6EEA"/>
    <w:rsid w:val="00746E09"/>
    <w:rsid w:val="00750C07"/>
    <w:rsid w:val="00761251"/>
    <w:rsid w:val="00822538"/>
    <w:rsid w:val="00835EB4"/>
    <w:rsid w:val="00850269"/>
    <w:rsid w:val="00867C38"/>
    <w:rsid w:val="008702B3"/>
    <w:rsid w:val="00881588"/>
    <w:rsid w:val="008A2FE5"/>
    <w:rsid w:val="008D7231"/>
    <w:rsid w:val="008E037C"/>
    <w:rsid w:val="009015F5"/>
    <w:rsid w:val="0090166E"/>
    <w:rsid w:val="0090182B"/>
    <w:rsid w:val="00972E2E"/>
    <w:rsid w:val="00A04158"/>
    <w:rsid w:val="00A12C8A"/>
    <w:rsid w:val="00A1470A"/>
    <w:rsid w:val="00A26B49"/>
    <w:rsid w:val="00A30198"/>
    <w:rsid w:val="00A44ADB"/>
    <w:rsid w:val="00A57F12"/>
    <w:rsid w:val="00AB17B6"/>
    <w:rsid w:val="00AB3830"/>
    <w:rsid w:val="00AB63F9"/>
    <w:rsid w:val="00B04866"/>
    <w:rsid w:val="00BE0272"/>
    <w:rsid w:val="00C26CC6"/>
    <w:rsid w:val="00C73390"/>
    <w:rsid w:val="00C76711"/>
    <w:rsid w:val="00D0763D"/>
    <w:rsid w:val="00D42225"/>
    <w:rsid w:val="00D630B0"/>
    <w:rsid w:val="00D7284D"/>
    <w:rsid w:val="00D7306D"/>
    <w:rsid w:val="00DA0C9C"/>
    <w:rsid w:val="00DE0AEB"/>
    <w:rsid w:val="00E33791"/>
    <w:rsid w:val="00E60554"/>
    <w:rsid w:val="00E929E8"/>
    <w:rsid w:val="00ED7AE3"/>
    <w:rsid w:val="00EF409B"/>
    <w:rsid w:val="00F168B1"/>
    <w:rsid w:val="00F21211"/>
    <w:rsid w:val="00F435FF"/>
    <w:rsid w:val="00F71245"/>
    <w:rsid w:val="00F9357B"/>
    <w:rsid w:val="00FB168C"/>
    <w:rsid w:val="00FB41B3"/>
    <w:rsid w:val="00FF5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8473F"/>
  <w15:chartTrackingRefBased/>
  <w15:docId w15:val="{5E2BAA1A-DD82-4379-BE51-87C708FA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2E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2E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2E7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22E7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22E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2E7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22E7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2E7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22E7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22E7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22E7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22E7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22E7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22E71"/>
    <w:rPr>
      <w:rFonts w:eastAsiaTheme="majorEastAsia" w:cstheme="majorBidi"/>
      <w:color w:val="0F4761" w:themeColor="accent1" w:themeShade="BF"/>
    </w:rPr>
  </w:style>
  <w:style w:type="character" w:customStyle="1" w:styleId="60">
    <w:name w:val="標題 6 字元"/>
    <w:basedOn w:val="a0"/>
    <w:link w:val="6"/>
    <w:uiPriority w:val="9"/>
    <w:semiHidden/>
    <w:rsid w:val="00622E71"/>
    <w:rPr>
      <w:rFonts w:eastAsiaTheme="majorEastAsia" w:cstheme="majorBidi"/>
      <w:color w:val="595959" w:themeColor="text1" w:themeTint="A6"/>
    </w:rPr>
  </w:style>
  <w:style w:type="character" w:customStyle="1" w:styleId="70">
    <w:name w:val="標題 7 字元"/>
    <w:basedOn w:val="a0"/>
    <w:link w:val="7"/>
    <w:uiPriority w:val="9"/>
    <w:semiHidden/>
    <w:rsid w:val="00622E71"/>
    <w:rPr>
      <w:rFonts w:eastAsiaTheme="majorEastAsia" w:cstheme="majorBidi"/>
      <w:color w:val="595959" w:themeColor="text1" w:themeTint="A6"/>
    </w:rPr>
  </w:style>
  <w:style w:type="character" w:customStyle="1" w:styleId="80">
    <w:name w:val="標題 8 字元"/>
    <w:basedOn w:val="a0"/>
    <w:link w:val="8"/>
    <w:uiPriority w:val="9"/>
    <w:semiHidden/>
    <w:rsid w:val="00622E71"/>
    <w:rPr>
      <w:rFonts w:eastAsiaTheme="majorEastAsia" w:cstheme="majorBidi"/>
      <w:color w:val="272727" w:themeColor="text1" w:themeTint="D8"/>
    </w:rPr>
  </w:style>
  <w:style w:type="character" w:customStyle="1" w:styleId="90">
    <w:name w:val="標題 9 字元"/>
    <w:basedOn w:val="a0"/>
    <w:link w:val="9"/>
    <w:uiPriority w:val="9"/>
    <w:semiHidden/>
    <w:rsid w:val="00622E71"/>
    <w:rPr>
      <w:rFonts w:eastAsiaTheme="majorEastAsia" w:cstheme="majorBidi"/>
      <w:color w:val="272727" w:themeColor="text1" w:themeTint="D8"/>
    </w:rPr>
  </w:style>
  <w:style w:type="paragraph" w:styleId="a3">
    <w:name w:val="Title"/>
    <w:basedOn w:val="a"/>
    <w:next w:val="a"/>
    <w:link w:val="a4"/>
    <w:uiPriority w:val="10"/>
    <w:qFormat/>
    <w:rsid w:val="00622E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22E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2E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22E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2E71"/>
    <w:pPr>
      <w:spacing w:before="160"/>
      <w:jc w:val="center"/>
    </w:pPr>
    <w:rPr>
      <w:i/>
      <w:iCs/>
      <w:color w:val="404040" w:themeColor="text1" w:themeTint="BF"/>
    </w:rPr>
  </w:style>
  <w:style w:type="character" w:customStyle="1" w:styleId="a8">
    <w:name w:val="引文 字元"/>
    <w:basedOn w:val="a0"/>
    <w:link w:val="a7"/>
    <w:uiPriority w:val="29"/>
    <w:rsid w:val="00622E71"/>
    <w:rPr>
      <w:i/>
      <w:iCs/>
      <w:color w:val="404040" w:themeColor="text1" w:themeTint="BF"/>
    </w:rPr>
  </w:style>
  <w:style w:type="paragraph" w:styleId="a9">
    <w:name w:val="List Paragraph"/>
    <w:aliases w:val="12 20,4 Párrafo de lista,Figuras,Dot pt,List Paragraph Char Char Char,Indicator Text,List Paragraph1,Numbered Para 1,DH1,Recommendation,List Paragraph,²M³æ¬q¸¨1,(二),卑南壹,lp1,FooterText,numbered,Paragraphe de liste1,清單段落31,列點,標題 (4),樣式 清單段落+標題2"/>
    <w:basedOn w:val="a"/>
    <w:link w:val="aa"/>
    <w:uiPriority w:val="34"/>
    <w:qFormat/>
    <w:rsid w:val="00622E71"/>
    <w:pPr>
      <w:ind w:left="720"/>
      <w:contextualSpacing/>
    </w:pPr>
  </w:style>
  <w:style w:type="character" w:styleId="ab">
    <w:name w:val="Intense Emphasis"/>
    <w:basedOn w:val="a0"/>
    <w:uiPriority w:val="21"/>
    <w:qFormat/>
    <w:rsid w:val="00622E71"/>
    <w:rPr>
      <w:i/>
      <w:iCs/>
      <w:color w:val="0F4761" w:themeColor="accent1" w:themeShade="BF"/>
    </w:rPr>
  </w:style>
  <w:style w:type="paragraph" w:styleId="ac">
    <w:name w:val="Intense Quote"/>
    <w:basedOn w:val="a"/>
    <w:next w:val="a"/>
    <w:link w:val="ad"/>
    <w:uiPriority w:val="30"/>
    <w:qFormat/>
    <w:rsid w:val="00622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622E71"/>
    <w:rPr>
      <w:i/>
      <w:iCs/>
      <w:color w:val="0F4761" w:themeColor="accent1" w:themeShade="BF"/>
    </w:rPr>
  </w:style>
  <w:style w:type="character" w:styleId="ae">
    <w:name w:val="Intense Reference"/>
    <w:basedOn w:val="a0"/>
    <w:uiPriority w:val="32"/>
    <w:qFormat/>
    <w:rsid w:val="00622E71"/>
    <w:rPr>
      <w:b/>
      <w:bCs/>
      <w:smallCaps/>
      <w:color w:val="0F4761" w:themeColor="accent1" w:themeShade="BF"/>
      <w:spacing w:val="5"/>
    </w:rPr>
  </w:style>
  <w:style w:type="character" w:styleId="af">
    <w:name w:val="annotation reference"/>
    <w:basedOn w:val="a0"/>
    <w:uiPriority w:val="99"/>
    <w:unhideWhenUsed/>
    <w:rsid w:val="00835EB4"/>
    <w:rPr>
      <w:sz w:val="18"/>
      <w:szCs w:val="18"/>
    </w:rPr>
  </w:style>
  <w:style w:type="paragraph" w:styleId="af0">
    <w:name w:val="annotation text"/>
    <w:basedOn w:val="a"/>
    <w:link w:val="af1"/>
    <w:uiPriority w:val="99"/>
    <w:unhideWhenUsed/>
    <w:rsid w:val="00835EB4"/>
    <w:pPr>
      <w:widowControl/>
      <w:spacing w:after="0" w:line="240" w:lineRule="auto"/>
    </w:pPr>
    <w:rPr>
      <w:rFonts w:ascii="Times New Roman" w:eastAsia="新細明體" w:hAnsi="Times New Roman" w:cs="Times New Roman"/>
      <w14:ligatures w14:val="none"/>
    </w:rPr>
  </w:style>
  <w:style w:type="character" w:customStyle="1" w:styleId="af1">
    <w:name w:val="註解文字 字元"/>
    <w:basedOn w:val="a0"/>
    <w:link w:val="af0"/>
    <w:uiPriority w:val="99"/>
    <w:rsid w:val="00835EB4"/>
    <w:rPr>
      <w:rFonts w:ascii="Times New Roman" w:eastAsia="新細明體" w:hAnsi="Times New Roman" w:cs="Times New Roman"/>
      <w14:ligatures w14:val="none"/>
    </w:rPr>
  </w:style>
  <w:style w:type="character" w:customStyle="1" w:styleId="aa">
    <w:name w:val="清單段落 字元"/>
    <w:aliases w:val="12 20 字元,4 Párrafo de lista 字元,Figuras 字元,Dot pt 字元,List Paragraph Char Char Char 字元,Indicator Text 字元,List Paragraph1 字元,Numbered Para 1 字元,DH1 字元,Recommendation 字元,List Paragraph 字元,²M³æ¬q¸¨1 字元,(二) 字元,卑南壹 字元,lp1 字元,FooterText 字元,numbered 字元"/>
    <w:link w:val="a9"/>
    <w:uiPriority w:val="34"/>
    <w:qFormat/>
    <w:locked/>
    <w:rsid w:val="00835EB4"/>
  </w:style>
  <w:style w:type="paragraph" w:styleId="Web">
    <w:name w:val="Normal (Web)"/>
    <w:basedOn w:val="a"/>
    <w:uiPriority w:val="99"/>
    <w:semiHidden/>
    <w:unhideWhenUsed/>
    <w:rsid w:val="006A0BD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Strong"/>
    <w:basedOn w:val="a0"/>
    <w:uiPriority w:val="22"/>
    <w:qFormat/>
    <w:rsid w:val="006A0BD2"/>
    <w:rPr>
      <w:b/>
      <w:bCs/>
    </w:rPr>
  </w:style>
  <w:style w:type="paragraph" w:styleId="af3">
    <w:name w:val="header"/>
    <w:basedOn w:val="a"/>
    <w:link w:val="af4"/>
    <w:uiPriority w:val="99"/>
    <w:unhideWhenUsed/>
    <w:rsid w:val="002C1203"/>
    <w:pPr>
      <w:tabs>
        <w:tab w:val="center" w:pos="4153"/>
        <w:tab w:val="right" w:pos="8306"/>
      </w:tabs>
      <w:snapToGrid w:val="0"/>
    </w:pPr>
    <w:rPr>
      <w:sz w:val="20"/>
      <w:szCs w:val="20"/>
    </w:rPr>
  </w:style>
  <w:style w:type="character" w:customStyle="1" w:styleId="af4">
    <w:name w:val="頁首 字元"/>
    <w:basedOn w:val="a0"/>
    <w:link w:val="af3"/>
    <w:uiPriority w:val="99"/>
    <w:rsid w:val="002C1203"/>
    <w:rPr>
      <w:sz w:val="20"/>
      <w:szCs w:val="20"/>
    </w:rPr>
  </w:style>
  <w:style w:type="paragraph" w:styleId="af5">
    <w:name w:val="footer"/>
    <w:basedOn w:val="a"/>
    <w:link w:val="af6"/>
    <w:uiPriority w:val="99"/>
    <w:unhideWhenUsed/>
    <w:rsid w:val="002C1203"/>
    <w:pPr>
      <w:tabs>
        <w:tab w:val="center" w:pos="4153"/>
        <w:tab w:val="right" w:pos="8306"/>
      </w:tabs>
      <w:snapToGrid w:val="0"/>
    </w:pPr>
    <w:rPr>
      <w:sz w:val="20"/>
      <w:szCs w:val="20"/>
    </w:rPr>
  </w:style>
  <w:style w:type="character" w:customStyle="1" w:styleId="af6">
    <w:name w:val="頁尾 字元"/>
    <w:basedOn w:val="a0"/>
    <w:link w:val="af5"/>
    <w:uiPriority w:val="99"/>
    <w:rsid w:val="002C120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0D183-8213-4A84-9EEE-BAD38C9C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黃薇樺</dc:creator>
  <cp:keywords/>
  <dc:description/>
  <cp:lastModifiedBy>黃薇樺</cp:lastModifiedBy>
  <cp:revision>2</cp:revision>
  <dcterms:created xsi:type="dcterms:W3CDTF">2025-11-12T01:11:00Z</dcterms:created>
  <dcterms:modified xsi:type="dcterms:W3CDTF">2025-11-12T01:11:00Z</dcterms:modified>
</cp:coreProperties>
</file>