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04F711" w14:textId="77777777" w:rsidR="00C13B90" w:rsidRPr="00C13B90" w:rsidRDefault="00C13B90">
      <w:pPr>
        <w:rPr>
          <w:rFonts w:ascii="Garamond" w:hAnsi="Garamond"/>
          <w:b/>
          <w:bCs/>
          <w:sz w:val="28"/>
          <w:szCs w:val="28"/>
          <w:lang w:val="en-US"/>
        </w:rPr>
      </w:pPr>
      <w:r w:rsidRPr="00C13B90">
        <w:rPr>
          <w:rFonts w:ascii="Garamond" w:hAnsi="Garamond"/>
          <w:b/>
          <w:bCs/>
          <w:sz w:val="28"/>
          <w:szCs w:val="28"/>
          <w:lang w:val="en-US"/>
        </w:rPr>
        <w:t>POLICY IMPLICATIONS</w:t>
      </w:r>
    </w:p>
    <w:p w14:paraId="3B872091" w14:textId="3DE3FA8A" w:rsidR="00C13B90" w:rsidRDefault="00C13B90">
      <w:pPr>
        <w:rPr>
          <w:rFonts w:ascii="Garamond" w:hAnsi="Garamond"/>
          <w:b/>
          <w:bCs/>
          <w:sz w:val="28"/>
          <w:szCs w:val="28"/>
          <w:lang w:val="en-US"/>
        </w:rPr>
      </w:pPr>
      <w:r w:rsidRPr="00C13B90">
        <w:rPr>
          <w:rFonts w:ascii="Garamond" w:hAnsi="Garamond"/>
          <w:b/>
          <w:bCs/>
          <w:sz w:val="28"/>
          <w:szCs w:val="28"/>
          <w:lang w:val="en-US"/>
        </w:rPr>
        <w:t>(subsections inspired by</w:t>
      </w:r>
      <w:r>
        <w:rPr>
          <w:rFonts w:ascii="Garamond" w:hAnsi="Garamond"/>
          <w:b/>
          <w:bCs/>
          <w:sz w:val="28"/>
          <w:szCs w:val="28"/>
          <w:lang w:val="en-US"/>
        </w:rPr>
        <w:t xml:space="preserve"> Behavioral Industrial Organization, Handbook of Behavioral Economics</w:t>
      </w:r>
      <w:r w:rsidR="005071FE">
        <w:rPr>
          <w:rFonts w:ascii="Garamond" w:hAnsi="Garamond"/>
          <w:b/>
          <w:bCs/>
          <w:sz w:val="28"/>
          <w:szCs w:val="28"/>
          <w:lang w:val="en-US"/>
        </w:rPr>
        <w:t xml:space="preserve">, and adding further literature </w:t>
      </w:r>
      <w:r w:rsidR="00A87470">
        <w:rPr>
          <w:rFonts w:ascii="Garamond" w:hAnsi="Garamond"/>
          <w:b/>
          <w:bCs/>
          <w:sz w:val="28"/>
          <w:szCs w:val="28"/>
          <w:lang w:val="en-US"/>
        </w:rPr>
        <w:t>for policies and regulatory concerns</w:t>
      </w:r>
      <w:r w:rsidRPr="00C13B90">
        <w:rPr>
          <w:rFonts w:ascii="Garamond" w:hAnsi="Garamond"/>
          <w:b/>
          <w:bCs/>
          <w:sz w:val="28"/>
          <w:szCs w:val="28"/>
          <w:lang w:val="en-US"/>
        </w:rPr>
        <w:t>)</w:t>
      </w:r>
    </w:p>
    <w:p w14:paraId="49F928E7" w14:textId="77777777" w:rsidR="00C13B90" w:rsidRDefault="00C13B90">
      <w:pPr>
        <w:rPr>
          <w:rFonts w:ascii="Garamond" w:hAnsi="Garamond"/>
          <w:b/>
          <w:bCs/>
          <w:sz w:val="28"/>
          <w:szCs w:val="28"/>
          <w:lang w:val="en-US"/>
        </w:rPr>
      </w:pPr>
    </w:p>
    <w:p w14:paraId="76A2F1AB" w14:textId="77777777" w:rsidR="00C13B90" w:rsidRPr="00DB1D37" w:rsidRDefault="00C13B90" w:rsidP="00DB1D37">
      <w:pPr>
        <w:rPr>
          <w:rFonts w:ascii="Garamond" w:hAnsi="Garamond"/>
          <w:b/>
          <w:bCs/>
          <w:sz w:val="28"/>
          <w:szCs w:val="28"/>
          <w:lang w:val="en-US"/>
        </w:rPr>
      </w:pPr>
      <w:r w:rsidRPr="00DB1D37">
        <w:rPr>
          <w:rFonts w:ascii="Garamond" w:hAnsi="Garamond"/>
          <w:b/>
          <w:bCs/>
          <w:sz w:val="28"/>
          <w:szCs w:val="28"/>
          <w:lang w:val="en-US"/>
        </w:rPr>
        <w:t>Inadequacy of market solutions</w:t>
      </w:r>
    </w:p>
    <w:p w14:paraId="641E1F76" w14:textId="77777777" w:rsidR="00222E27" w:rsidRDefault="00222E27" w:rsidP="00DB1D37">
      <w:pPr>
        <w:pStyle w:val="ListParagraph"/>
        <w:numPr>
          <w:ilvl w:val="0"/>
          <w:numId w:val="2"/>
        </w:numPr>
        <w:rPr>
          <w:rFonts w:ascii="Garamond" w:hAnsi="Garamond"/>
          <w:sz w:val="28"/>
          <w:szCs w:val="28"/>
          <w:lang w:val="en-US"/>
        </w:rPr>
      </w:pPr>
      <w:r>
        <w:rPr>
          <w:rFonts w:ascii="Garamond" w:hAnsi="Garamond"/>
          <w:sz w:val="28"/>
          <w:szCs w:val="28"/>
          <w:lang w:val="en-US"/>
        </w:rPr>
        <w:t xml:space="preserve">Competition and other market-based solutions do not solve the welfare problems created by naiveté-based discrimination. We do not live in a world where everyone is fully rational. </w:t>
      </w:r>
    </w:p>
    <w:p w14:paraId="72A9D2BF" w14:textId="77777777" w:rsidR="00DB1D37" w:rsidRDefault="00DB1D37" w:rsidP="00222E27">
      <w:pPr>
        <w:pStyle w:val="ListParagraph"/>
        <w:rPr>
          <w:rFonts w:ascii="Garamond" w:hAnsi="Garamond"/>
          <w:sz w:val="28"/>
          <w:szCs w:val="28"/>
          <w:lang w:val="en-US"/>
        </w:rPr>
      </w:pPr>
    </w:p>
    <w:p w14:paraId="7806E444" w14:textId="77777777" w:rsidR="00DB1D37" w:rsidRDefault="00DB1D37" w:rsidP="00DB1D37">
      <w:pPr>
        <w:pStyle w:val="ListParagraph"/>
        <w:numPr>
          <w:ilvl w:val="0"/>
          <w:numId w:val="2"/>
        </w:numPr>
        <w:rPr>
          <w:rFonts w:ascii="Garamond" w:hAnsi="Garamond"/>
          <w:sz w:val="28"/>
          <w:szCs w:val="28"/>
          <w:lang w:val="en-US"/>
        </w:rPr>
      </w:pPr>
      <w:r>
        <w:rPr>
          <w:rFonts w:ascii="Garamond" w:hAnsi="Garamond"/>
          <w:sz w:val="28"/>
          <w:szCs w:val="28"/>
          <w:lang w:val="en-US"/>
        </w:rPr>
        <w:t xml:space="preserve">Advice from intermediaries </w:t>
      </w:r>
    </w:p>
    <w:p w14:paraId="3B7000B6" w14:textId="19776636" w:rsidR="00DB1D37" w:rsidRPr="00DB1D37" w:rsidRDefault="006D0162" w:rsidP="006D0162">
      <w:pPr>
        <w:ind w:left="1080"/>
        <w:rPr>
          <w:rFonts w:ascii="Garamond" w:hAnsi="Garamond"/>
          <w:sz w:val="28"/>
          <w:szCs w:val="28"/>
          <w:lang w:val="en-US"/>
        </w:rPr>
      </w:pPr>
      <w:r>
        <w:rPr>
          <w:rFonts w:ascii="Garamond" w:hAnsi="Garamond"/>
          <w:sz w:val="28"/>
          <w:szCs w:val="28"/>
          <w:lang w:val="en-US"/>
        </w:rPr>
        <w:t>?</w:t>
      </w:r>
      <w:r w:rsidR="00195074">
        <w:rPr>
          <w:rFonts w:ascii="Garamond" w:hAnsi="Garamond"/>
          <w:sz w:val="28"/>
          <w:szCs w:val="28"/>
          <w:lang w:val="en-US"/>
        </w:rPr>
        <w:t xml:space="preserve"> (Not sure about this.)</w:t>
      </w:r>
    </w:p>
    <w:p w14:paraId="52D81145" w14:textId="77777777" w:rsidR="00DB1D37" w:rsidRPr="00DB1D37" w:rsidRDefault="00DB1D37" w:rsidP="00DB1D37">
      <w:pPr>
        <w:rPr>
          <w:rFonts w:ascii="Garamond" w:hAnsi="Garamond"/>
          <w:sz w:val="28"/>
          <w:szCs w:val="28"/>
          <w:lang w:val="en-US"/>
        </w:rPr>
      </w:pPr>
    </w:p>
    <w:p w14:paraId="461B6506" w14:textId="77777777" w:rsidR="00C13B90" w:rsidRDefault="00C13B90" w:rsidP="00DB1D37">
      <w:pPr>
        <w:rPr>
          <w:rFonts w:ascii="Garamond" w:hAnsi="Garamond"/>
          <w:b/>
          <w:bCs/>
          <w:sz w:val="28"/>
          <w:szCs w:val="28"/>
          <w:lang w:val="en-US"/>
        </w:rPr>
      </w:pPr>
      <w:r w:rsidRPr="00DB1D37">
        <w:rPr>
          <w:rFonts w:ascii="Garamond" w:hAnsi="Garamond"/>
          <w:b/>
          <w:bCs/>
          <w:sz w:val="28"/>
          <w:szCs w:val="28"/>
          <w:lang w:val="en-US"/>
        </w:rPr>
        <w:t>Soft Paternalism</w:t>
      </w:r>
    </w:p>
    <w:p w14:paraId="23FF72AB" w14:textId="77777777" w:rsidR="00B15884" w:rsidRPr="00B15884" w:rsidRDefault="00B15884" w:rsidP="00B15884">
      <w:pPr>
        <w:pStyle w:val="ListParagraph"/>
        <w:numPr>
          <w:ilvl w:val="0"/>
          <w:numId w:val="2"/>
        </w:numPr>
        <w:rPr>
          <w:rFonts w:ascii="Garamond" w:hAnsi="Garamond"/>
          <w:b/>
          <w:bCs/>
          <w:sz w:val="28"/>
          <w:szCs w:val="28"/>
          <w:lang w:val="en-US"/>
        </w:rPr>
      </w:pPr>
      <w:r w:rsidRPr="00D028E2">
        <w:rPr>
          <w:rFonts w:ascii="Garamond" w:hAnsi="Garamond"/>
          <w:b/>
          <w:bCs/>
          <w:sz w:val="28"/>
          <w:szCs w:val="28"/>
          <w:lang w:val="en-US"/>
        </w:rPr>
        <w:t>Libertarian paternalism</w:t>
      </w:r>
      <w:r>
        <w:rPr>
          <w:rFonts w:ascii="Garamond" w:hAnsi="Garamond"/>
          <w:sz w:val="28"/>
          <w:szCs w:val="28"/>
          <w:lang w:val="en-US"/>
        </w:rPr>
        <w:t xml:space="preserve"> (Thaler and Sunstein, 2003): It induces naïve consumers to make better decisions without interfering with their choices. They are free to choose as they would without the policy</w:t>
      </w:r>
    </w:p>
    <w:p w14:paraId="19DEDBA5" w14:textId="77777777" w:rsidR="00B15884" w:rsidRPr="00B15884" w:rsidRDefault="00B15884" w:rsidP="00B15884">
      <w:pPr>
        <w:pStyle w:val="ListParagraph"/>
        <w:numPr>
          <w:ilvl w:val="0"/>
          <w:numId w:val="2"/>
        </w:numPr>
        <w:rPr>
          <w:rFonts w:ascii="Garamond" w:hAnsi="Garamond"/>
          <w:b/>
          <w:bCs/>
          <w:sz w:val="28"/>
          <w:szCs w:val="28"/>
          <w:lang w:val="en-US"/>
        </w:rPr>
      </w:pPr>
      <w:r w:rsidRPr="00D028E2">
        <w:rPr>
          <w:rFonts w:ascii="Garamond" w:hAnsi="Garamond"/>
          <w:b/>
          <w:bCs/>
          <w:sz w:val="28"/>
          <w:szCs w:val="28"/>
          <w:lang w:val="en-US"/>
        </w:rPr>
        <w:t>Asymmetric paternalism</w:t>
      </w:r>
      <w:r>
        <w:rPr>
          <w:rFonts w:ascii="Garamond" w:hAnsi="Garamond"/>
          <w:sz w:val="28"/>
          <w:szCs w:val="28"/>
          <w:lang w:val="en-US"/>
        </w:rPr>
        <w:t xml:space="preserve"> (Camerer et al., 2003): it helps consumers who make mistakes without hurting others who are choosing optimally</w:t>
      </w:r>
    </w:p>
    <w:p w14:paraId="159D1466" w14:textId="181FD815" w:rsidR="00B15884" w:rsidRPr="004122A8" w:rsidRDefault="00B15884" w:rsidP="00B15884">
      <w:pPr>
        <w:pStyle w:val="ListParagraph"/>
        <w:numPr>
          <w:ilvl w:val="0"/>
          <w:numId w:val="2"/>
        </w:numPr>
        <w:rPr>
          <w:rFonts w:ascii="Garamond" w:hAnsi="Garamond"/>
          <w:b/>
          <w:bCs/>
          <w:color w:val="FF0000"/>
          <w:sz w:val="28"/>
          <w:szCs w:val="28"/>
          <w:lang w:val="en-US"/>
        </w:rPr>
      </w:pPr>
      <w:r>
        <w:rPr>
          <w:rFonts w:ascii="Garamond" w:hAnsi="Garamond"/>
          <w:b/>
          <w:bCs/>
          <w:sz w:val="28"/>
          <w:szCs w:val="28"/>
          <w:lang w:val="en-US"/>
        </w:rPr>
        <w:t xml:space="preserve">Problems: </w:t>
      </w:r>
      <w:r>
        <w:rPr>
          <w:rFonts w:ascii="Garamond" w:hAnsi="Garamond"/>
          <w:sz w:val="28"/>
          <w:szCs w:val="28"/>
          <w:lang w:val="en-US"/>
        </w:rPr>
        <w:t xml:space="preserve">When the behavior of consumers changes, supply decisions change, so no possibility of </w:t>
      </w:r>
      <w:r w:rsidRPr="00A20033">
        <w:rPr>
          <w:rFonts w:ascii="Garamond" w:hAnsi="Garamond"/>
          <w:i/>
          <w:iCs/>
          <w:sz w:val="28"/>
          <w:szCs w:val="28"/>
          <w:lang w:val="en-US"/>
        </w:rPr>
        <w:t>libertarian paternalism</w:t>
      </w:r>
      <w:r>
        <w:rPr>
          <w:rFonts w:ascii="Garamond" w:hAnsi="Garamond"/>
          <w:sz w:val="28"/>
          <w:szCs w:val="28"/>
          <w:lang w:val="en-US"/>
        </w:rPr>
        <w:t xml:space="preserve">. </w:t>
      </w:r>
      <w:r w:rsidRPr="00A20033">
        <w:rPr>
          <w:rFonts w:ascii="Garamond" w:hAnsi="Garamond"/>
          <w:i/>
          <w:iCs/>
          <w:sz w:val="28"/>
          <w:szCs w:val="28"/>
          <w:lang w:val="en-US"/>
        </w:rPr>
        <w:t>Asymmetric paternalism</w:t>
      </w:r>
      <w:r>
        <w:rPr>
          <w:rFonts w:ascii="Garamond" w:hAnsi="Garamond"/>
          <w:sz w:val="28"/>
          <w:szCs w:val="28"/>
          <w:lang w:val="en-US"/>
        </w:rPr>
        <w:t xml:space="preserve"> cannot be achieved because sophisticated consumers are worse off. (Corollary </w:t>
      </w:r>
      <w:proofErr w:type="gramStart"/>
      <w:r>
        <w:rPr>
          <w:rFonts w:ascii="Garamond" w:hAnsi="Garamond"/>
          <w:sz w:val="28"/>
          <w:szCs w:val="28"/>
          <w:lang w:val="en-US"/>
        </w:rPr>
        <w:t>1.ii.</w:t>
      </w:r>
      <w:proofErr w:type="gramEnd"/>
      <w:r>
        <w:rPr>
          <w:rFonts w:ascii="Garamond" w:hAnsi="Garamond"/>
          <w:sz w:val="28"/>
          <w:szCs w:val="28"/>
          <w:lang w:val="en-US"/>
        </w:rPr>
        <w:t xml:space="preserve"> “Sophisticated consumers are worse off in the more sophisticated pool when there is a discrimination.”)</w:t>
      </w:r>
      <w:r w:rsidR="00A20033">
        <w:rPr>
          <w:rFonts w:ascii="Garamond" w:hAnsi="Garamond"/>
          <w:sz w:val="28"/>
          <w:szCs w:val="28"/>
          <w:lang w:val="en-US"/>
        </w:rPr>
        <w:t xml:space="preserve">. </w:t>
      </w:r>
      <w:r w:rsidR="00A20033" w:rsidRPr="00A20033">
        <w:rPr>
          <w:rFonts w:ascii="Garamond" w:hAnsi="Garamond"/>
          <w:color w:val="FF0000"/>
          <w:sz w:val="28"/>
          <w:szCs w:val="28"/>
          <w:lang w:val="en-US"/>
        </w:rPr>
        <w:t>Here taking homogeneous distortion in imperfect competition</w:t>
      </w:r>
      <w:r w:rsidR="00A20033">
        <w:rPr>
          <w:rFonts w:ascii="Garamond" w:hAnsi="Garamond"/>
          <w:color w:val="FF0000"/>
          <w:sz w:val="28"/>
          <w:szCs w:val="28"/>
          <w:lang w:val="en-US"/>
        </w:rPr>
        <w:t xml:space="preserve"> as an example</w:t>
      </w:r>
      <w:r w:rsidR="00A20033" w:rsidRPr="00A20033">
        <w:rPr>
          <w:rFonts w:ascii="Garamond" w:hAnsi="Garamond"/>
          <w:color w:val="FF0000"/>
          <w:sz w:val="28"/>
          <w:szCs w:val="28"/>
          <w:lang w:val="en-US"/>
        </w:rPr>
        <w:t xml:space="preserve">, </w:t>
      </w:r>
      <w:r w:rsidR="00A20033">
        <w:rPr>
          <w:rFonts w:ascii="Garamond" w:hAnsi="Garamond"/>
          <w:color w:val="FF0000"/>
          <w:sz w:val="28"/>
          <w:szCs w:val="28"/>
          <w:lang w:val="en-US"/>
        </w:rPr>
        <w:t xml:space="preserve">we can try to compare the </w:t>
      </w:r>
      <w:r w:rsidR="003B3CA7">
        <w:rPr>
          <w:rFonts w:ascii="Garamond" w:hAnsi="Garamond"/>
          <w:color w:val="FF0000"/>
          <w:sz w:val="28"/>
          <w:szCs w:val="28"/>
          <w:lang w:val="en-US"/>
        </w:rPr>
        <w:t xml:space="preserve">welfare of naïve-sophisticated consumers after (perfect) discrimination for </w:t>
      </w:r>
      <w:r w:rsidR="0078081C">
        <w:rPr>
          <w:rFonts w:ascii="Garamond" w:hAnsi="Garamond"/>
          <w:color w:val="FF0000"/>
          <w:sz w:val="28"/>
          <w:szCs w:val="28"/>
          <w:lang w:val="en-US"/>
        </w:rPr>
        <w:t>different</w:t>
      </w:r>
      <w:r w:rsidR="003B3CA7">
        <w:rPr>
          <w:rFonts w:ascii="Garamond" w:hAnsi="Garamond"/>
          <w:color w:val="FF0000"/>
          <w:sz w:val="28"/>
          <w:szCs w:val="28"/>
          <w:lang w:val="en-US"/>
        </w:rPr>
        <w:t xml:space="preserve"> values of alpha.</w:t>
      </w:r>
    </w:p>
    <w:p w14:paraId="46243D29" w14:textId="77777777" w:rsidR="004122A8" w:rsidRPr="004122A8" w:rsidRDefault="004122A8" w:rsidP="004122A8">
      <w:pPr>
        <w:pStyle w:val="ListParagraph"/>
        <w:numPr>
          <w:ilvl w:val="0"/>
          <w:numId w:val="2"/>
        </w:numPr>
        <w:rPr>
          <w:rFonts w:ascii="Garamond" w:hAnsi="Garamond"/>
          <w:b/>
          <w:bCs/>
          <w:color w:val="000000" w:themeColor="text1"/>
          <w:sz w:val="28"/>
          <w:szCs w:val="28"/>
          <w:lang w:val="en-US"/>
        </w:rPr>
      </w:pPr>
      <w:r>
        <w:rPr>
          <w:rFonts w:ascii="Garamond" w:hAnsi="Garamond"/>
          <w:b/>
          <w:bCs/>
          <w:sz w:val="28"/>
          <w:szCs w:val="28"/>
          <w:lang w:val="en-US"/>
        </w:rPr>
        <w:t>Using “defaults” as a libertarian paternalist tool to nudge consumers</w:t>
      </w:r>
    </w:p>
    <w:p w14:paraId="036BC455" w14:textId="5C8F63F4" w:rsidR="00D028E2" w:rsidRPr="00D028E2" w:rsidRDefault="004122A8" w:rsidP="00D028E2">
      <w:pPr>
        <w:pStyle w:val="ListParagraph"/>
        <w:ind w:left="1080"/>
        <w:rPr>
          <w:rFonts w:ascii="Garamond" w:hAnsi="Garamond"/>
          <w:sz w:val="28"/>
          <w:szCs w:val="28"/>
          <w:lang w:val="en-US"/>
        </w:rPr>
      </w:pPr>
      <w:r>
        <w:rPr>
          <w:rFonts w:ascii="Garamond" w:hAnsi="Garamond"/>
          <w:sz w:val="28"/>
          <w:szCs w:val="28"/>
          <w:lang w:val="en-US"/>
        </w:rPr>
        <w:t>The idea is that consumers are steered into a default option, hoping to change their behavior without taking the freedom to choose something else</w:t>
      </w:r>
      <w:r w:rsidR="00754CF5">
        <w:rPr>
          <w:rFonts w:ascii="Garamond" w:hAnsi="Garamond"/>
          <w:sz w:val="28"/>
          <w:szCs w:val="28"/>
          <w:lang w:val="en-US"/>
        </w:rPr>
        <w:t xml:space="preserve">. To understand welfare implications, we need to see how these defaults affect consumer decisions or firms’ responses. (Spiegler, 2015; Allcott and Judd, 2019). </w:t>
      </w:r>
      <w:r w:rsidR="00D028E2">
        <w:rPr>
          <w:rFonts w:ascii="Garamond" w:hAnsi="Garamond"/>
          <w:b/>
          <w:bCs/>
          <w:sz w:val="28"/>
          <w:szCs w:val="28"/>
          <w:lang w:val="en-US"/>
        </w:rPr>
        <w:t>[w</w:t>
      </w:r>
      <w:r w:rsidR="00754CF5">
        <w:rPr>
          <w:rFonts w:ascii="Garamond" w:hAnsi="Garamond"/>
          <w:b/>
          <w:bCs/>
          <w:sz w:val="28"/>
          <w:szCs w:val="28"/>
          <w:lang w:val="en-US"/>
        </w:rPr>
        <w:t xml:space="preserve">elfare effects of nudging </w:t>
      </w:r>
      <w:r w:rsidR="00D028E2">
        <w:rPr>
          <w:rFonts w:ascii="Garamond" w:hAnsi="Garamond"/>
          <w:b/>
          <w:bCs/>
          <w:sz w:val="28"/>
          <w:szCs w:val="28"/>
          <w:lang w:val="en-US"/>
        </w:rPr>
        <w:t>are</w:t>
      </w:r>
      <w:r w:rsidR="00754CF5">
        <w:rPr>
          <w:rFonts w:ascii="Garamond" w:hAnsi="Garamond"/>
          <w:b/>
          <w:bCs/>
          <w:sz w:val="28"/>
          <w:szCs w:val="28"/>
          <w:lang w:val="en-US"/>
        </w:rPr>
        <w:t xml:space="preserve"> important here</w:t>
      </w:r>
      <w:r w:rsidR="00D028E2">
        <w:rPr>
          <w:rFonts w:ascii="Garamond" w:hAnsi="Garamond"/>
          <w:b/>
          <w:bCs/>
          <w:sz w:val="28"/>
          <w:szCs w:val="28"/>
          <w:lang w:val="en-US"/>
        </w:rPr>
        <w:t>]</w:t>
      </w:r>
    </w:p>
    <w:p w14:paraId="774B18E5" w14:textId="7D57575B" w:rsidR="004122A8" w:rsidRPr="00D028E2" w:rsidRDefault="003D24E2" w:rsidP="00D028E2">
      <w:pPr>
        <w:pStyle w:val="ListParagraph"/>
        <w:ind w:left="1080"/>
        <w:rPr>
          <w:rFonts w:ascii="Garamond" w:hAnsi="Garamond"/>
          <w:b/>
          <w:bCs/>
          <w:i/>
          <w:iCs/>
          <w:sz w:val="28"/>
          <w:szCs w:val="28"/>
          <w:lang w:val="en-GB"/>
        </w:rPr>
      </w:pPr>
      <w:r w:rsidRPr="00D028E2">
        <w:rPr>
          <w:rFonts w:ascii="Garamond" w:hAnsi="Garamond"/>
          <w:sz w:val="28"/>
          <w:szCs w:val="28"/>
          <w:lang w:val="en-US"/>
        </w:rPr>
        <w:t>So,</w:t>
      </w:r>
      <w:r w:rsidR="00754CF5" w:rsidRPr="00D028E2">
        <w:rPr>
          <w:rFonts w:ascii="Garamond" w:hAnsi="Garamond"/>
          <w:sz w:val="28"/>
          <w:szCs w:val="28"/>
          <w:lang w:val="en-US"/>
        </w:rPr>
        <w:t xml:space="preserve"> the welfare effect depends on the market environment</w:t>
      </w:r>
      <w:r w:rsidRPr="00D028E2">
        <w:rPr>
          <w:rFonts w:ascii="Garamond" w:hAnsi="Garamond"/>
          <w:sz w:val="28"/>
          <w:szCs w:val="28"/>
          <w:lang w:val="en-US"/>
        </w:rPr>
        <w:t>.</w:t>
      </w:r>
    </w:p>
    <w:p w14:paraId="5E664FBB" w14:textId="69FEB68F" w:rsidR="003D24E2" w:rsidRPr="003D24E2" w:rsidRDefault="003D24E2" w:rsidP="003D24E2">
      <w:pPr>
        <w:pStyle w:val="ListParagraph"/>
        <w:ind w:left="1080"/>
        <w:rPr>
          <w:rFonts w:ascii="Garamond" w:hAnsi="Garamond"/>
          <w:i/>
          <w:iCs/>
          <w:sz w:val="28"/>
          <w:szCs w:val="28"/>
          <w:lang w:val="en-GB"/>
        </w:rPr>
      </w:pPr>
      <w:r>
        <w:rPr>
          <w:rFonts w:ascii="Garamond" w:hAnsi="Garamond"/>
          <w:sz w:val="28"/>
          <w:szCs w:val="28"/>
          <w:lang w:val="en-US"/>
        </w:rPr>
        <w:t>As mentioned in the Handbook of Behavioral Economics: “</w:t>
      </w:r>
      <w:r w:rsidRPr="003D24E2">
        <w:rPr>
          <w:rFonts w:ascii="Garamond" w:hAnsi="Garamond"/>
          <w:i/>
          <w:iCs/>
          <w:sz w:val="28"/>
          <w:szCs w:val="28"/>
          <w:lang w:val="en-GB"/>
        </w:rPr>
        <w:t>A second, interrelated, question is why a policymaker would want to restrict herself</w:t>
      </w:r>
      <w:r>
        <w:rPr>
          <w:rFonts w:ascii="Garamond" w:hAnsi="Garamond"/>
          <w:i/>
          <w:iCs/>
          <w:sz w:val="28"/>
          <w:szCs w:val="28"/>
          <w:lang w:val="en-GB"/>
        </w:rPr>
        <w:t xml:space="preserve"> </w:t>
      </w:r>
      <w:r w:rsidRPr="003D24E2">
        <w:rPr>
          <w:rFonts w:ascii="Garamond" w:hAnsi="Garamond"/>
          <w:i/>
          <w:iCs/>
          <w:sz w:val="28"/>
          <w:szCs w:val="28"/>
          <w:lang w:val="en-GB"/>
        </w:rPr>
        <w:t>to libertarian or asymmetric paternalism and refrain from other interventions. In most</w:t>
      </w:r>
      <w:r>
        <w:rPr>
          <w:rFonts w:ascii="Garamond" w:hAnsi="Garamond"/>
          <w:i/>
          <w:iCs/>
          <w:sz w:val="28"/>
          <w:szCs w:val="28"/>
          <w:lang w:val="en-GB"/>
        </w:rPr>
        <w:t xml:space="preserve"> </w:t>
      </w:r>
      <w:r w:rsidRPr="003D24E2">
        <w:rPr>
          <w:rFonts w:ascii="Garamond" w:hAnsi="Garamond"/>
          <w:i/>
          <w:iCs/>
          <w:sz w:val="28"/>
          <w:szCs w:val="28"/>
          <w:lang w:val="en-GB"/>
        </w:rPr>
        <w:t xml:space="preserve">classical industrial-organization papers, policies are </w:t>
      </w:r>
      <w:r w:rsidRPr="003D24E2">
        <w:rPr>
          <w:rFonts w:ascii="Garamond" w:hAnsi="Garamond"/>
          <w:i/>
          <w:iCs/>
          <w:sz w:val="28"/>
          <w:szCs w:val="28"/>
          <w:lang w:val="en-GB"/>
        </w:rPr>
        <w:t>analysed</w:t>
      </w:r>
      <w:r w:rsidRPr="003D24E2">
        <w:rPr>
          <w:rFonts w:ascii="Garamond" w:hAnsi="Garamond"/>
          <w:i/>
          <w:iCs/>
          <w:sz w:val="28"/>
          <w:szCs w:val="28"/>
          <w:lang w:val="en-GB"/>
        </w:rPr>
        <w:t xml:space="preserve"> from a total-welfare or perhaps</w:t>
      </w:r>
      <w:r>
        <w:rPr>
          <w:rFonts w:ascii="Garamond" w:hAnsi="Garamond"/>
          <w:i/>
          <w:iCs/>
          <w:sz w:val="28"/>
          <w:szCs w:val="28"/>
          <w:lang w:val="en-GB"/>
        </w:rPr>
        <w:t xml:space="preserve"> </w:t>
      </w:r>
      <w:r w:rsidRPr="003D24E2">
        <w:rPr>
          <w:rFonts w:ascii="Garamond" w:hAnsi="Garamond"/>
          <w:i/>
          <w:iCs/>
          <w:sz w:val="28"/>
          <w:szCs w:val="28"/>
          <w:lang w:val="en-GB"/>
        </w:rPr>
        <w:t>consumer-welfare perspective, implicitly relying on potential Pareto improvements.</w:t>
      </w:r>
    </w:p>
    <w:p w14:paraId="4913E238" w14:textId="66FF8B32" w:rsidR="003D24E2" w:rsidRDefault="003D24E2" w:rsidP="003D24E2">
      <w:pPr>
        <w:pStyle w:val="ListParagraph"/>
        <w:ind w:left="1080"/>
        <w:rPr>
          <w:rFonts w:ascii="Garamond" w:hAnsi="Garamond"/>
          <w:sz w:val="28"/>
          <w:szCs w:val="28"/>
          <w:lang w:val="en-US"/>
        </w:rPr>
      </w:pPr>
      <w:r w:rsidRPr="003D24E2">
        <w:rPr>
          <w:rFonts w:ascii="Garamond" w:hAnsi="Garamond"/>
          <w:i/>
          <w:iCs/>
          <w:sz w:val="28"/>
          <w:szCs w:val="28"/>
          <w:lang w:val="en-GB"/>
        </w:rPr>
        <w:t>It is unclear to us why we should shy away from a regulatory intervention in the banking</w:t>
      </w:r>
      <w:r>
        <w:rPr>
          <w:rFonts w:ascii="Garamond" w:hAnsi="Garamond"/>
          <w:i/>
          <w:iCs/>
          <w:sz w:val="28"/>
          <w:szCs w:val="28"/>
          <w:lang w:val="en-GB"/>
        </w:rPr>
        <w:t xml:space="preserve"> </w:t>
      </w:r>
      <w:r w:rsidRPr="003D24E2">
        <w:rPr>
          <w:rFonts w:ascii="Garamond" w:hAnsi="Garamond"/>
          <w:i/>
          <w:iCs/>
          <w:sz w:val="28"/>
          <w:szCs w:val="28"/>
          <w:lang w:val="en-GB"/>
        </w:rPr>
        <w:t>market that would help naive consumers avoid overdraft fees, simply because it reduces</w:t>
      </w:r>
      <w:r>
        <w:rPr>
          <w:rFonts w:ascii="Garamond" w:hAnsi="Garamond"/>
          <w:i/>
          <w:iCs/>
          <w:sz w:val="28"/>
          <w:szCs w:val="28"/>
          <w:lang w:val="en-GB"/>
        </w:rPr>
        <w:t xml:space="preserve"> </w:t>
      </w:r>
      <w:r w:rsidRPr="003D24E2">
        <w:rPr>
          <w:rFonts w:ascii="Garamond" w:hAnsi="Garamond"/>
          <w:i/>
          <w:iCs/>
          <w:sz w:val="28"/>
          <w:szCs w:val="28"/>
          <w:lang w:val="en-GB"/>
        </w:rPr>
        <w:t>the cross-subsidy to more sophisticated consumers (especially in reverse-</w:t>
      </w:r>
      <w:r w:rsidRPr="003D24E2">
        <w:rPr>
          <w:rFonts w:ascii="Garamond" w:hAnsi="Garamond"/>
          <w:i/>
          <w:iCs/>
          <w:sz w:val="28"/>
          <w:szCs w:val="28"/>
          <w:lang w:val="en-GB"/>
        </w:rPr>
        <w:lastRenderedPageBreak/>
        <w:t>Robin-Hoodlike</w:t>
      </w:r>
      <w:r>
        <w:rPr>
          <w:rFonts w:ascii="Garamond" w:hAnsi="Garamond"/>
          <w:i/>
          <w:iCs/>
          <w:sz w:val="28"/>
          <w:szCs w:val="28"/>
          <w:lang w:val="en-GB"/>
        </w:rPr>
        <w:t xml:space="preserve"> </w:t>
      </w:r>
      <w:r w:rsidRPr="003D24E2">
        <w:rPr>
          <w:rFonts w:ascii="Garamond" w:hAnsi="Garamond"/>
          <w:i/>
          <w:iCs/>
          <w:sz w:val="28"/>
          <w:szCs w:val="28"/>
          <w:lang w:val="en-GB"/>
        </w:rPr>
        <w:t>equilibria in which the poor cross-subsidize the rich). At least conceptually, a more</w:t>
      </w:r>
      <w:r>
        <w:rPr>
          <w:rFonts w:ascii="Garamond" w:hAnsi="Garamond"/>
          <w:i/>
          <w:iCs/>
          <w:sz w:val="28"/>
          <w:szCs w:val="28"/>
          <w:lang w:val="en-GB"/>
        </w:rPr>
        <w:t xml:space="preserve"> </w:t>
      </w:r>
      <w:r w:rsidRPr="003D24E2">
        <w:rPr>
          <w:rFonts w:ascii="Garamond" w:hAnsi="Garamond"/>
          <w:i/>
          <w:iCs/>
          <w:sz w:val="28"/>
          <w:szCs w:val="28"/>
          <w:lang w:val="en-GB"/>
        </w:rPr>
        <w:t>promising approach to us would specify a welfare function to be maximized, and then</w:t>
      </w:r>
      <w:r>
        <w:rPr>
          <w:rFonts w:ascii="Garamond" w:hAnsi="Garamond"/>
          <w:i/>
          <w:iCs/>
          <w:sz w:val="28"/>
          <w:szCs w:val="28"/>
          <w:lang w:val="en-GB"/>
        </w:rPr>
        <w:t xml:space="preserve"> </w:t>
      </w:r>
      <w:r w:rsidRPr="003D24E2">
        <w:rPr>
          <w:rFonts w:ascii="Garamond" w:hAnsi="Garamond"/>
          <w:i/>
          <w:iCs/>
          <w:sz w:val="28"/>
          <w:szCs w:val="28"/>
          <w:lang w:val="en-GB"/>
        </w:rPr>
        <w:t>look at the optimal regulation that achieves such a goal.</w:t>
      </w:r>
      <w:r w:rsidRPr="003D24E2">
        <w:rPr>
          <w:rFonts w:ascii="Garamond" w:hAnsi="Garamond"/>
          <w:sz w:val="28"/>
          <w:szCs w:val="28"/>
          <w:lang w:val="en-US"/>
        </w:rPr>
        <w:t>”</w:t>
      </w:r>
    </w:p>
    <w:p w14:paraId="21F30977" w14:textId="77777777" w:rsidR="003D24E2" w:rsidRDefault="003D24E2" w:rsidP="003D24E2">
      <w:pPr>
        <w:pStyle w:val="ListParagraph"/>
        <w:ind w:left="1080"/>
        <w:rPr>
          <w:rFonts w:ascii="Garamond" w:hAnsi="Garamond"/>
          <w:sz w:val="28"/>
          <w:szCs w:val="28"/>
          <w:lang w:val="en-GB"/>
        </w:rPr>
      </w:pPr>
    </w:p>
    <w:p w14:paraId="0483EF48" w14:textId="0F99D38C" w:rsidR="003D24E2" w:rsidRPr="003D24E2" w:rsidRDefault="003D24E2" w:rsidP="003D24E2">
      <w:pPr>
        <w:pStyle w:val="ListParagraph"/>
        <w:ind w:left="1080"/>
        <w:rPr>
          <w:rFonts w:ascii="Garamond" w:hAnsi="Garamond"/>
          <w:sz w:val="28"/>
          <w:szCs w:val="28"/>
          <w:lang w:val="en-GB"/>
        </w:rPr>
      </w:pPr>
      <w:r>
        <w:rPr>
          <w:rFonts w:ascii="Garamond" w:hAnsi="Garamond"/>
          <w:sz w:val="28"/>
          <w:szCs w:val="28"/>
          <w:lang w:val="en-GB"/>
        </w:rPr>
        <w:t>This passage makes it clear that if the total welfare does not increase or change</w:t>
      </w:r>
      <w:r w:rsidR="00B45853">
        <w:rPr>
          <w:rFonts w:ascii="Garamond" w:hAnsi="Garamond"/>
          <w:sz w:val="28"/>
          <w:szCs w:val="28"/>
          <w:lang w:val="en-GB"/>
        </w:rPr>
        <w:t xml:space="preserve"> by naiveté-based discrimination,</w:t>
      </w:r>
      <w:r w:rsidR="0078081C">
        <w:rPr>
          <w:rFonts w:ascii="Garamond" w:hAnsi="Garamond"/>
          <w:sz w:val="28"/>
          <w:szCs w:val="28"/>
          <w:lang w:val="en-GB"/>
        </w:rPr>
        <w:t xml:space="preserve"> there is no reason to ignore regulations that hurt sophisticated consumers but benefit naïve consumers.</w:t>
      </w:r>
      <w:r w:rsidR="00B45853">
        <w:rPr>
          <w:rFonts w:ascii="Garamond" w:hAnsi="Garamond"/>
          <w:sz w:val="28"/>
          <w:szCs w:val="28"/>
          <w:lang w:val="en-GB"/>
        </w:rPr>
        <w:t xml:space="preserve"> </w:t>
      </w:r>
    </w:p>
    <w:p w14:paraId="17070294" w14:textId="77777777" w:rsidR="004122A8" w:rsidRPr="00A20033" w:rsidRDefault="004122A8" w:rsidP="004122A8">
      <w:pPr>
        <w:pStyle w:val="ListParagraph"/>
        <w:ind w:left="1080"/>
        <w:rPr>
          <w:rFonts w:ascii="Garamond" w:hAnsi="Garamond"/>
          <w:b/>
          <w:bCs/>
          <w:color w:val="FF0000"/>
          <w:sz w:val="28"/>
          <w:szCs w:val="28"/>
          <w:lang w:val="en-US"/>
        </w:rPr>
      </w:pPr>
    </w:p>
    <w:p w14:paraId="02FAA523" w14:textId="513BBA84" w:rsidR="00C13B90" w:rsidRDefault="00C13B90" w:rsidP="00DB1D37">
      <w:pPr>
        <w:rPr>
          <w:rFonts w:ascii="Garamond" w:hAnsi="Garamond"/>
          <w:b/>
          <w:bCs/>
          <w:sz w:val="28"/>
          <w:szCs w:val="28"/>
          <w:lang w:val="en-US"/>
        </w:rPr>
      </w:pPr>
      <w:r w:rsidRPr="00DB1D37">
        <w:rPr>
          <w:rFonts w:ascii="Garamond" w:hAnsi="Garamond"/>
          <w:b/>
          <w:bCs/>
          <w:sz w:val="28"/>
          <w:szCs w:val="28"/>
          <w:lang w:val="en-US"/>
        </w:rPr>
        <w:t>Disclosure and consumer education</w:t>
      </w:r>
    </w:p>
    <w:p w14:paraId="464A9694" w14:textId="532975A2" w:rsidR="003E57E6" w:rsidRPr="003E57E6" w:rsidRDefault="003E57E6" w:rsidP="00B50B51">
      <w:pPr>
        <w:rPr>
          <w:rFonts w:ascii="Garamond" w:hAnsi="Garamond"/>
          <w:b/>
          <w:bCs/>
          <w:i/>
          <w:iCs/>
          <w:sz w:val="28"/>
          <w:szCs w:val="28"/>
          <w:lang w:val="en-US"/>
        </w:rPr>
      </w:pPr>
      <w:r>
        <w:rPr>
          <w:rFonts w:ascii="Garamond" w:hAnsi="Garamond"/>
          <w:b/>
          <w:bCs/>
          <w:i/>
          <w:iCs/>
          <w:sz w:val="28"/>
          <w:szCs w:val="28"/>
          <w:lang w:val="en-US"/>
        </w:rPr>
        <w:t>Effectiveness of education</w:t>
      </w:r>
    </w:p>
    <w:p w14:paraId="486F0403" w14:textId="5129A923" w:rsidR="00B50B51" w:rsidRPr="00B50B51" w:rsidRDefault="00D028E2" w:rsidP="00B50B51">
      <w:pPr>
        <w:rPr>
          <w:rFonts w:ascii="Garamond" w:hAnsi="Garamond"/>
          <w:i/>
          <w:iCs/>
          <w:sz w:val="28"/>
          <w:szCs w:val="28"/>
          <w:lang w:val="en-GB"/>
        </w:rPr>
      </w:pPr>
      <w:r>
        <w:rPr>
          <w:rFonts w:ascii="Garamond" w:hAnsi="Garamond"/>
          <w:sz w:val="28"/>
          <w:szCs w:val="28"/>
          <w:lang w:val="en-US"/>
        </w:rPr>
        <w:t>It is soft-paternalistic and easily accepted by firms.</w:t>
      </w:r>
      <w:r w:rsidR="00B50B51">
        <w:rPr>
          <w:rFonts w:ascii="Garamond" w:hAnsi="Garamond"/>
          <w:sz w:val="28"/>
          <w:szCs w:val="28"/>
          <w:lang w:val="en-US"/>
        </w:rPr>
        <w:t xml:space="preserve"> Disclosure and education may not be effective and change consumer behavior (some citations </w:t>
      </w:r>
      <w:proofErr w:type="spellStart"/>
      <w:r w:rsidR="00B50B51">
        <w:rPr>
          <w:rFonts w:ascii="Garamond" w:hAnsi="Garamond"/>
          <w:sz w:val="28"/>
          <w:szCs w:val="28"/>
          <w:lang w:val="en-US"/>
        </w:rPr>
        <w:t>xxxxx</w:t>
      </w:r>
      <w:proofErr w:type="spellEnd"/>
      <w:r w:rsidR="00B50B51">
        <w:rPr>
          <w:rFonts w:ascii="Garamond" w:hAnsi="Garamond"/>
          <w:sz w:val="28"/>
          <w:szCs w:val="28"/>
          <w:lang w:val="en-US"/>
        </w:rPr>
        <w:t>). As mentioned in the book: “</w:t>
      </w:r>
      <w:r w:rsidR="00B50B51" w:rsidRPr="00B50B51">
        <w:rPr>
          <w:rFonts w:ascii="Garamond" w:hAnsi="Garamond"/>
          <w:i/>
          <w:iCs/>
          <w:sz w:val="28"/>
          <w:szCs w:val="28"/>
          <w:lang w:val="en-GB"/>
        </w:rPr>
        <w:t>Unfortunately, there is very little academic research on what kinds of education</w:t>
      </w:r>
      <w:r w:rsidR="00B50B51">
        <w:rPr>
          <w:rFonts w:ascii="Garamond" w:hAnsi="Garamond"/>
          <w:i/>
          <w:iCs/>
          <w:sz w:val="28"/>
          <w:szCs w:val="28"/>
          <w:lang w:val="en-GB"/>
        </w:rPr>
        <w:t xml:space="preserve"> </w:t>
      </w:r>
      <w:r w:rsidR="00B50B51" w:rsidRPr="00B50B51">
        <w:rPr>
          <w:rFonts w:ascii="Garamond" w:hAnsi="Garamond"/>
          <w:i/>
          <w:iCs/>
          <w:sz w:val="28"/>
          <w:szCs w:val="28"/>
          <w:lang w:val="en-GB"/>
        </w:rPr>
        <w:t>might be helpful to consumers, and we view this as the greatest gap in the literature</w:t>
      </w:r>
    </w:p>
    <w:p w14:paraId="021EA9A8" w14:textId="67FBD3E8" w:rsidR="00B50B51" w:rsidRPr="00B50B51" w:rsidRDefault="00B50B51" w:rsidP="00B50B51">
      <w:pPr>
        <w:rPr>
          <w:rFonts w:ascii="Garamond" w:hAnsi="Garamond"/>
          <w:i/>
          <w:iCs/>
          <w:sz w:val="28"/>
          <w:szCs w:val="28"/>
          <w:lang w:val="en-GB"/>
        </w:rPr>
      </w:pPr>
      <w:r w:rsidRPr="00B50B51">
        <w:rPr>
          <w:rFonts w:ascii="Garamond" w:hAnsi="Garamond"/>
          <w:i/>
          <w:iCs/>
          <w:sz w:val="28"/>
          <w:szCs w:val="28"/>
          <w:lang w:val="en-GB"/>
        </w:rPr>
        <w:t>on the topic</w:t>
      </w:r>
      <w:r>
        <w:rPr>
          <w:rFonts w:ascii="Garamond" w:hAnsi="Garamond"/>
          <w:i/>
          <w:iCs/>
          <w:sz w:val="28"/>
          <w:szCs w:val="28"/>
          <w:lang w:val="en-GB"/>
        </w:rPr>
        <w:t xml:space="preserve">. </w:t>
      </w:r>
      <w:proofErr w:type="spellStart"/>
      <w:r w:rsidRPr="00B50B51">
        <w:rPr>
          <w:rFonts w:ascii="Garamond" w:hAnsi="Garamond"/>
          <w:i/>
          <w:iCs/>
          <w:sz w:val="28"/>
          <w:szCs w:val="28"/>
          <w:lang w:val="en-GB"/>
        </w:rPr>
        <w:t>A</w:t>
      </w:r>
      <w:proofErr w:type="spellEnd"/>
      <w:r w:rsidRPr="00B50B51">
        <w:rPr>
          <w:rFonts w:ascii="Garamond" w:hAnsi="Garamond"/>
          <w:i/>
          <w:iCs/>
          <w:sz w:val="28"/>
          <w:szCs w:val="28"/>
          <w:lang w:val="en-GB"/>
        </w:rPr>
        <w:t xml:space="preserve"> notable exception is Bar-Gill and Ferrari (2010). They point out that</w:t>
      </w:r>
      <w:r>
        <w:rPr>
          <w:rFonts w:ascii="Garamond" w:hAnsi="Garamond"/>
          <w:i/>
          <w:iCs/>
          <w:sz w:val="28"/>
          <w:szCs w:val="28"/>
          <w:lang w:val="en-GB"/>
        </w:rPr>
        <w:t xml:space="preserve"> </w:t>
      </w:r>
      <w:r w:rsidRPr="00B50B51">
        <w:rPr>
          <w:rFonts w:ascii="Garamond" w:hAnsi="Garamond"/>
          <w:i/>
          <w:iCs/>
          <w:sz w:val="28"/>
          <w:szCs w:val="28"/>
          <w:lang w:val="en-GB"/>
        </w:rPr>
        <w:t>existing disclosure requirements in the US and the EU almost exclusively focus on</w:t>
      </w:r>
    </w:p>
    <w:p w14:paraId="6D5F53BE" w14:textId="77777777" w:rsidR="00B50B51" w:rsidRPr="00B50B51" w:rsidRDefault="00B50B51" w:rsidP="00B50B51">
      <w:pPr>
        <w:rPr>
          <w:rFonts w:ascii="Garamond" w:hAnsi="Garamond"/>
          <w:i/>
          <w:iCs/>
          <w:sz w:val="28"/>
          <w:szCs w:val="28"/>
          <w:lang w:val="en-GB"/>
        </w:rPr>
      </w:pPr>
      <w:r w:rsidRPr="00B50B51">
        <w:rPr>
          <w:rFonts w:ascii="Garamond" w:hAnsi="Garamond"/>
          <w:i/>
          <w:iCs/>
          <w:sz w:val="28"/>
          <w:szCs w:val="28"/>
          <w:lang w:val="en-GB"/>
        </w:rPr>
        <w:t>attributes of the product or contract offered. This kind of disclosure is not helpful for</w:t>
      </w:r>
    </w:p>
    <w:p w14:paraId="7D1C8553" w14:textId="77777777" w:rsidR="00B50B51" w:rsidRPr="00B50B51" w:rsidRDefault="00B50B51" w:rsidP="00B50B51">
      <w:pPr>
        <w:rPr>
          <w:rFonts w:ascii="Garamond" w:hAnsi="Garamond"/>
          <w:i/>
          <w:iCs/>
          <w:sz w:val="28"/>
          <w:szCs w:val="28"/>
          <w:lang w:val="en-GB"/>
        </w:rPr>
      </w:pPr>
      <w:r w:rsidRPr="00B50B51">
        <w:rPr>
          <w:rFonts w:ascii="Garamond" w:hAnsi="Garamond"/>
          <w:i/>
          <w:iCs/>
          <w:sz w:val="28"/>
          <w:szCs w:val="28"/>
          <w:lang w:val="en-GB"/>
        </w:rPr>
        <w:t xml:space="preserve">consumers who </w:t>
      </w:r>
      <w:proofErr w:type="spellStart"/>
      <w:r w:rsidRPr="00B50B51">
        <w:rPr>
          <w:rFonts w:ascii="Garamond" w:hAnsi="Garamond"/>
          <w:i/>
          <w:iCs/>
          <w:sz w:val="28"/>
          <w:szCs w:val="28"/>
          <w:lang w:val="en-GB"/>
        </w:rPr>
        <w:t>mispredict</w:t>
      </w:r>
      <w:proofErr w:type="spellEnd"/>
      <w:r w:rsidRPr="00B50B51">
        <w:rPr>
          <w:rFonts w:ascii="Garamond" w:hAnsi="Garamond"/>
          <w:i/>
          <w:iCs/>
          <w:sz w:val="28"/>
          <w:szCs w:val="28"/>
          <w:lang w:val="en-GB"/>
        </w:rPr>
        <w:t xml:space="preserve"> their own product use, a frequent mistake in the applications</w:t>
      </w:r>
    </w:p>
    <w:p w14:paraId="4A33C819" w14:textId="77777777" w:rsidR="00B50B51" w:rsidRPr="00B50B51" w:rsidRDefault="00B50B51" w:rsidP="00B50B51">
      <w:pPr>
        <w:rPr>
          <w:rFonts w:ascii="Garamond" w:hAnsi="Garamond"/>
          <w:i/>
          <w:iCs/>
          <w:sz w:val="28"/>
          <w:szCs w:val="28"/>
          <w:lang w:val="en-GB"/>
        </w:rPr>
      </w:pPr>
      <w:r w:rsidRPr="00B50B51">
        <w:rPr>
          <w:rFonts w:ascii="Garamond" w:hAnsi="Garamond"/>
          <w:i/>
          <w:iCs/>
          <w:sz w:val="28"/>
          <w:szCs w:val="28"/>
          <w:lang w:val="en-GB"/>
        </w:rPr>
        <w:t>discussed in Sections 2 through 4. For this reason, Bar-Gill and Ferrari (2010) propose</w:t>
      </w:r>
    </w:p>
    <w:p w14:paraId="3F90462B" w14:textId="77777777" w:rsidR="00B50B51" w:rsidRPr="00B50B51" w:rsidRDefault="00B50B51" w:rsidP="00B50B51">
      <w:pPr>
        <w:rPr>
          <w:rFonts w:ascii="Garamond" w:hAnsi="Garamond"/>
          <w:i/>
          <w:iCs/>
          <w:sz w:val="28"/>
          <w:szCs w:val="28"/>
          <w:lang w:val="en-GB"/>
        </w:rPr>
      </w:pPr>
      <w:r w:rsidRPr="00B50B51">
        <w:rPr>
          <w:rFonts w:ascii="Garamond" w:hAnsi="Garamond"/>
          <w:i/>
          <w:iCs/>
          <w:sz w:val="28"/>
          <w:szCs w:val="28"/>
          <w:lang w:val="en-GB"/>
        </w:rPr>
        <w:t>extending disclosure requirements to “product-use” information, such as the average</w:t>
      </w:r>
    </w:p>
    <w:p w14:paraId="1CE0A65B" w14:textId="77777777" w:rsidR="00B50B51" w:rsidRPr="00B50B51" w:rsidRDefault="00B50B51" w:rsidP="00B50B51">
      <w:pPr>
        <w:rPr>
          <w:rFonts w:ascii="Garamond" w:hAnsi="Garamond"/>
          <w:i/>
          <w:iCs/>
          <w:sz w:val="28"/>
          <w:szCs w:val="28"/>
          <w:lang w:val="en-GB"/>
        </w:rPr>
      </w:pPr>
      <w:r w:rsidRPr="00B50B51">
        <w:rPr>
          <w:rFonts w:ascii="Garamond" w:hAnsi="Garamond"/>
          <w:i/>
          <w:iCs/>
          <w:sz w:val="28"/>
          <w:szCs w:val="28"/>
          <w:lang w:val="en-GB"/>
        </w:rPr>
        <w:t>monthly payment consumers make for mortgages or the average amount consumers</w:t>
      </w:r>
    </w:p>
    <w:p w14:paraId="715AB684" w14:textId="77777777" w:rsidR="00B50B51" w:rsidRPr="00B50B51" w:rsidRDefault="00B50B51" w:rsidP="00B50B51">
      <w:pPr>
        <w:rPr>
          <w:rFonts w:ascii="Garamond" w:hAnsi="Garamond"/>
          <w:i/>
          <w:iCs/>
          <w:sz w:val="28"/>
          <w:szCs w:val="28"/>
          <w:lang w:val="en-GB"/>
        </w:rPr>
      </w:pPr>
      <w:r w:rsidRPr="00B50B51">
        <w:rPr>
          <w:rFonts w:ascii="Garamond" w:hAnsi="Garamond"/>
          <w:i/>
          <w:iCs/>
          <w:sz w:val="28"/>
          <w:szCs w:val="28"/>
          <w:lang w:val="en-GB"/>
        </w:rPr>
        <w:t>pay in late fees for credit cards. Even better, they argue, is to require firms to disclose</w:t>
      </w:r>
    </w:p>
    <w:p w14:paraId="4018CE67" w14:textId="77777777" w:rsidR="00B50B51" w:rsidRPr="00B50B51" w:rsidRDefault="00B50B51" w:rsidP="00B50B51">
      <w:pPr>
        <w:rPr>
          <w:rFonts w:ascii="Garamond" w:hAnsi="Garamond"/>
          <w:i/>
          <w:iCs/>
          <w:sz w:val="28"/>
          <w:szCs w:val="28"/>
          <w:lang w:val="en-GB"/>
        </w:rPr>
      </w:pPr>
      <w:r w:rsidRPr="00B50B51">
        <w:rPr>
          <w:rFonts w:ascii="Garamond" w:hAnsi="Garamond"/>
          <w:i/>
          <w:iCs/>
          <w:sz w:val="28"/>
          <w:szCs w:val="28"/>
          <w:lang w:val="en-GB"/>
        </w:rPr>
        <w:t>individual-level usage information to consumers in markets in which this information</w:t>
      </w:r>
    </w:p>
    <w:p w14:paraId="12B32734" w14:textId="77777777" w:rsidR="00B50B51" w:rsidRPr="00B50B51" w:rsidRDefault="00B50B51" w:rsidP="00B50B51">
      <w:pPr>
        <w:rPr>
          <w:rFonts w:ascii="Garamond" w:hAnsi="Garamond"/>
          <w:i/>
          <w:iCs/>
          <w:sz w:val="28"/>
          <w:szCs w:val="28"/>
          <w:lang w:val="en-GB"/>
        </w:rPr>
      </w:pPr>
      <w:r w:rsidRPr="00B50B51">
        <w:rPr>
          <w:rFonts w:ascii="Garamond" w:hAnsi="Garamond"/>
          <w:i/>
          <w:iCs/>
          <w:sz w:val="28"/>
          <w:szCs w:val="28"/>
          <w:lang w:val="en-GB"/>
        </w:rPr>
        <w:t>is collected anyhow. For example, a credit-card company may be required to disclose</w:t>
      </w:r>
    </w:p>
    <w:p w14:paraId="7DF3AAF0" w14:textId="77777777" w:rsidR="00B50B51" w:rsidRPr="00B50B51" w:rsidRDefault="00B50B51" w:rsidP="00B50B51">
      <w:pPr>
        <w:rPr>
          <w:rFonts w:ascii="Garamond" w:hAnsi="Garamond"/>
          <w:i/>
          <w:iCs/>
          <w:sz w:val="28"/>
          <w:szCs w:val="28"/>
          <w:lang w:val="en-GB"/>
        </w:rPr>
      </w:pPr>
      <w:r w:rsidRPr="00B50B51">
        <w:rPr>
          <w:rFonts w:ascii="Garamond" w:hAnsi="Garamond"/>
          <w:i/>
          <w:iCs/>
          <w:sz w:val="28"/>
          <w:szCs w:val="28"/>
          <w:lang w:val="en-GB"/>
        </w:rPr>
        <w:t>how often the individual consumer has paid late, which hopefully helps overcoming</w:t>
      </w:r>
    </w:p>
    <w:p w14:paraId="5838976A" w14:textId="58FA7C2F" w:rsidR="00D028E2" w:rsidRDefault="00B50B51" w:rsidP="00B50B51">
      <w:pPr>
        <w:rPr>
          <w:rFonts w:ascii="Garamond" w:hAnsi="Garamond"/>
          <w:i/>
          <w:iCs/>
          <w:sz w:val="28"/>
          <w:szCs w:val="28"/>
          <w:lang w:val="en-GB"/>
        </w:rPr>
      </w:pPr>
      <w:r w:rsidRPr="00B50B51">
        <w:rPr>
          <w:rFonts w:ascii="Garamond" w:hAnsi="Garamond"/>
          <w:i/>
          <w:iCs/>
          <w:sz w:val="28"/>
          <w:szCs w:val="28"/>
          <w:lang w:val="en-GB"/>
        </w:rPr>
        <w:t>“</w:t>
      </w:r>
      <w:proofErr w:type="gramStart"/>
      <w:r w:rsidRPr="00B50B51">
        <w:rPr>
          <w:rFonts w:ascii="Garamond" w:hAnsi="Garamond"/>
          <w:i/>
          <w:iCs/>
          <w:sz w:val="28"/>
          <w:szCs w:val="28"/>
          <w:lang w:val="en-GB"/>
        </w:rPr>
        <w:t>better</w:t>
      </w:r>
      <w:proofErr w:type="gramEnd"/>
      <w:r w:rsidRPr="00B50B51">
        <w:rPr>
          <w:rFonts w:ascii="Garamond" w:hAnsi="Garamond"/>
          <w:i/>
          <w:iCs/>
          <w:sz w:val="28"/>
          <w:szCs w:val="28"/>
          <w:lang w:val="en-GB"/>
        </w:rPr>
        <w:t>-than-average” effects.</w:t>
      </w:r>
      <w:r>
        <w:rPr>
          <w:rFonts w:ascii="Garamond" w:hAnsi="Garamond"/>
          <w:i/>
          <w:iCs/>
          <w:sz w:val="28"/>
          <w:szCs w:val="28"/>
          <w:lang w:val="en-GB"/>
        </w:rPr>
        <w:t>”</w:t>
      </w:r>
    </w:p>
    <w:p w14:paraId="6AD515BD" w14:textId="77777777" w:rsidR="00B71D01" w:rsidRDefault="00B71D01" w:rsidP="00B50B51">
      <w:pPr>
        <w:rPr>
          <w:rFonts w:ascii="Garamond" w:hAnsi="Garamond"/>
          <w:i/>
          <w:iCs/>
          <w:sz w:val="28"/>
          <w:szCs w:val="28"/>
          <w:lang w:val="en-GB"/>
        </w:rPr>
      </w:pPr>
    </w:p>
    <w:p w14:paraId="69118171" w14:textId="7D750ADD" w:rsidR="00B71D01" w:rsidRPr="00B71D01" w:rsidRDefault="00B71D01" w:rsidP="00B50B51">
      <w:pPr>
        <w:rPr>
          <w:rFonts w:ascii="Garamond" w:hAnsi="Garamond"/>
          <w:sz w:val="28"/>
          <w:szCs w:val="28"/>
          <w:lang w:val="en-GB"/>
        </w:rPr>
      </w:pPr>
      <w:r>
        <w:rPr>
          <w:rFonts w:ascii="Garamond" w:hAnsi="Garamond"/>
          <w:sz w:val="28"/>
          <w:szCs w:val="28"/>
          <w:lang w:val="en-GB"/>
        </w:rPr>
        <w:t xml:space="preserve">Kiss (2014) shows that advertisement may help overcoming inertia of consumers in auto liability insurance. This may be relevant also for mobile phone charges and benefits. For a new customer, or a customer at the end of their subscription, there are campaigns to reattract them and you don’t get a new deal, when you’re already “gained” by the company. A regulation that forces a </w:t>
      </w:r>
      <w:proofErr w:type="gramStart"/>
      <w:r>
        <w:rPr>
          <w:rFonts w:ascii="Garamond" w:hAnsi="Garamond"/>
          <w:sz w:val="28"/>
          <w:szCs w:val="28"/>
          <w:lang w:val="en-GB"/>
        </w:rPr>
        <w:t>shorter term</w:t>
      </w:r>
      <w:proofErr w:type="gramEnd"/>
      <w:r>
        <w:rPr>
          <w:rFonts w:ascii="Garamond" w:hAnsi="Garamond"/>
          <w:sz w:val="28"/>
          <w:szCs w:val="28"/>
          <w:lang w:val="en-GB"/>
        </w:rPr>
        <w:t xml:space="preserve"> contract or eases the switch between companies would increase the competition and the lower prices for new deals.</w:t>
      </w:r>
    </w:p>
    <w:p w14:paraId="109A88FB" w14:textId="31D55D9D" w:rsidR="00D028E2" w:rsidRPr="00D028E2" w:rsidRDefault="00D028E2" w:rsidP="00D028E2">
      <w:pPr>
        <w:pStyle w:val="ListParagraph"/>
        <w:numPr>
          <w:ilvl w:val="0"/>
          <w:numId w:val="2"/>
        </w:numPr>
        <w:rPr>
          <w:rFonts w:ascii="Garamond" w:hAnsi="Garamond"/>
          <w:sz w:val="28"/>
          <w:szCs w:val="28"/>
          <w:lang w:val="en-US"/>
        </w:rPr>
      </w:pPr>
    </w:p>
    <w:p w14:paraId="63A64233" w14:textId="77777777" w:rsidR="004C0533" w:rsidRDefault="004C0533" w:rsidP="00DB1D37">
      <w:pPr>
        <w:rPr>
          <w:rFonts w:ascii="Garamond" w:hAnsi="Garamond"/>
          <w:b/>
          <w:bCs/>
          <w:sz w:val="28"/>
          <w:szCs w:val="28"/>
          <w:lang w:val="en-US"/>
        </w:rPr>
      </w:pPr>
    </w:p>
    <w:p w14:paraId="39EE5882" w14:textId="77777777" w:rsidR="004C0533" w:rsidRDefault="004C0533" w:rsidP="00DB1D37">
      <w:pPr>
        <w:rPr>
          <w:rFonts w:ascii="Garamond" w:hAnsi="Garamond"/>
          <w:b/>
          <w:bCs/>
          <w:sz w:val="28"/>
          <w:szCs w:val="28"/>
          <w:lang w:val="en-US"/>
        </w:rPr>
      </w:pPr>
    </w:p>
    <w:p w14:paraId="59B04313" w14:textId="77777777" w:rsidR="004C0533" w:rsidRDefault="004C0533" w:rsidP="00DB1D37">
      <w:pPr>
        <w:rPr>
          <w:rFonts w:ascii="Garamond" w:hAnsi="Garamond"/>
          <w:b/>
          <w:bCs/>
          <w:sz w:val="28"/>
          <w:szCs w:val="28"/>
          <w:lang w:val="en-US"/>
        </w:rPr>
      </w:pPr>
    </w:p>
    <w:p w14:paraId="5251DF96" w14:textId="77777777" w:rsidR="004C0533" w:rsidRDefault="004C0533" w:rsidP="00DB1D37">
      <w:pPr>
        <w:rPr>
          <w:rFonts w:ascii="Garamond" w:hAnsi="Garamond"/>
          <w:b/>
          <w:bCs/>
          <w:sz w:val="28"/>
          <w:szCs w:val="28"/>
          <w:lang w:val="en-US"/>
        </w:rPr>
      </w:pPr>
    </w:p>
    <w:p w14:paraId="2A7A67BE" w14:textId="77777777" w:rsidR="004C0533" w:rsidRDefault="004C0533" w:rsidP="00DB1D37">
      <w:pPr>
        <w:rPr>
          <w:rFonts w:ascii="Garamond" w:hAnsi="Garamond"/>
          <w:b/>
          <w:bCs/>
          <w:sz w:val="28"/>
          <w:szCs w:val="28"/>
          <w:lang w:val="en-US"/>
        </w:rPr>
      </w:pPr>
    </w:p>
    <w:p w14:paraId="298BBB1A" w14:textId="77777777" w:rsidR="004C0533" w:rsidRDefault="004C0533" w:rsidP="00DB1D37">
      <w:pPr>
        <w:rPr>
          <w:rFonts w:ascii="Garamond" w:hAnsi="Garamond"/>
          <w:b/>
          <w:bCs/>
          <w:sz w:val="28"/>
          <w:szCs w:val="28"/>
          <w:lang w:val="en-US"/>
        </w:rPr>
      </w:pPr>
    </w:p>
    <w:p w14:paraId="358BE363" w14:textId="77777777" w:rsidR="004C0533" w:rsidRDefault="004C0533" w:rsidP="00DB1D37">
      <w:pPr>
        <w:rPr>
          <w:rFonts w:ascii="Garamond" w:hAnsi="Garamond"/>
          <w:b/>
          <w:bCs/>
          <w:sz w:val="28"/>
          <w:szCs w:val="28"/>
          <w:lang w:val="en-US"/>
        </w:rPr>
      </w:pPr>
    </w:p>
    <w:p w14:paraId="3DDD074D" w14:textId="77777777" w:rsidR="004C0533" w:rsidRDefault="004C0533" w:rsidP="00DB1D37">
      <w:pPr>
        <w:rPr>
          <w:rFonts w:ascii="Garamond" w:hAnsi="Garamond"/>
          <w:b/>
          <w:bCs/>
          <w:sz w:val="28"/>
          <w:szCs w:val="28"/>
          <w:lang w:val="en-US"/>
        </w:rPr>
      </w:pPr>
    </w:p>
    <w:p w14:paraId="0D1E9FD7" w14:textId="77777777" w:rsidR="004C0533" w:rsidRDefault="004C0533" w:rsidP="00DB1D37">
      <w:pPr>
        <w:rPr>
          <w:rFonts w:ascii="Garamond" w:hAnsi="Garamond"/>
          <w:b/>
          <w:bCs/>
          <w:sz w:val="28"/>
          <w:szCs w:val="28"/>
          <w:lang w:val="en-US"/>
        </w:rPr>
      </w:pPr>
    </w:p>
    <w:p w14:paraId="649DDA1F" w14:textId="636DFA0D" w:rsidR="00C13B90" w:rsidRPr="00DB1D37" w:rsidRDefault="00C13B90" w:rsidP="00DB1D37">
      <w:pPr>
        <w:rPr>
          <w:rFonts w:ascii="Garamond" w:hAnsi="Garamond"/>
          <w:b/>
          <w:bCs/>
          <w:sz w:val="28"/>
          <w:szCs w:val="28"/>
          <w:lang w:val="en-US"/>
        </w:rPr>
      </w:pPr>
      <w:r w:rsidRPr="00DB1D37">
        <w:rPr>
          <w:rFonts w:ascii="Garamond" w:hAnsi="Garamond"/>
          <w:b/>
          <w:bCs/>
          <w:sz w:val="28"/>
          <w:szCs w:val="28"/>
          <w:lang w:val="en-US"/>
        </w:rPr>
        <w:t>Regulation contracts or firm conduct</w:t>
      </w:r>
    </w:p>
    <w:p w14:paraId="16C5D020" w14:textId="77777777" w:rsidR="00C13B90" w:rsidRPr="00DB1D37" w:rsidRDefault="00C13B90" w:rsidP="00DB1D37">
      <w:pPr>
        <w:rPr>
          <w:rFonts w:ascii="Garamond" w:hAnsi="Garamond"/>
          <w:b/>
          <w:bCs/>
          <w:sz w:val="28"/>
          <w:szCs w:val="28"/>
          <w:lang w:val="en-US"/>
        </w:rPr>
      </w:pPr>
      <w:r w:rsidRPr="00DB1D37">
        <w:rPr>
          <w:rFonts w:ascii="Garamond" w:hAnsi="Garamond"/>
          <w:b/>
          <w:bCs/>
          <w:sz w:val="28"/>
          <w:szCs w:val="28"/>
          <w:lang w:val="en-US"/>
        </w:rPr>
        <w:t>Modifying classical policy approaches and recommendations</w:t>
      </w:r>
    </w:p>
    <w:p w14:paraId="3DCE2594" w14:textId="77777777" w:rsidR="00C13B90" w:rsidRDefault="00C13B90">
      <w:pPr>
        <w:rPr>
          <w:rFonts w:ascii="Garamond" w:hAnsi="Garamond"/>
          <w:b/>
          <w:bCs/>
          <w:sz w:val="28"/>
          <w:szCs w:val="28"/>
          <w:lang w:val="en-US"/>
        </w:rPr>
      </w:pPr>
    </w:p>
    <w:p w14:paraId="28848352" w14:textId="77777777" w:rsidR="00C13B90" w:rsidRPr="00C13B90" w:rsidRDefault="00C13B90">
      <w:pPr>
        <w:rPr>
          <w:rFonts w:ascii="Garamond" w:hAnsi="Garamond"/>
          <w:b/>
          <w:bCs/>
          <w:sz w:val="28"/>
          <w:szCs w:val="28"/>
          <w:lang w:val="en-US"/>
        </w:rPr>
      </w:pPr>
    </w:p>
    <w:p w14:paraId="7EAEB17C" w14:textId="6481E8CA" w:rsidR="00C13B90" w:rsidRDefault="00754CF5">
      <w:pPr>
        <w:rPr>
          <w:rFonts w:ascii="Garamond" w:hAnsi="Garamond"/>
          <w:sz w:val="28"/>
          <w:szCs w:val="28"/>
        </w:rPr>
      </w:pPr>
      <w:r w:rsidRPr="00754CF5">
        <w:rPr>
          <w:rFonts w:ascii="Garamond" w:hAnsi="Garamond"/>
          <w:sz w:val="28"/>
          <w:szCs w:val="28"/>
        </w:rPr>
        <w:t>Allcott, Hunt, and Judd B. Kessler. 2019. "The Welfare Effects of Nudges: A Case Study of Energy Use Social Comparisons." </w:t>
      </w:r>
      <w:r w:rsidRPr="00754CF5">
        <w:rPr>
          <w:rFonts w:ascii="Garamond" w:hAnsi="Garamond"/>
          <w:i/>
          <w:iCs/>
          <w:sz w:val="28"/>
          <w:szCs w:val="28"/>
        </w:rPr>
        <w:t>American Economic Journal: Applied Economics</w:t>
      </w:r>
      <w:r w:rsidRPr="00754CF5">
        <w:rPr>
          <w:rFonts w:ascii="Garamond" w:hAnsi="Garamond"/>
          <w:sz w:val="28"/>
          <w:szCs w:val="28"/>
        </w:rPr>
        <w:t>, 11 (1): 236–76.</w:t>
      </w:r>
    </w:p>
    <w:p w14:paraId="73528A21" w14:textId="77777777" w:rsidR="00754CF5" w:rsidRDefault="00754CF5">
      <w:pPr>
        <w:rPr>
          <w:rFonts w:ascii="Garamond" w:hAnsi="Garamond"/>
          <w:sz w:val="28"/>
          <w:szCs w:val="28"/>
        </w:rPr>
      </w:pPr>
    </w:p>
    <w:p w14:paraId="0CD6664F" w14:textId="35F26A62" w:rsidR="00754CF5" w:rsidRDefault="00754CF5">
      <w:pPr>
        <w:rPr>
          <w:rFonts w:ascii="Garamond" w:hAnsi="Garamond"/>
          <w:sz w:val="28"/>
          <w:szCs w:val="28"/>
        </w:rPr>
      </w:pPr>
      <w:r w:rsidRPr="00754CF5">
        <w:rPr>
          <w:rFonts w:ascii="Garamond" w:hAnsi="Garamond"/>
          <w:sz w:val="28"/>
          <w:szCs w:val="28"/>
        </w:rPr>
        <w:t>Spiegler, R. (2015). On the equilibrium effects of nudging. </w:t>
      </w:r>
      <w:r w:rsidRPr="00754CF5">
        <w:rPr>
          <w:rFonts w:ascii="Garamond" w:hAnsi="Garamond"/>
          <w:i/>
          <w:iCs/>
          <w:sz w:val="28"/>
          <w:szCs w:val="28"/>
        </w:rPr>
        <w:t>The Journal of Legal Studies</w:t>
      </w:r>
      <w:r w:rsidRPr="00754CF5">
        <w:rPr>
          <w:rFonts w:ascii="Garamond" w:hAnsi="Garamond"/>
          <w:sz w:val="28"/>
          <w:szCs w:val="28"/>
        </w:rPr>
        <w:t>, </w:t>
      </w:r>
      <w:r w:rsidRPr="00754CF5">
        <w:rPr>
          <w:rFonts w:ascii="Garamond" w:hAnsi="Garamond"/>
          <w:i/>
          <w:iCs/>
          <w:sz w:val="28"/>
          <w:szCs w:val="28"/>
        </w:rPr>
        <w:t>44</w:t>
      </w:r>
      <w:r w:rsidRPr="00754CF5">
        <w:rPr>
          <w:rFonts w:ascii="Garamond" w:hAnsi="Garamond"/>
          <w:sz w:val="28"/>
          <w:szCs w:val="28"/>
        </w:rPr>
        <w:t>(2), 389-416.</w:t>
      </w:r>
    </w:p>
    <w:p w14:paraId="335F33D8" w14:textId="77777777" w:rsidR="00B50B51" w:rsidRDefault="00B50B51">
      <w:pPr>
        <w:rPr>
          <w:rFonts w:ascii="Garamond" w:hAnsi="Garamond"/>
          <w:sz w:val="28"/>
          <w:szCs w:val="28"/>
        </w:rPr>
      </w:pPr>
    </w:p>
    <w:p w14:paraId="5BF9EE58" w14:textId="63C28F94" w:rsidR="00B50B51" w:rsidRPr="00B50B51" w:rsidRDefault="00B50B51" w:rsidP="00B50B51">
      <w:pPr>
        <w:rPr>
          <w:rFonts w:ascii="Garamond" w:hAnsi="Garamond"/>
          <w:sz w:val="28"/>
          <w:szCs w:val="28"/>
          <w:lang w:val="en-GB"/>
        </w:rPr>
      </w:pPr>
      <w:r w:rsidRPr="00B50B51">
        <w:rPr>
          <w:rFonts w:ascii="Garamond" w:hAnsi="Garamond"/>
          <w:sz w:val="28"/>
          <w:szCs w:val="28"/>
          <w:lang w:val="en-GB"/>
        </w:rPr>
        <w:t>Bar-Gill, Oren, Ferrari, Franco, 2010. Informing consumers about themselves.</w:t>
      </w:r>
      <w:r w:rsidRPr="00B50B51">
        <w:rPr>
          <w:rFonts w:ascii="Garamond" w:hAnsi="Garamond"/>
          <w:i/>
          <w:iCs/>
          <w:sz w:val="28"/>
          <w:szCs w:val="28"/>
          <w:lang w:val="en-GB"/>
        </w:rPr>
        <w:t xml:space="preserve"> Erasmus Law Review 3 </w:t>
      </w:r>
      <w:r w:rsidRPr="00B50B51">
        <w:rPr>
          <w:rFonts w:ascii="Garamond" w:hAnsi="Garamond"/>
          <w:sz w:val="28"/>
          <w:szCs w:val="28"/>
          <w:lang w:val="en-GB"/>
        </w:rPr>
        <w:t>(2),</w:t>
      </w:r>
      <w:r>
        <w:rPr>
          <w:rFonts w:ascii="Garamond" w:hAnsi="Garamond"/>
          <w:sz w:val="28"/>
          <w:szCs w:val="28"/>
          <w:lang w:val="en-GB"/>
        </w:rPr>
        <w:t xml:space="preserve"> </w:t>
      </w:r>
      <w:r w:rsidRPr="00B50B51">
        <w:rPr>
          <w:rFonts w:ascii="Garamond" w:hAnsi="Garamond"/>
          <w:sz w:val="28"/>
          <w:szCs w:val="28"/>
          <w:lang w:val="en-GB"/>
        </w:rPr>
        <w:t>93–119.</w:t>
      </w:r>
    </w:p>
    <w:p w14:paraId="0EDBD3F1" w14:textId="77777777" w:rsidR="00C13B90" w:rsidRDefault="00C13B90">
      <w:pPr>
        <w:rPr>
          <w:rFonts w:ascii="Garamond" w:hAnsi="Garamond"/>
          <w:sz w:val="28"/>
          <w:szCs w:val="28"/>
          <w:lang w:val="en-US"/>
        </w:rPr>
      </w:pPr>
    </w:p>
    <w:p w14:paraId="70B37765" w14:textId="222ABC3A" w:rsidR="00B71D01" w:rsidRPr="00B71D01" w:rsidRDefault="00B71D01">
      <w:pPr>
        <w:rPr>
          <w:rFonts w:ascii="Garamond" w:hAnsi="Garamond"/>
          <w:sz w:val="28"/>
          <w:szCs w:val="28"/>
          <w:lang w:val="en-US"/>
        </w:rPr>
      </w:pPr>
      <w:r w:rsidRPr="00B71D01">
        <w:rPr>
          <w:rFonts w:ascii="Garamond" w:hAnsi="Garamond"/>
          <w:sz w:val="28"/>
          <w:szCs w:val="28"/>
          <w:lang w:val="en-GB"/>
        </w:rPr>
        <w:t>Kiss, András, 2014</w:t>
      </w:r>
      <w:r w:rsidRPr="00B71D01">
        <w:rPr>
          <w:rFonts w:ascii="Garamond" w:hAnsi="Garamond"/>
          <w:i/>
          <w:iCs/>
          <w:sz w:val="28"/>
          <w:szCs w:val="28"/>
          <w:lang w:val="en-GB"/>
        </w:rPr>
        <w:t xml:space="preserve">. </w:t>
      </w:r>
      <w:r w:rsidRPr="00B71D01">
        <w:rPr>
          <w:rFonts w:ascii="Garamond" w:hAnsi="Garamond"/>
          <w:sz w:val="28"/>
          <w:szCs w:val="28"/>
          <w:lang w:val="en-GB"/>
        </w:rPr>
        <w:t xml:space="preserve">Salience and </w:t>
      </w:r>
      <w:proofErr w:type="gramStart"/>
      <w:r w:rsidRPr="00B71D01">
        <w:rPr>
          <w:rFonts w:ascii="Garamond" w:hAnsi="Garamond"/>
          <w:sz w:val="28"/>
          <w:szCs w:val="28"/>
          <w:lang w:val="en-GB"/>
        </w:rPr>
        <w:t>Switching</w:t>
      </w:r>
      <w:proofErr w:type="gramEnd"/>
      <w:r w:rsidRPr="00B71D01">
        <w:rPr>
          <w:rFonts w:ascii="Garamond" w:hAnsi="Garamond"/>
          <w:i/>
          <w:iCs/>
          <w:sz w:val="28"/>
          <w:szCs w:val="28"/>
          <w:lang w:val="en-GB"/>
        </w:rPr>
        <w:t xml:space="preserve">. Working Paper. </w:t>
      </w:r>
      <w:r w:rsidRPr="00B71D01">
        <w:rPr>
          <w:rFonts w:ascii="Garamond" w:hAnsi="Garamond"/>
          <w:sz w:val="28"/>
          <w:szCs w:val="28"/>
          <w:lang w:val="en-GB"/>
        </w:rPr>
        <w:t>University of Amsterdam.</w:t>
      </w:r>
    </w:p>
    <w:sectPr w:rsidR="00B71D01" w:rsidRPr="00B71D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B0740E"/>
    <w:multiLevelType w:val="hybridMultilevel"/>
    <w:tmpl w:val="57666C1E"/>
    <w:lvl w:ilvl="0" w:tplc="C3566DBC">
      <w:numFmt w:val="bullet"/>
      <w:lvlText w:val="-"/>
      <w:lvlJc w:val="left"/>
      <w:pPr>
        <w:ind w:left="720" w:hanging="360"/>
      </w:pPr>
      <w:rPr>
        <w:rFonts w:ascii="Garamond" w:eastAsiaTheme="minorHAnsi" w:hAnsi="Garamond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4A047A"/>
    <w:multiLevelType w:val="hybridMultilevel"/>
    <w:tmpl w:val="864EFE54"/>
    <w:lvl w:ilvl="0" w:tplc="BF9098E8">
      <w:numFmt w:val="bullet"/>
      <w:lvlText w:val="-"/>
      <w:lvlJc w:val="left"/>
      <w:pPr>
        <w:ind w:left="1080" w:hanging="360"/>
      </w:pPr>
      <w:rPr>
        <w:rFonts w:ascii="Garamond" w:eastAsiaTheme="minorHAnsi" w:hAnsi="Garamond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866143969">
    <w:abstractNumId w:val="0"/>
  </w:num>
  <w:num w:numId="2" w16cid:durableId="13624394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B90"/>
    <w:rsid w:val="00195074"/>
    <w:rsid w:val="001D2797"/>
    <w:rsid w:val="00222E27"/>
    <w:rsid w:val="003B3CA7"/>
    <w:rsid w:val="003D24E2"/>
    <w:rsid w:val="003E57E6"/>
    <w:rsid w:val="004122A8"/>
    <w:rsid w:val="00486397"/>
    <w:rsid w:val="004C0533"/>
    <w:rsid w:val="005071FE"/>
    <w:rsid w:val="00556074"/>
    <w:rsid w:val="006D0162"/>
    <w:rsid w:val="006D3A43"/>
    <w:rsid w:val="00754CF5"/>
    <w:rsid w:val="0078081C"/>
    <w:rsid w:val="008D6E17"/>
    <w:rsid w:val="00A20033"/>
    <w:rsid w:val="00A87470"/>
    <w:rsid w:val="00B15884"/>
    <w:rsid w:val="00B45853"/>
    <w:rsid w:val="00B50B51"/>
    <w:rsid w:val="00B71D01"/>
    <w:rsid w:val="00C13B90"/>
    <w:rsid w:val="00D028E2"/>
    <w:rsid w:val="00D53297"/>
    <w:rsid w:val="00DB1D37"/>
    <w:rsid w:val="00DF4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E0AD01F"/>
  <w15:chartTrackingRefBased/>
  <w15:docId w15:val="{85C9D4DB-FC89-6943-ABA7-A1B212657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3B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3</Pages>
  <Words>809</Words>
  <Characters>4615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SHK-iMac</dc:creator>
  <cp:keywords/>
  <dc:description/>
  <cp:lastModifiedBy>C</cp:lastModifiedBy>
  <cp:revision>15</cp:revision>
  <dcterms:created xsi:type="dcterms:W3CDTF">2024-12-12T10:36:00Z</dcterms:created>
  <dcterms:modified xsi:type="dcterms:W3CDTF">2024-12-12T17:47:00Z</dcterms:modified>
</cp:coreProperties>
</file>