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1F0A0" w14:textId="77777777" w:rsidR="00736B56" w:rsidRDefault="00E8749C">
      <w:pPr>
        <w:tabs>
          <w:tab w:val="left" w:pos="2333"/>
        </w:tabs>
        <w:spacing w:before="63"/>
        <w:ind w:left="672"/>
        <w:rPr>
          <w:sz w:val="20"/>
        </w:rPr>
      </w:pPr>
      <w:r>
        <w:pict w14:anchorId="2C967165">
          <v:group id="_x0000_s1029" alt="" style="position:absolute;left:0;text-align:left;margin-left:0;margin-top:0;width:612pt;height:11in;z-index:-252003328;mso-position-horizontal-relative:page;mso-position-vertical-relative:page" coordsize="12240,15840">
            <v:shape id="_x0000_s1030" alt="" style="position:absolute;left:7344;width:4896;height:10651" coordorigin="7344" coordsize="4896,10651" path="m12240,l7561,,7368,r-24,l7344,3960r197,l7541,5014r-197,l7344,10650r197,l7541,10649r4673,l12214,3744r-4653,l7561,288r4679,l12240,e" fillcolor="black" stroked="f">
              <v:path arrowok="t"/>
            </v:shape>
            <v:line id="_x0000_s1031" alt="" style="position:absolute" from="7368,1345" to="12240,1345" strokeweight=".08pt"/>
            <v:line id="_x0000_s1032" alt="" style="position:absolute" from="7368,2402" to="12240,2402" strokeweight=".24pt"/>
            <v:rect id="_x0000_s1033" alt="" style="position:absolute;left:7368;top:3456;width:4872;height:288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alt="" style="position:absolute;left:7363;top:285;width:4877;height:3173">
              <v:imagedata r:id="rId7" o:title=""/>
            </v:shape>
            <v:shape id="_x0000_s1035" alt="" style="position:absolute;left:7344;top:10648;width:4870;height:5192" coordorigin="7344,10649" coordsize="4870,5192" o:spt="100" adj="0,,0" path="m12204,10649r-4860,l7344,15109r4860,l12204,10649t10,4461l7541,15110r-197,l7344,15840r197,l12214,15840r,-730e" fillcolor="black" stroked="f">
              <v:stroke joinstyle="round"/>
              <v:formulas/>
              <v:path arrowok="t" o:connecttype="segments"/>
            </v:shape>
            <v:shape id="_x0000_s1036" type="#_x0000_t75" alt="" style="position:absolute;left:7341;top:10932;width:4863;height:3891">
              <v:imagedata r:id="rId8" o:title=""/>
            </v:shape>
            <v:shape id="_x0000_s1037" type="#_x0000_t75" alt="" style="position:absolute;left:3691;top:4764;width:8307;height:6315">
              <v:imagedata r:id="rId9" o:title=""/>
            </v:shape>
            <v:shape id="_x0000_s1038" type="#_x0000_t75" alt="" style="position:absolute;top:3945;width:11009;height:1083">
              <v:imagedata r:id="rId10" o:title=""/>
            </v:shape>
            <v:shape id="_x0000_s1039" type="#_x0000_t75" alt="" style="position:absolute;left:1267;top:835;width:5316;height:2189">
              <v:imagedata r:id="rId11" o:title=""/>
            </v:shape>
            <v:shape id="_x0000_s1040" type="#_x0000_t75" alt="" style="position:absolute;left:1442;top:1384;width:452;height:238">
              <v:imagedata r:id="rId12" o:title=""/>
            </v:shape>
            <v:shape id="_x0000_s1041" type="#_x0000_t75" alt="" style="position:absolute;left:3076;top:1382;width:2816;height:240">
              <v:imagedata r:id="rId13" o:title=""/>
            </v:shape>
            <v:shape id="_x0000_s1042" type="#_x0000_t75" alt="" style="position:absolute;left:2150;top:2515;width:4136;height:173">
              <v:imagedata r:id="rId14" o:title=""/>
            </v:shape>
            <v:shape id="_x0000_s1043" type="#_x0000_t75" alt="" style="position:absolute;left:1790;top:12168;width:5225;height:2422">
              <v:imagedata r:id="rId15" o:title=""/>
            </v:shape>
            <v:shape id="_x0000_s1044" type="#_x0000_t75" alt="" style="position:absolute;left:1941;top:12664;width:857;height:149">
              <v:imagedata r:id="rId16" o:title=""/>
            </v:shape>
            <v:shape id="_x0000_s1045" type="#_x0000_t75" alt="" style="position:absolute;left:4735;top:12664;width:1052;height:149">
              <v:imagedata r:id="rId17" o:title=""/>
            </v:shape>
            <v:shape id="_x0000_s1046" type="#_x0000_t75" alt="" style="position:absolute;left:1941;top:13432;width:857;height:149">
              <v:imagedata r:id="rId18" o:title=""/>
            </v:shape>
            <v:shape id="_x0000_s1047" type="#_x0000_t75" alt="" style="position:absolute;left:5184;top:13432;width:552;height:149">
              <v:imagedata r:id="rId19" o:title=""/>
            </v:shape>
            <v:shape id="_x0000_s1048" type="#_x0000_t75" alt="" style="position:absolute;left:1941;top:14198;width:1947;height:149">
              <v:imagedata r:id="rId20" o:title=""/>
            </v:shape>
            <w10:wrap anchorx="page" anchory="page"/>
          </v:group>
        </w:pict>
      </w:r>
      <w:r>
        <w:rPr>
          <w:sz w:val="20"/>
        </w:rPr>
        <w:t>RATING</w:t>
      </w:r>
      <w:r>
        <w:rPr>
          <w:sz w:val="20"/>
        </w:rPr>
        <w:tab/>
        <w:t>AUSTRALIA</w:t>
      </w:r>
    </w:p>
    <w:p w14:paraId="43891AF8" w14:textId="77777777" w:rsidR="00736B56" w:rsidRDefault="00736B56">
      <w:pPr>
        <w:pStyle w:val="BodyText"/>
        <w:rPr>
          <w:sz w:val="22"/>
          <w:u w:val="none"/>
        </w:rPr>
      </w:pPr>
    </w:p>
    <w:p w14:paraId="7DDC64B2" w14:textId="77777777" w:rsidR="00736B56" w:rsidRDefault="00736B56">
      <w:pPr>
        <w:pStyle w:val="BodyText"/>
        <w:rPr>
          <w:sz w:val="22"/>
          <w:u w:val="none"/>
        </w:rPr>
      </w:pPr>
    </w:p>
    <w:p w14:paraId="0B10013F" w14:textId="77777777" w:rsidR="00736B56" w:rsidRDefault="00736B56">
      <w:pPr>
        <w:pStyle w:val="BodyText"/>
        <w:rPr>
          <w:sz w:val="22"/>
          <w:u w:val="none"/>
        </w:rPr>
      </w:pPr>
    </w:p>
    <w:p w14:paraId="000C75AE" w14:textId="77777777" w:rsidR="00736B56" w:rsidRDefault="00736B56">
      <w:pPr>
        <w:pStyle w:val="BodyText"/>
        <w:spacing w:before="2"/>
        <w:rPr>
          <w:sz w:val="28"/>
          <w:u w:val="none"/>
        </w:rPr>
      </w:pPr>
    </w:p>
    <w:p w14:paraId="790B32A1" w14:textId="77777777" w:rsidR="00736B56" w:rsidRDefault="00E8749C">
      <w:pPr>
        <w:tabs>
          <w:tab w:val="left" w:pos="2388"/>
          <w:tab w:val="left" w:pos="4068"/>
        </w:tabs>
        <w:ind w:left="672"/>
        <w:rPr>
          <w:sz w:val="20"/>
        </w:rPr>
      </w:pPr>
      <w:r>
        <w:rPr>
          <w:sz w:val="20"/>
        </w:rPr>
        <w:t>LISTING</w:t>
      </w:r>
      <w:r>
        <w:rPr>
          <w:spacing w:val="-7"/>
          <w:sz w:val="20"/>
        </w:rPr>
        <w:t xml:space="preserve"> </w:t>
      </w:r>
      <w:r>
        <w:rPr>
          <w:sz w:val="20"/>
        </w:rPr>
        <w:t>DATE</w:t>
      </w:r>
      <w:r>
        <w:rPr>
          <w:sz w:val="20"/>
        </w:rPr>
        <w:tab/>
        <w:t>REUTERS</w:t>
      </w:r>
      <w:r>
        <w:rPr>
          <w:sz w:val="20"/>
        </w:rPr>
        <w:tab/>
        <w:t>BLOOMBERG</w:t>
      </w:r>
    </w:p>
    <w:p w14:paraId="3DA240F4" w14:textId="77777777" w:rsidR="00736B56" w:rsidRDefault="00736B56">
      <w:pPr>
        <w:pStyle w:val="BodyText"/>
        <w:rPr>
          <w:sz w:val="22"/>
          <w:u w:val="none"/>
        </w:rPr>
      </w:pPr>
    </w:p>
    <w:p w14:paraId="14A29880" w14:textId="77777777" w:rsidR="00736B56" w:rsidRDefault="00736B56">
      <w:pPr>
        <w:pStyle w:val="BodyText"/>
        <w:rPr>
          <w:sz w:val="22"/>
          <w:u w:val="none"/>
        </w:rPr>
      </w:pPr>
    </w:p>
    <w:p w14:paraId="3CC12165" w14:textId="77777777" w:rsidR="00736B56" w:rsidRDefault="00736B56">
      <w:pPr>
        <w:pStyle w:val="BodyText"/>
        <w:rPr>
          <w:sz w:val="22"/>
          <w:u w:val="none"/>
        </w:rPr>
      </w:pPr>
    </w:p>
    <w:p w14:paraId="582AF0B0" w14:textId="77777777" w:rsidR="00736B56" w:rsidRDefault="00736B56">
      <w:pPr>
        <w:pStyle w:val="BodyText"/>
        <w:rPr>
          <w:sz w:val="22"/>
          <w:u w:val="none"/>
        </w:rPr>
      </w:pPr>
    </w:p>
    <w:p w14:paraId="02607758" w14:textId="77777777" w:rsidR="00736B56" w:rsidRDefault="00736B56">
      <w:pPr>
        <w:pStyle w:val="BodyText"/>
        <w:rPr>
          <w:sz w:val="22"/>
          <w:u w:val="none"/>
        </w:rPr>
      </w:pPr>
    </w:p>
    <w:p w14:paraId="49CF118E" w14:textId="77777777" w:rsidR="00736B56" w:rsidRDefault="00736B56">
      <w:pPr>
        <w:pStyle w:val="BodyText"/>
        <w:rPr>
          <w:sz w:val="30"/>
          <w:u w:val="none"/>
        </w:rPr>
      </w:pPr>
    </w:p>
    <w:p w14:paraId="27E16356" w14:textId="77777777" w:rsidR="00736B56" w:rsidRDefault="00E8749C">
      <w:pPr>
        <w:ind w:left="108"/>
        <w:rPr>
          <w:rFonts w:ascii="Calibri"/>
          <w:sz w:val="72"/>
        </w:rPr>
      </w:pPr>
      <w:r>
        <w:pict w14:anchorId="7A2EE6E4">
          <v:group id="_x0000_s1026" alt="" style="position:absolute;left:0;text-align:left;margin-left:367.8pt;margin-top:-16.6pt;width:243.55pt;height:345.25pt;z-index:251661312;mso-position-horizontal-relative:page" coordorigin="7356,-332" coordsize="4871,690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" style="position:absolute;left:7356;top:-117;width:206;height:6689;mso-wrap-style:square;v-text-anchor:top" filled="f" stroked="f">
              <v:textbox inset="0,0,0,0">
                <w:txbxContent>
                  <w:p w14:paraId="53FA6E1F" w14:textId="77777777" w:rsidR="00736B56" w:rsidRDefault="00E8749C">
                    <w:pPr>
                      <w:spacing w:before="116"/>
                      <w:ind w:left="-80"/>
                      <w:rPr>
                        <w:rFonts w:ascii="Calibri"/>
                        <w:sz w:val="72"/>
                      </w:rPr>
                    </w:pPr>
                    <w:r>
                      <w:rPr>
                        <w:rFonts w:ascii="Calibri"/>
                        <w:color w:val="FFFFFF"/>
                        <w:sz w:val="72"/>
                      </w:rPr>
                      <w:t>I</w:t>
                    </w:r>
                  </w:p>
                </w:txbxContent>
              </v:textbox>
            </v:shape>
            <v:shape id="_x0000_s1028" type="#_x0000_t202" alt="" style="position:absolute;left:7561;top:-333;width:4666;height:6905;mso-wrap-style:square;v-text-anchor:top" filled="f" stroked="f">
              <v:textbox inset="0,0,0,0">
                <w:txbxContent>
                  <w:p w14:paraId="71EAAC46" w14:textId="77777777" w:rsidR="00736B56" w:rsidRDefault="00E8749C">
                    <w:pPr>
                      <w:spacing w:before="332"/>
                      <w:ind w:left="-103"/>
                      <w:rPr>
                        <w:rFonts w:ascii="Calibri"/>
                        <w:sz w:val="72"/>
                      </w:rPr>
                    </w:pPr>
                    <w:r>
                      <w:rPr>
                        <w:rFonts w:ascii="Calibri"/>
                        <w:color w:val="FFFFFF"/>
                        <w:sz w:val="72"/>
                      </w:rPr>
                      <w:t>TED (CWN)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/>
          <w:color w:val="FFFFFF"/>
          <w:sz w:val="72"/>
        </w:rPr>
        <w:t>CROWN RESORTS LIM</w:t>
      </w:r>
    </w:p>
    <w:p w14:paraId="0CAC9032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5324793F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394C50BC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3FC216E3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13F4CD19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316CE843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3A172450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24D8DFF7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2F14C479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4AC22335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14CD8C83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2C94326A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4C5EE885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700B1240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73C81C94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5EFD595E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385A51E0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7C03D956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3AB5A5B7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65A31F7E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3DFBFF96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0788FD08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2D5FBFB9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4D4AEF4D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4ECB47AC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67895E22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1BED3797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767A4B48" w14:textId="77777777" w:rsidR="00736B56" w:rsidRDefault="00736B56">
      <w:pPr>
        <w:pStyle w:val="BodyText"/>
        <w:rPr>
          <w:rFonts w:ascii="Calibri"/>
          <w:sz w:val="20"/>
          <w:u w:val="none"/>
        </w:rPr>
      </w:pPr>
    </w:p>
    <w:p w14:paraId="4CA70889" w14:textId="77777777" w:rsidR="00736B56" w:rsidRDefault="00736B56">
      <w:pPr>
        <w:pStyle w:val="BodyText"/>
        <w:spacing w:before="4"/>
        <w:rPr>
          <w:rFonts w:ascii="Calibri"/>
          <w:sz w:val="27"/>
          <w:u w:val="none"/>
        </w:rPr>
      </w:pPr>
    </w:p>
    <w:p w14:paraId="3EFF4184" w14:textId="77777777" w:rsidR="00736B56" w:rsidRDefault="00E8749C">
      <w:pPr>
        <w:tabs>
          <w:tab w:val="left" w:pos="3972"/>
        </w:tabs>
        <w:spacing w:before="131"/>
        <w:ind w:left="1196"/>
        <w:rPr>
          <w:sz w:val="18"/>
        </w:rPr>
      </w:pPr>
      <w:r>
        <w:rPr>
          <w:sz w:val="18"/>
        </w:rPr>
        <w:t>PRICE AT 22</w:t>
      </w:r>
      <w:r>
        <w:rPr>
          <w:sz w:val="18"/>
          <w:vertAlign w:val="superscript"/>
        </w:rPr>
        <w:t>ND</w:t>
      </w:r>
      <w:r>
        <w:rPr>
          <w:spacing w:val="-17"/>
          <w:sz w:val="18"/>
        </w:rPr>
        <w:t xml:space="preserve"> </w:t>
      </w:r>
      <w:r>
        <w:rPr>
          <w:sz w:val="18"/>
        </w:rPr>
        <w:t>APRIL</w:t>
      </w:r>
      <w:r>
        <w:rPr>
          <w:spacing w:val="-3"/>
          <w:sz w:val="18"/>
        </w:rPr>
        <w:t xml:space="preserve"> </w:t>
      </w:r>
      <w:r>
        <w:rPr>
          <w:sz w:val="18"/>
        </w:rPr>
        <w:t>2015</w:t>
      </w:r>
      <w:r>
        <w:rPr>
          <w:sz w:val="18"/>
        </w:rPr>
        <w:tab/>
        <w:t>MARKET CAP</w:t>
      </w:r>
      <w:r>
        <w:rPr>
          <w:spacing w:val="-14"/>
          <w:sz w:val="18"/>
        </w:rPr>
        <w:t xml:space="preserve"> </w:t>
      </w:r>
      <w:r>
        <w:rPr>
          <w:sz w:val="18"/>
        </w:rPr>
        <w:t>(MIL)</w:t>
      </w:r>
    </w:p>
    <w:p w14:paraId="6181454F" w14:textId="77777777" w:rsidR="00736B56" w:rsidRDefault="00736B56">
      <w:pPr>
        <w:pStyle w:val="BodyText"/>
        <w:rPr>
          <w:u w:val="none"/>
        </w:rPr>
      </w:pPr>
    </w:p>
    <w:p w14:paraId="374CD82B" w14:textId="77777777" w:rsidR="00736B56" w:rsidRDefault="00736B56">
      <w:pPr>
        <w:pStyle w:val="BodyText"/>
        <w:spacing w:before="9"/>
        <w:rPr>
          <w:u w:val="none"/>
        </w:rPr>
      </w:pPr>
    </w:p>
    <w:p w14:paraId="1A0DB5C0" w14:textId="77777777" w:rsidR="00736B56" w:rsidRDefault="00E8749C">
      <w:pPr>
        <w:tabs>
          <w:tab w:val="left" w:pos="3958"/>
        </w:tabs>
        <w:spacing w:before="1" w:line="439" w:lineRule="auto"/>
        <w:ind w:left="3958" w:right="5430" w:hanging="2763"/>
        <w:rPr>
          <w:sz w:val="18"/>
        </w:rPr>
      </w:pPr>
      <w:r>
        <w:rPr>
          <w:sz w:val="18"/>
        </w:rPr>
        <w:t>PRICE</w:t>
      </w:r>
      <w:r>
        <w:rPr>
          <w:spacing w:val="-12"/>
          <w:sz w:val="18"/>
        </w:rPr>
        <w:t xml:space="preserve"> </w:t>
      </w:r>
      <w:r>
        <w:rPr>
          <w:sz w:val="18"/>
        </w:rPr>
        <w:t>FORECAST</w:t>
      </w:r>
      <w:r>
        <w:rPr>
          <w:sz w:val="18"/>
        </w:rPr>
        <w:tab/>
        <w:t xml:space="preserve">SHARES </w:t>
      </w:r>
      <w:r>
        <w:rPr>
          <w:spacing w:val="-3"/>
          <w:sz w:val="18"/>
        </w:rPr>
        <w:t xml:space="preserve">OUTSTANDING </w:t>
      </w:r>
      <w:r>
        <w:rPr>
          <w:sz w:val="18"/>
        </w:rPr>
        <w:t>(MIL)</w:t>
      </w:r>
    </w:p>
    <w:p w14:paraId="1B024F35" w14:textId="77777777" w:rsidR="00736B56" w:rsidRDefault="00E8749C">
      <w:pPr>
        <w:spacing w:before="5"/>
        <w:ind w:left="1196"/>
        <w:rPr>
          <w:sz w:val="18"/>
        </w:rPr>
      </w:pPr>
      <w:r>
        <w:rPr>
          <w:sz w:val="18"/>
        </w:rPr>
        <w:t>52-WEEK RANGE</w:t>
      </w:r>
    </w:p>
    <w:p w14:paraId="42A57088" w14:textId="77777777" w:rsidR="00736B56" w:rsidRDefault="00736B56">
      <w:pPr>
        <w:rPr>
          <w:sz w:val="18"/>
        </w:rPr>
        <w:sectPr w:rsidR="00736B56">
          <w:type w:val="continuous"/>
          <w:pgSz w:w="12240" w:h="15840"/>
          <w:pgMar w:top="860" w:right="0" w:bottom="280" w:left="760" w:header="720" w:footer="720" w:gutter="0"/>
          <w:cols w:space="720"/>
        </w:sectPr>
      </w:pPr>
    </w:p>
    <w:p w14:paraId="5FDAE7CC" w14:textId="77777777" w:rsidR="00736B56" w:rsidRDefault="00E8749C">
      <w:pPr>
        <w:spacing w:before="15"/>
        <w:ind w:left="1040"/>
        <w:rPr>
          <w:rFonts w:ascii="Calibri"/>
          <w:sz w:val="32"/>
        </w:rPr>
      </w:pPr>
      <w:r>
        <w:rPr>
          <w:rFonts w:ascii="Calibri"/>
          <w:color w:val="2D73B5"/>
          <w:sz w:val="32"/>
        </w:rPr>
        <w:lastRenderedPageBreak/>
        <w:t>Table of Contents</w:t>
      </w:r>
    </w:p>
    <w:p w14:paraId="6BFB6781" w14:textId="77777777" w:rsidR="00736B56" w:rsidRDefault="00736B56">
      <w:pPr>
        <w:pStyle w:val="BodyText"/>
        <w:spacing w:before="7"/>
        <w:rPr>
          <w:rFonts w:ascii="Calibri"/>
          <w:sz w:val="35"/>
          <w:u w:val="none"/>
        </w:rPr>
      </w:pPr>
    </w:p>
    <w:p w14:paraId="26BEBD5F" w14:textId="77777777" w:rsidR="00736B56" w:rsidRDefault="00E8749C">
      <w:pPr>
        <w:spacing w:before="1"/>
        <w:ind w:left="1040"/>
        <w:rPr>
          <w:b/>
        </w:rPr>
      </w:pPr>
      <w:hyperlink w:anchor="_bookmark0" w:history="1">
        <w:r>
          <w:rPr>
            <w:b/>
          </w:rPr>
          <w:t>1.0 INTRODUCTION</w:t>
        </w:r>
      </w:hyperlink>
    </w:p>
    <w:p w14:paraId="7E73A293" w14:textId="77777777" w:rsidR="00736B56" w:rsidRDefault="00E8749C">
      <w:pPr>
        <w:spacing w:before="121"/>
        <w:ind w:left="1040"/>
        <w:rPr>
          <w:b/>
        </w:rPr>
      </w:pPr>
      <w:hyperlink w:anchor="_bookmark1" w:history="1">
        <w:r>
          <w:rPr>
            <w:b/>
          </w:rPr>
          <w:t>2.0 RECENT FINANCIAL PERFORMANCE</w:t>
        </w:r>
      </w:hyperlink>
    </w:p>
    <w:p w14:paraId="3530E307" w14:textId="77777777" w:rsidR="00736B56" w:rsidRDefault="00E8749C">
      <w:pPr>
        <w:spacing w:before="119"/>
        <w:ind w:left="1040"/>
        <w:rPr>
          <w:b/>
        </w:rPr>
      </w:pPr>
      <w:hyperlink w:anchor="_bookmark2" w:history="1">
        <w:r>
          <w:rPr>
            <w:b/>
          </w:rPr>
          <w:t>3.0 OVERTIME FINANCIAL PERFORMANCE</w:t>
        </w:r>
      </w:hyperlink>
    </w:p>
    <w:p w14:paraId="2F8266AD" w14:textId="77777777" w:rsidR="00736B56" w:rsidRDefault="00E8749C">
      <w:pPr>
        <w:pStyle w:val="ListParagraph"/>
        <w:numPr>
          <w:ilvl w:val="1"/>
          <w:numId w:val="4"/>
        </w:numPr>
        <w:tabs>
          <w:tab w:val="left" w:pos="1410"/>
        </w:tabs>
        <w:spacing w:before="122"/>
        <w:jc w:val="left"/>
        <w:rPr>
          <w:b/>
        </w:rPr>
      </w:pPr>
      <w:hyperlink w:anchor="_bookmark3" w:history="1">
        <w:r>
          <w:rPr>
            <w:b/>
          </w:rPr>
          <w:t>CURRENT</w:t>
        </w:r>
        <w:r>
          <w:rPr>
            <w:b/>
            <w:spacing w:val="-5"/>
          </w:rPr>
          <w:t xml:space="preserve"> </w:t>
        </w:r>
        <w:r>
          <w:rPr>
            <w:b/>
          </w:rPr>
          <w:t>ISSUES</w:t>
        </w:r>
      </w:hyperlink>
    </w:p>
    <w:p w14:paraId="38A9BA3D" w14:textId="77777777" w:rsidR="00736B56" w:rsidRDefault="00E8749C">
      <w:pPr>
        <w:pStyle w:val="ListParagraph"/>
        <w:numPr>
          <w:ilvl w:val="1"/>
          <w:numId w:val="4"/>
        </w:numPr>
        <w:tabs>
          <w:tab w:val="left" w:pos="1631"/>
        </w:tabs>
        <w:spacing w:before="124"/>
        <w:ind w:left="1630"/>
        <w:jc w:val="left"/>
      </w:pPr>
      <w:hyperlink w:anchor="_bookmark4" w:history="1">
        <w:r>
          <w:t>Macroeconomics</w:t>
        </w:r>
        <w:r>
          <w:rPr>
            <w:spacing w:val="-2"/>
          </w:rPr>
          <w:t xml:space="preserve"> </w:t>
        </w:r>
        <w:r>
          <w:t>Factors</w:t>
        </w:r>
      </w:hyperlink>
    </w:p>
    <w:p w14:paraId="625A8342" w14:textId="77777777" w:rsidR="00736B56" w:rsidRDefault="00E8749C">
      <w:pPr>
        <w:pStyle w:val="ListParagraph"/>
        <w:numPr>
          <w:ilvl w:val="1"/>
          <w:numId w:val="4"/>
        </w:numPr>
        <w:tabs>
          <w:tab w:val="left" w:pos="1632"/>
        </w:tabs>
        <w:spacing w:before="121"/>
        <w:ind w:left="1631" w:hanging="371"/>
        <w:jc w:val="left"/>
      </w:pPr>
      <w:hyperlink w:anchor="_bookmark5" w:history="1">
        <w:r>
          <w:t>Microeconomics Factors</w:t>
        </w:r>
      </w:hyperlink>
    </w:p>
    <w:p w14:paraId="456A77A8" w14:textId="77777777" w:rsidR="00736B56" w:rsidRDefault="00E8749C">
      <w:pPr>
        <w:spacing w:before="117"/>
        <w:ind w:left="1040"/>
        <w:rPr>
          <w:b/>
        </w:rPr>
      </w:pPr>
      <w:hyperlink w:anchor="_bookmark6" w:history="1">
        <w:r>
          <w:rPr>
            <w:b/>
          </w:rPr>
          <w:t>5.0 PEER COMPARISON</w:t>
        </w:r>
      </w:hyperlink>
    </w:p>
    <w:p w14:paraId="207D4B77" w14:textId="77777777" w:rsidR="00736B56" w:rsidRDefault="00E8749C">
      <w:pPr>
        <w:spacing w:before="121"/>
        <w:ind w:left="1040"/>
        <w:rPr>
          <w:b/>
        </w:rPr>
      </w:pPr>
      <w:r>
        <w:rPr>
          <w:b/>
        </w:rPr>
        <w:t>6.0 DUPONT ANALYSIS</w:t>
      </w:r>
    </w:p>
    <w:p w14:paraId="01C4C922" w14:textId="77777777" w:rsidR="00736B56" w:rsidRDefault="00E8749C">
      <w:pPr>
        <w:pStyle w:val="ListParagraph"/>
        <w:numPr>
          <w:ilvl w:val="1"/>
          <w:numId w:val="3"/>
        </w:numPr>
        <w:tabs>
          <w:tab w:val="left" w:pos="1411"/>
        </w:tabs>
        <w:spacing w:before="122"/>
        <w:ind w:hanging="371"/>
        <w:jc w:val="left"/>
        <w:rPr>
          <w:b/>
        </w:rPr>
      </w:pPr>
      <w:hyperlink w:anchor="_bookmark7" w:history="1">
        <w:r>
          <w:rPr>
            <w:b/>
          </w:rPr>
          <w:t>ESTIMATE VALUATION</w:t>
        </w:r>
        <w:r>
          <w:rPr>
            <w:b/>
            <w:spacing w:val="-18"/>
          </w:rPr>
          <w:t xml:space="preserve"> </w:t>
        </w:r>
        <w:r>
          <w:rPr>
            <w:b/>
          </w:rPr>
          <w:t>MODELS</w:t>
        </w:r>
      </w:hyperlink>
    </w:p>
    <w:p w14:paraId="7564D9F7" w14:textId="77777777" w:rsidR="00736B56" w:rsidRDefault="00E8749C">
      <w:pPr>
        <w:pStyle w:val="ListParagraph"/>
        <w:numPr>
          <w:ilvl w:val="1"/>
          <w:numId w:val="3"/>
        </w:numPr>
        <w:tabs>
          <w:tab w:val="left" w:pos="1632"/>
        </w:tabs>
        <w:spacing w:before="121"/>
        <w:ind w:left="1631" w:hanging="371"/>
        <w:jc w:val="left"/>
      </w:pPr>
      <w:hyperlink w:anchor="_bookmark8" w:history="1">
        <w:r>
          <w:t>Capital Asset Pricing Model</w:t>
        </w:r>
        <w:r>
          <w:rPr>
            <w:spacing w:val="1"/>
          </w:rPr>
          <w:t xml:space="preserve"> </w:t>
        </w:r>
        <w:r>
          <w:t>(CAPM)</w:t>
        </w:r>
      </w:hyperlink>
    </w:p>
    <w:p w14:paraId="390AD6EA" w14:textId="77777777" w:rsidR="00736B56" w:rsidRDefault="00E8749C">
      <w:pPr>
        <w:pStyle w:val="ListParagraph"/>
        <w:numPr>
          <w:ilvl w:val="1"/>
          <w:numId w:val="3"/>
        </w:numPr>
        <w:tabs>
          <w:tab w:val="left" w:pos="1632"/>
        </w:tabs>
        <w:spacing w:before="122"/>
        <w:ind w:left="1631" w:hanging="371"/>
        <w:jc w:val="left"/>
      </w:pPr>
      <w:hyperlink w:anchor="_bookmark9" w:history="1">
        <w:r>
          <w:t>Dividend Discount Model</w:t>
        </w:r>
        <w:r>
          <w:rPr>
            <w:spacing w:val="7"/>
          </w:rPr>
          <w:t xml:space="preserve"> </w:t>
        </w:r>
        <w:r>
          <w:t>(DDM)</w:t>
        </w:r>
      </w:hyperlink>
    </w:p>
    <w:p w14:paraId="6FE39510" w14:textId="77777777" w:rsidR="00736B56" w:rsidRDefault="00E8749C">
      <w:pPr>
        <w:pStyle w:val="ListParagraph"/>
        <w:numPr>
          <w:ilvl w:val="1"/>
          <w:numId w:val="3"/>
        </w:numPr>
        <w:tabs>
          <w:tab w:val="left" w:pos="1632"/>
        </w:tabs>
        <w:spacing w:before="121"/>
        <w:ind w:left="1631" w:hanging="371"/>
        <w:jc w:val="left"/>
      </w:pPr>
      <w:r>
        <w:t>Free Cash Flow to Equity (FCFE)</w:t>
      </w:r>
      <w:r>
        <w:rPr>
          <w:spacing w:val="-13"/>
        </w:rPr>
        <w:t xml:space="preserve"> </w:t>
      </w:r>
      <w:r>
        <w:t>Model</w:t>
      </w:r>
    </w:p>
    <w:p w14:paraId="08DA80A6" w14:textId="77777777" w:rsidR="00736B56" w:rsidRDefault="00E8749C">
      <w:pPr>
        <w:pStyle w:val="ListParagraph"/>
        <w:numPr>
          <w:ilvl w:val="1"/>
          <w:numId w:val="3"/>
        </w:numPr>
        <w:tabs>
          <w:tab w:val="left" w:pos="1632"/>
        </w:tabs>
        <w:spacing w:before="124"/>
        <w:ind w:left="1631"/>
        <w:jc w:val="left"/>
      </w:pPr>
      <w:r>
        <w:t>Price Earing Ratio Model</w:t>
      </w:r>
      <w:r>
        <w:rPr>
          <w:spacing w:val="4"/>
        </w:rPr>
        <w:t xml:space="preserve"> </w:t>
      </w:r>
      <w:r>
        <w:t>(P/E)</w:t>
      </w:r>
    </w:p>
    <w:p w14:paraId="41862145" w14:textId="77777777" w:rsidR="00736B56" w:rsidRDefault="00E8749C">
      <w:pPr>
        <w:spacing w:before="119"/>
        <w:ind w:left="1041"/>
        <w:rPr>
          <w:b/>
        </w:rPr>
      </w:pPr>
      <w:hyperlink w:anchor="_bookmark10" w:history="1">
        <w:r>
          <w:rPr>
            <w:b/>
          </w:rPr>
          <w:t>8.0 COMPANY EVALUATION</w:t>
        </w:r>
      </w:hyperlink>
    </w:p>
    <w:p w14:paraId="51B71A0C" w14:textId="77777777" w:rsidR="00736B56" w:rsidRDefault="00E8749C">
      <w:pPr>
        <w:spacing w:before="122"/>
        <w:ind w:left="1041"/>
        <w:rPr>
          <w:b/>
        </w:rPr>
      </w:pPr>
      <w:hyperlink w:anchor="_bookmark11" w:history="1">
        <w:r>
          <w:rPr>
            <w:b/>
          </w:rPr>
          <w:t>9.0 APPENDICES</w:t>
        </w:r>
      </w:hyperlink>
    </w:p>
    <w:p w14:paraId="786F3139" w14:textId="77777777" w:rsidR="00736B56" w:rsidRDefault="00E8749C">
      <w:pPr>
        <w:spacing w:before="119"/>
        <w:ind w:left="1041"/>
        <w:rPr>
          <w:b/>
        </w:rPr>
      </w:pPr>
      <w:hyperlink w:anchor="_bookmark12" w:history="1">
        <w:r>
          <w:rPr>
            <w:b/>
          </w:rPr>
          <w:t>10.0 REFERENCES</w:t>
        </w:r>
      </w:hyperlink>
    </w:p>
    <w:p w14:paraId="5CC04301" w14:textId="77777777" w:rsidR="00736B56" w:rsidRDefault="00E8749C">
      <w:pPr>
        <w:spacing w:before="121"/>
        <w:ind w:left="1040"/>
        <w:rPr>
          <w:b/>
          <w:sz w:val="14"/>
        </w:rPr>
      </w:pPr>
      <w:r>
        <w:rPr>
          <w:b/>
          <w:sz w:val="14"/>
        </w:rPr>
        <w:t>*page number!</w:t>
      </w:r>
    </w:p>
    <w:p w14:paraId="56D75B66" w14:textId="77777777" w:rsidR="00736B56" w:rsidRDefault="00736B56">
      <w:pPr>
        <w:rPr>
          <w:sz w:val="14"/>
        </w:rPr>
        <w:sectPr w:rsidR="00736B56">
          <w:footerReference w:type="default" r:id="rId21"/>
          <w:pgSz w:w="12240" w:h="15840"/>
          <w:pgMar w:top="1420" w:right="0" w:bottom="1200" w:left="760" w:header="0" w:footer="1002" w:gutter="0"/>
          <w:pgNumType w:start="1"/>
          <w:cols w:space="720"/>
        </w:sectPr>
      </w:pPr>
    </w:p>
    <w:p w14:paraId="1EDA3053" w14:textId="77777777" w:rsidR="00736B56" w:rsidRDefault="00E8749C">
      <w:pPr>
        <w:spacing w:before="71"/>
        <w:ind w:left="1040"/>
        <w:rPr>
          <w:b/>
          <w:sz w:val="24"/>
        </w:rPr>
      </w:pPr>
      <w:bookmarkStart w:id="0" w:name="EXECUTIVE_SUMMARY"/>
      <w:bookmarkEnd w:id="0"/>
      <w:r>
        <w:rPr>
          <w:b/>
          <w:sz w:val="24"/>
          <w:u w:val="thick"/>
        </w:rPr>
        <w:lastRenderedPageBreak/>
        <w:t>EXECUTIVE SUMMARY</w:t>
      </w:r>
    </w:p>
    <w:p w14:paraId="337C9295" w14:textId="77777777" w:rsidR="00736B56" w:rsidRDefault="00E8749C">
      <w:pPr>
        <w:pStyle w:val="BodyText"/>
        <w:spacing w:before="187"/>
        <w:ind w:left="1040"/>
        <w:rPr>
          <w:u w:val="none"/>
        </w:rPr>
      </w:pPr>
      <w:r>
        <w:rPr>
          <w:u w:val="none"/>
        </w:rPr>
        <w:t>This report aims to present an equity valuation analysis ….</w:t>
      </w:r>
    </w:p>
    <w:p w14:paraId="4D101AF8" w14:textId="77777777" w:rsidR="00736B56" w:rsidRDefault="00736B56">
      <w:pPr>
        <w:sectPr w:rsidR="00736B56">
          <w:pgSz w:w="12240" w:h="15840"/>
          <w:pgMar w:top="1360" w:right="0" w:bottom="1200" w:left="760" w:header="0" w:footer="1002" w:gutter="0"/>
          <w:cols w:space="720"/>
        </w:sectPr>
      </w:pPr>
    </w:p>
    <w:p w14:paraId="7DE788D0" w14:textId="77777777" w:rsidR="00736B56" w:rsidRDefault="00E8749C">
      <w:pPr>
        <w:pStyle w:val="Heading1"/>
        <w:spacing w:before="75"/>
        <w:rPr>
          <w:u w:val="none"/>
        </w:rPr>
      </w:pPr>
      <w:bookmarkStart w:id="1" w:name="1.0_INTRODUCTION"/>
      <w:bookmarkStart w:id="2" w:name="_bookmark0"/>
      <w:bookmarkEnd w:id="1"/>
      <w:bookmarkEnd w:id="2"/>
      <w:r>
        <w:rPr>
          <w:color w:val="2D73B5"/>
          <w:u w:val="none"/>
        </w:rPr>
        <w:lastRenderedPageBreak/>
        <w:t xml:space="preserve">1.0 </w:t>
      </w:r>
      <w:r>
        <w:rPr>
          <w:color w:val="2D73B5"/>
          <w:u w:val="thick" w:color="2D73B5"/>
        </w:rPr>
        <w:t>INTRODUCTION</w:t>
      </w:r>
    </w:p>
    <w:p w14:paraId="367882E8" w14:textId="77777777" w:rsidR="00736B56" w:rsidRDefault="00736B56">
      <w:pPr>
        <w:pStyle w:val="BodyText"/>
        <w:rPr>
          <w:b/>
          <w:sz w:val="20"/>
          <w:u w:val="none"/>
        </w:rPr>
      </w:pPr>
    </w:p>
    <w:p w14:paraId="4842D51F" w14:textId="77777777" w:rsidR="00736B56" w:rsidRDefault="00736B56">
      <w:pPr>
        <w:pStyle w:val="BodyText"/>
        <w:rPr>
          <w:b/>
          <w:sz w:val="20"/>
          <w:u w:val="none"/>
        </w:rPr>
      </w:pPr>
    </w:p>
    <w:p w14:paraId="46F6F41B" w14:textId="77777777" w:rsidR="00736B56" w:rsidRDefault="00736B56">
      <w:pPr>
        <w:pStyle w:val="BodyText"/>
        <w:rPr>
          <w:b/>
          <w:sz w:val="20"/>
          <w:u w:val="none"/>
        </w:rPr>
      </w:pPr>
    </w:p>
    <w:p w14:paraId="0AFF9497" w14:textId="77777777" w:rsidR="00736B56" w:rsidRDefault="00736B56">
      <w:pPr>
        <w:pStyle w:val="BodyText"/>
        <w:rPr>
          <w:b/>
          <w:sz w:val="20"/>
          <w:u w:val="none"/>
        </w:rPr>
      </w:pPr>
    </w:p>
    <w:p w14:paraId="09F42419" w14:textId="77777777" w:rsidR="00736B56" w:rsidRDefault="00E8749C">
      <w:pPr>
        <w:spacing w:before="241"/>
        <w:ind w:left="1040"/>
        <w:rPr>
          <w:b/>
          <w:sz w:val="32"/>
        </w:rPr>
      </w:pPr>
      <w:bookmarkStart w:id="3" w:name="2.0_RECENT_FINANCIAL_PERFORMANCE"/>
      <w:bookmarkStart w:id="4" w:name="_bookmark1"/>
      <w:bookmarkEnd w:id="3"/>
      <w:bookmarkEnd w:id="4"/>
      <w:r>
        <w:rPr>
          <w:b/>
          <w:color w:val="2D73B5"/>
          <w:sz w:val="32"/>
        </w:rPr>
        <w:t xml:space="preserve">2.0 </w:t>
      </w:r>
      <w:r>
        <w:rPr>
          <w:b/>
          <w:color w:val="2D73B5"/>
          <w:sz w:val="32"/>
          <w:u w:val="thick" w:color="2D73B5"/>
        </w:rPr>
        <w:t>RECENT FINANCIAL PERFORMANCE</w:t>
      </w:r>
    </w:p>
    <w:p w14:paraId="7619923E" w14:textId="77777777" w:rsidR="00736B56" w:rsidRDefault="00736B56">
      <w:pPr>
        <w:pStyle w:val="BodyText"/>
        <w:spacing w:before="4"/>
        <w:rPr>
          <w:b/>
          <w:sz w:val="21"/>
          <w:u w:val="none"/>
        </w:rPr>
      </w:pPr>
    </w:p>
    <w:p w14:paraId="4E0C5972" w14:textId="77777777" w:rsidR="00736B56" w:rsidRDefault="00E8749C">
      <w:pPr>
        <w:pStyle w:val="BodyText"/>
        <w:spacing w:before="92"/>
        <w:ind w:left="1040"/>
        <w:rPr>
          <w:u w:val="none"/>
        </w:rPr>
      </w:pPr>
      <w:r>
        <w:t>Share Price Performance</w:t>
      </w:r>
    </w:p>
    <w:p w14:paraId="4AD04D3F" w14:textId="77777777" w:rsidR="00736B56" w:rsidRDefault="00E8749C">
      <w:pPr>
        <w:pStyle w:val="BodyText"/>
        <w:spacing w:before="1"/>
        <w:rPr>
          <w:sz w:val="13"/>
          <w:u w:val="none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37B41EF" wp14:editId="4A9D2319">
            <wp:simplePos x="0" y="0"/>
            <wp:positionH relativeFrom="page">
              <wp:posOffset>1143000</wp:posOffset>
            </wp:positionH>
            <wp:positionV relativeFrom="paragraph">
              <wp:posOffset>120576</wp:posOffset>
            </wp:positionV>
            <wp:extent cx="5509777" cy="2085975"/>
            <wp:effectExtent l="0" t="0" r="0" b="0"/>
            <wp:wrapTopAndBottom/>
            <wp:docPr id="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777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033C4" w14:textId="77777777" w:rsidR="00736B56" w:rsidRDefault="00E8749C">
      <w:pPr>
        <w:spacing w:before="108"/>
        <w:ind w:left="1040"/>
        <w:rPr>
          <w:rFonts w:ascii="Calibri" w:hAnsi="Calibri"/>
          <w:i/>
          <w:sz w:val="24"/>
        </w:rPr>
      </w:pPr>
      <w:r>
        <w:rPr>
          <w:i/>
          <w:color w:val="006FC0"/>
          <w:sz w:val="24"/>
        </w:rPr>
        <w:t xml:space="preserve">Figure </w:t>
      </w:r>
      <w:r>
        <w:rPr>
          <w:rFonts w:ascii="Calibri" w:hAnsi="Calibri"/>
          <w:i/>
          <w:color w:val="006FC0"/>
          <w:sz w:val="24"/>
        </w:rPr>
        <w:t>…</w:t>
      </w:r>
    </w:p>
    <w:p w14:paraId="383EC3CA" w14:textId="77777777" w:rsidR="00736B56" w:rsidRDefault="00736B56">
      <w:pPr>
        <w:pStyle w:val="BodyText"/>
        <w:rPr>
          <w:rFonts w:ascii="Calibri"/>
          <w:i/>
          <w:sz w:val="28"/>
          <w:u w:val="none"/>
        </w:rPr>
      </w:pPr>
    </w:p>
    <w:p w14:paraId="5AE9F133" w14:textId="77777777" w:rsidR="00736B56" w:rsidRDefault="00736B56">
      <w:pPr>
        <w:pStyle w:val="BodyText"/>
        <w:rPr>
          <w:rFonts w:ascii="Calibri"/>
          <w:i/>
          <w:sz w:val="27"/>
          <w:u w:val="none"/>
        </w:rPr>
      </w:pPr>
    </w:p>
    <w:p w14:paraId="5BD7230B" w14:textId="269E01E7" w:rsidR="00736B56" w:rsidRDefault="00E8749C">
      <w:pPr>
        <w:pStyle w:val="Heading1"/>
        <w:rPr>
          <w:color w:val="2D73B5"/>
          <w:u w:val="thick" w:color="2D73B5"/>
        </w:rPr>
      </w:pPr>
      <w:bookmarkStart w:id="5" w:name="3.0_OVERTIME_FINANCIAL_PERFORMANCE"/>
      <w:bookmarkStart w:id="6" w:name="_bookmark2"/>
      <w:bookmarkEnd w:id="5"/>
      <w:bookmarkEnd w:id="6"/>
      <w:r>
        <w:rPr>
          <w:color w:val="2D73B5"/>
          <w:u w:val="none"/>
        </w:rPr>
        <w:t xml:space="preserve">3.0 </w:t>
      </w:r>
      <w:r>
        <w:rPr>
          <w:color w:val="2D73B5"/>
          <w:u w:val="thick" w:color="2D73B5"/>
        </w:rPr>
        <w:t>OVERTIME FINANCIAL PERFORMANCE</w:t>
      </w:r>
    </w:p>
    <w:p w14:paraId="3AE735CD" w14:textId="77777777" w:rsidR="00276AC1" w:rsidRDefault="00276AC1" w:rsidP="00276AC1">
      <w:pPr>
        <w:ind w:left="-142" w:firstLine="1"/>
        <w:rPr>
          <w:b/>
          <w:bCs/>
          <w:sz w:val="24"/>
          <w:lang w:val="en-AU"/>
        </w:rPr>
      </w:pPr>
      <w:r w:rsidRPr="004B2ABD">
        <w:rPr>
          <w:b/>
          <w:bCs/>
          <w:sz w:val="24"/>
          <w:lang w:val="en-AU"/>
        </w:rPr>
        <w:t>Using relevant charts, evaluate the company</w:t>
      </w:r>
      <w:r>
        <w:rPr>
          <w:b/>
          <w:bCs/>
          <w:sz w:val="24"/>
          <w:lang w:val="en-AU"/>
        </w:rPr>
        <w:t>'</w:t>
      </w:r>
      <w:r w:rsidRPr="004B2ABD">
        <w:rPr>
          <w:b/>
          <w:bCs/>
          <w:sz w:val="24"/>
          <w:lang w:val="en-AU"/>
        </w:rPr>
        <w:t>s share price performance over the last</w:t>
      </w:r>
      <w:r>
        <w:rPr>
          <w:b/>
          <w:bCs/>
          <w:sz w:val="24"/>
          <w:lang w:val="en-AU"/>
        </w:rPr>
        <w:t xml:space="preserve"> </w:t>
      </w:r>
      <w:r w:rsidRPr="004B2ABD">
        <w:rPr>
          <w:b/>
          <w:bCs/>
          <w:sz w:val="24"/>
          <w:lang w:val="en-AU"/>
        </w:rPr>
        <w:t>five years</w:t>
      </w:r>
    </w:p>
    <w:p w14:paraId="5307CFCA" w14:textId="77777777" w:rsidR="00276AC1" w:rsidRDefault="00276AC1" w:rsidP="00276AC1">
      <w:pPr>
        <w:ind w:left="-142" w:firstLine="1"/>
        <w:rPr>
          <w:b/>
          <w:bCs/>
          <w:sz w:val="24"/>
          <w:lang w:val="en-AU"/>
        </w:rPr>
      </w:pPr>
    </w:p>
    <w:p w14:paraId="6DBB5BCF" w14:textId="77777777" w:rsidR="00276AC1" w:rsidRPr="004B2ABD" w:rsidRDefault="00276AC1" w:rsidP="00276AC1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927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compare the relative performance of the company to the broad market index</w:t>
      </w:r>
    </w:p>
    <w:p w14:paraId="47BE15D3" w14:textId="77777777" w:rsidR="00276AC1" w:rsidRPr="004B2ABD" w:rsidRDefault="00276AC1" w:rsidP="00276AC1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927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compare the relative performance of the company to its peer group</w:t>
      </w:r>
    </w:p>
    <w:p w14:paraId="625822C8" w14:textId="77777777" w:rsidR="00276AC1" w:rsidRPr="004B2ABD" w:rsidRDefault="00276AC1" w:rsidP="00276AC1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jc w:val="both"/>
        <w:rPr>
          <w:color w:val="4F81BD" w:themeColor="accent1"/>
          <w:sz w:val="24"/>
          <w:lang w:val="en-AU"/>
        </w:rPr>
      </w:pPr>
      <w:r w:rsidRPr="004B2ABD">
        <w:rPr>
          <w:i/>
          <w:iCs/>
          <w:color w:val="4F81BD" w:themeColor="accent1"/>
          <w:sz w:val="24"/>
          <w:lang w:val="en-AU"/>
        </w:rPr>
        <w:t>comment</w:t>
      </w:r>
      <w:r w:rsidRPr="004B2ABD">
        <w:rPr>
          <w:color w:val="4F81BD" w:themeColor="accent1"/>
          <w:sz w:val="24"/>
          <w:lang w:val="en-AU"/>
        </w:rPr>
        <w:t xml:space="preserve"> on these charts, referencing reasons for any significant changes you have identified</w:t>
      </w:r>
    </w:p>
    <w:p w14:paraId="6A3B3868" w14:textId="77777777" w:rsidR="00276AC1" w:rsidRPr="004B2ABD" w:rsidRDefault="00276AC1" w:rsidP="00276AC1">
      <w:pPr>
        <w:rPr>
          <w:b/>
          <w:bCs/>
          <w:sz w:val="24"/>
          <w:lang w:val="en-AU"/>
        </w:rPr>
      </w:pPr>
    </w:p>
    <w:p w14:paraId="7CEFE13E" w14:textId="77777777" w:rsidR="00276AC1" w:rsidRDefault="00276AC1" w:rsidP="00276AC1">
      <w:pPr>
        <w:rPr>
          <w:b/>
          <w:bCs/>
          <w:sz w:val="24"/>
          <w:lang w:val="en-AU"/>
        </w:rPr>
      </w:pPr>
      <w:r w:rsidRPr="004B2ABD">
        <w:rPr>
          <w:b/>
          <w:bCs/>
          <w:sz w:val="24"/>
          <w:lang w:val="en-AU"/>
        </w:rPr>
        <w:t xml:space="preserve">Perform </w:t>
      </w:r>
      <w:r>
        <w:rPr>
          <w:b/>
          <w:bCs/>
          <w:sz w:val="24"/>
          <w:lang w:val="en-AU"/>
        </w:rPr>
        <w:t xml:space="preserve">a </w:t>
      </w:r>
      <w:r w:rsidRPr="004B2ABD">
        <w:rPr>
          <w:b/>
          <w:bCs/>
          <w:sz w:val="24"/>
          <w:lang w:val="en-AU"/>
        </w:rPr>
        <w:t>technical analysis of share price movements over the last five years</w:t>
      </w:r>
    </w:p>
    <w:p w14:paraId="19A10435" w14:textId="77777777" w:rsidR="00276AC1" w:rsidRPr="004B2ABD" w:rsidRDefault="00276AC1" w:rsidP="00276AC1">
      <w:pPr>
        <w:rPr>
          <w:b/>
          <w:bCs/>
          <w:sz w:val="24"/>
          <w:lang w:val="en-AU"/>
        </w:rPr>
      </w:pPr>
    </w:p>
    <w:p w14:paraId="512B2252" w14:textId="77777777" w:rsidR="00276AC1" w:rsidRPr="004B2ABD" w:rsidRDefault="00276AC1" w:rsidP="00276AC1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927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use 50-day vs 200-day moving average lines and volume analysis to identify Buy/Sell/Hold signals</w:t>
      </w:r>
    </w:p>
    <w:p w14:paraId="7ED07F0C" w14:textId="77777777" w:rsidR="00276AC1" w:rsidRPr="004B2ABD" w:rsidRDefault="00276AC1" w:rsidP="00276AC1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jc w:val="both"/>
        <w:rPr>
          <w:color w:val="4F81BD" w:themeColor="accent1"/>
          <w:sz w:val="24"/>
          <w:lang w:val="en-AU"/>
        </w:rPr>
      </w:pPr>
      <w:r w:rsidRPr="004B2ABD">
        <w:rPr>
          <w:i/>
          <w:iCs/>
          <w:color w:val="4F81BD" w:themeColor="accent1"/>
          <w:sz w:val="24"/>
          <w:lang w:val="en-AU"/>
        </w:rPr>
        <w:t>show</w:t>
      </w:r>
      <w:r w:rsidRPr="004B2ABD">
        <w:rPr>
          <w:color w:val="4F81BD" w:themeColor="accent1"/>
          <w:sz w:val="24"/>
          <w:lang w:val="en-AU"/>
        </w:rPr>
        <w:t xml:space="preserve">, and </w:t>
      </w:r>
      <w:r w:rsidRPr="004B2ABD">
        <w:rPr>
          <w:i/>
          <w:iCs/>
          <w:color w:val="4F81BD" w:themeColor="accent1"/>
          <w:sz w:val="24"/>
          <w:lang w:val="en-AU"/>
        </w:rPr>
        <w:t>comment</w:t>
      </w:r>
      <w:r w:rsidRPr="004B2ABD">
        <w:rPr>
          <w:color w:val="4F81BD" w:themeColor="accent1"/>
          <w:sz w:val="24"/>
          <w:lang w:val="en-AU"/>
        </w:rPr>
        <w:t xml:space="preserve"> on, these analyses with reference to charts sourced from Eikon</w:t>
      </w:r>
    </w:p>
    <w:p w14:paraId="16BBBA4F" w14:textId="77777777" w:rsidR="00276AC1" w:rsidRDefault="00276AC1" w:rsidP="00276AC1">
      <w:pPr>
        <w:pStyle w:val="Heading1"/>
        <w:ind w:left="0"/>
        <w:rPr>
          <w:u w:val="none"/>
        </w:rPr>
      </w:pPr>
    </w:p>
    <w:p w14:paraId="67683DF4" w14:textId="77777777" w:rsidR="00736B56" w:rsidRDefault="00736B56">
      <w:pPr>
        <w:pStyle w:val="BodyText"/>
        <w:rPr>
          <w:b/>
          <w:sz w:val="16"/>
          <w:u w:val="none"/>
        </w:rPr>
      </w:pPr>
    </w:p>
    <w:p w14:paraId="251D9521" w14:textId="77777777" w:rsidR="00736B56" w:rsidRDefault="00E8749C">
      <w:pPr>
        <w:pStyle w:val="BodyText"/>
        <w:spacing w:before="92"/>
        <w:ind w:left="1040"/>
        <w:rPr>
          <w:u w:val="none"/>
        </w:rPr>
      </w:pPr>
      <w:r>
        <w:t>Share Price Performance</w:t>
      </w:r>
    </w:p>
    <w:p w14:paraId="7AEEE482" w14:textId="77777777" w:rsidR="00736B56" w:rsidRDefault="00E8749C">
      <w:pPr>
        <w:pStyle w:val="BodyText"/>
        <w:spacing w:before="3"/>
        <w:rPr>
          <w:sz w:val="13"/>
          <w:u w:val="none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0958558B" wp14:editId="1CD678B6">
            <wp:simplePos x="0" y="0"/>
            <wp:positionH relativeFrom="page">
              <wp:posOffset>1143000</wp:posOffset>
            </wp:positionH>
            <wp:positionV relativeFrom="paragraph">
              <wp:posOffset>121992</wp:posOffset>
            </wp:positionV>
            <wp:extent cx="5513805" cy="2085975"/>
            <wp:effectExtent l="0" t="0" r="0" b="0"/>
            <wp:wrapTopAndBottom/>
            <wp:docPr id="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80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1410B" w14:textId="77777777" w:rsidR="00736B56" w:rsidRDefault="00E8749C">
      <w:pPr>
        <w:spacing w:before="108"/>
        <w:ind w:left="1040"/>
        <w:rPr>
          <w:rFonts w:ascii="Calibri" w:hAnsi="Calibri"/>
          <w:i/>
          <w:sz w:val="24"/>
        </w:rPr>
      </w:pPr>
      <w:r>
        <w:rPr>
          <w:i/>
          <w:color w:val="006FC0"/>
          <w:sz w:val="24"/>
        </w:rPr>
        <w:t xml:space="preserve">Figure </w:t>
      </w:r>
      <w:r>
        <w:rPr>
          <w:rFonts w:ascii="Calibri" w:hAnsi="Calibri"/>
          <w:i/>
          <w:color w:val="006FC0"/>
          <w:sz w:val="24"/>
        </w:rPr>
        <w:t>…</w:t>
      </w:r>
    </w:p>
    <w:p w14:paraId="45E9198A" w14:textId="77777777" w:rsidR="00736B56" w:rsidRDefault="00736B56">
      <w:pPr>
        <w:rPr>
          <w:rFonts w:ascii="Calibri" w:hAnsi="Calibri"/>
          <w:sz w:val="24"/>
        </w:rPr>
        <w:sectPr w:rsidR="00736B56">
          <w:pgSz w:w="12240" w:h="15840"/>
          <w:pgMar w:top="1300" w:right="0" w:bottom="1200" w:left="760" w:header="0" w:footer="1002" w:gutter="0"/>
          <w:cols w:space="720"/>
        </w:sectPr>
      </w:pPr>
    </w:p>
    <w:p w14:paraId="1A85951B" w14:textId="72D03277" w:rsidR="00736B56" w:rsidRPr="00576232" w:rsidRDefault="00E8749C">
      <w:pPr>
        <w:pStyle w:val="Heading1"/>
        <w:numPr>
          <w:ilvl w:val="1"/>
          <w:numId w:val="2"/>
        </w:numPr>
        <w:tabs>
          <w:tab w:val="left" w:pos="1573"/>
        </w:tabs>
        <w:spacing w:before="75"/>
        <w:rPr>
          <w:color w:val="2D73B5"/>
          <w:u w:val="none"/>
        </w:rPr>
      </w:pPr>
      <w:bookmarkStart w:id="7" w:name="4.0_CURRENT_ISSUES"/>
      <w:bookmarkStart w:id="8" w:name="_bookmark3"/>
      <w:bookmarkEnd w:id="7"/>
      <w:bookmarkEnd w:id="8"/>
      <w:r>
        <w:rPr>
          <w:color w:val="2D73B5"/>
          <w:u w:val="thick" w:color="2D73B5"/>
        </w:rPr>
        <w:lastRenderedPageBreak/>
        <w:t>CU</w:t>
      </w:r>
      <w:r>
        <w:rPr>
          <w:color w:val="2D73B5"/>
          <w:u w:val="thick" w:color="2D73B5"/>
        </w:rPr>
        <w:t>RRENT</w:t>
      </w:r>
      <w:r>
        <w:rPr>
          <w:color w:val="2D73B5"/>
          <w:spacing w:val="-9"/>
          <w:u w:val="thick" w:color="2D73B5"/>
        </w:rPr>
        <w:t xml:space="preserve"> </w:t>
      </w:r>
      <w:r>
        <w:rPr>
          <w:color w:val="2D73B5"/>
          <w:u w:val="thick" w:color="2D73B5"/>
        </w:rPr>
        <w:t>ISSUES</w:t>
      </w:r>
    </w:p>
    <w:p w14:paraId="3086E020" w14:textId="77777777" w:rsidR="00576232" w:rsidRPr="004B2ABD" w:rsidRDefault="00576232" w:rsidP="00576232">
      <w:pPr>
        <w:rPr>
          <w:b/>
          <w:bCs/>
          <w:sz w:val="24"/>
          <w:lang w:val="en-AU"/>
        </w:rPr>
      </w:pPr>
      <w:r w:rsidRPr="004B2ABD">
        <w:rPr>
          <w:b/>
          <w:bCs/>
          <w:sz w:val="24"/>
          <w:lang w:val="en-AU"/>
        </w:rPr>
        <w:t>Analyse the company</w:t>
      </w:r>
      <w:r>
        <w:rPr>
          <w:b/>
          <w:bCs/>
          <w:sz w:val="24"/>
          <w:lang w:val="en-AU"/>
        </w:rPr>
        <w:t xml:space="preserve">' </w:t>
      </w:r>
      <w:r w:rsidRPr="004B2ABD">
        <w:rPr>
          <w:b/>
          <w:bCs/>
          <w:sz w:val="24"/>
          <w:lang w:val="en-AU"/>
        </w:rPr>
        <w:t>s/industry</w:t>
      </w:r>
      <w:r>
        <w:rPr>
          <w:b/>
          <w:bCs/>
          <w:sz w:val="24"/>
          <w:lang w:val="en-AU"/>
        </w:rPr>
        <w:t>'</w:t>
      </w:r>
      <w:r w:rsidRPr="004B2ABD">
        <w:rPr>
          <w:b/>
          <w:bCs/>
          <w:sz w:val="24"/>
          <w:lang w:val="en-AU"/>
        </w:rPr>
        <w:t>s current issues and explain the effect of these issues on the company</w:t>
      </w:r>
      <w:r>
        <w:rPr>
          <w:b/>
          <w:bCs/>
          <w:sz w:val="24"/>
          <w:lang w:val="en-AU"/>
        </w:rPr>
        <w:t>'</w:t>
      </w:r>
      <w:r w:rsidRPr="004B2ABD">
        <w:rPr>
          <w:b/>
          <w:bCs/>
          <w:sz w:val="24"/>
          <w:lang w:val="en-AU"/>
        </w:rPr>
        <w:t xml:space="preserve">s future earnings </w:t>
      </w:r>
    </w:p>
    <w:p w14:paraId="4150F98D" w14:textId="77777777" w:rsidR="00576232" w:rsidRPr="004B2ABD" w:rsidRDefault="00576232" w:rsidP="00576232">
      <w:pPr>
        <w:rPr>
          <w:sz w:val="24"/>
          <w:lang w:val="en-AU"/>
        </w:rPr>
      </w:pPr>
    </w:p>
    <w:p w14:paraId="5A826C77" w14:textId="77777777" w:rsidR="00576232" w:rsidRPr="004B2ABD" w:rsidRDefault="00576232" w:rsidP="00576232">
      <w:pPr>
        <w:pStyle w:val="ListParagraph"/>
        <w:widowControl/>
        <w:numPr>
          <w:ilvl w:val="0"/>
          <w:numId w:val="8"/>
        </w:numPr>
        <w:autoSpaceDE/>
        <w:autoSpaceDN/>
        <w:spacing w:before="0" w:line="276" w:lineRule="auto"/>
        <w:ind w:left="1080" w:hanging="567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At the Macroeconomic Level</w:t>
      </w:r>
    </w:p>
    <w:p w14:paraId="5887EDB1" w14:textId="77777777" w:rsidR="00576232" w:rsidRPr="004B2ABD" w:rsidRDefault="00576232" w:rsidP="00576232">
      <w:pPr>
        <w:pStyle w:val="ListParagraph"/>
        <w:widowControl/>
        <w:numPr>
          <w:ilvl w:val="0"/>
          <w:numId w:val="5"/>
        </w:numPr>
        <w:autoSpaceDE/>
        <w:autoSpaceDN/>
        <w:spacing w:before="0" w:line="276" w:lineRule="auto"/>
        <w:ind w:left="1386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general factors that apply for the industry (GDP, employment, growth of the industry, regulation, global factors, supply, demand, world commodity prices, etc.)</w:t>
      </w:r>
    </w:p>
    <w:p w14:paraId="71B67EAF" w14:textId="77777777" w:rsidR="00576232" w:rsidRPr="004B2ABD" w:rsidRDefault="00576232" w:rsidP="00576232">
      <w:pPr>
        <w:pStyle w:val="ListParagraph"/>
        <w:widowControl/>
        <w:numPr>
          <w:ilvl w:val="0"/>
          <w:numId w:val="8"/>
        </w:numPr>
        <w:autoSpaceDE/>
        <w:autoSpaceDN/>
        <w:spacing w:before="0" w:line="276" w:lineRule="auto"/>
        <w:ind w:left="1080" w:hanging="567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At the Microeconomic Level</w:t>
      </w:r>
    </w:p>
    <w:p w14:paraId="0126E22F" w14:textId="77777777" w:rsidR="00576232" w:rsidRPr="004B2ABD" w:rsidRDefault="00576232" w:rsidP="00576232">
      <w:pPr>
        <w:pStyle w:val="ListParagraph"/>
        <w:widowControl/>
        <w:numPr>
          <w:ilvl w:val="0"/>
          <w:numId w:val="5"/>
        </w:numPr>
        <w:autoSpaceDE/>
        <w:autoSpaceDN/>
        <w:spacing w:before="0" w:line="276" w:lineRule="auto"/>
        <w:ind w:left="1386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the company- and industry-specific factors (operation, financials, objectives, competition, etc.)</w:t>
      </w:r>
    </w:p>
    <w:p w14:paraId="4BBFDA0C" w14:textId="77777777" w:rsidR="00576232" w:rsidRPr="004B2ABD" w:rsidRDefault="00576232" w:rsidP="00576232">
      <w:pPr>
        <w:pStyle w:val="ListParagraph"/>
        <w:widowControl/>
        <w:numPr>
          <w:ilvl w:val="0"/>
          <w:numId w:val="8"/>
        </w:numPr>
        <w:autoSpaceDE/>
        <w:autoSpaceDN/>
        <w:spacing w:before="0" w:line="276" w:lineRule="auto"/>
        <w:ind w:left="1080" w:hanging="567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As a SWOT analysis</w:t>
      </w:r>
    </w:p>
    <w:p w14:paraId="1A1CE850" w14:textId="77777777" w:rsidR="00576232" w:rsidRPr="004B2ABD" w:rsidRDefault="00576232" w:rsidP="00576232">
      <w:pPr>
        <w:pStyle w:val="ListParagraph"/>
        <w:widowControl/>
        <w:numPr>
          <w:ilvl w:val="0"/>
          <w:numId w:val="5"/>
        </w:numPr>
        <w:autoSpaceDE/>
        <w:autoSpaceDN/>
        <w:spacing w:before="0" w:line="276" w:lineRule="auto"/>
        <w:ind w:left="1386"/>
        <w:contextualSpacing/>
        <w:jc w:val="both"/>
        <w:rPr>
          <w:sz w:val="24"/>
          <w:lang w:val="en-AU"/>
        </w:rPr>
      </w:pPr>
      <w:r w:rsidRPr="004B2ABD">
        <w:rPr>
          <w:i/>
          <w:iCs/>
          <w:sz w:val="24"/>
          <w:lang w:val="en-AU"/>
        </w:rPr>
        <w:t>detail</w:t>
      </w:r>
      <w:r w:rsidRPr="004B2ABD">
        <w:rPr>
          <w:sz w:val="24"/>
          <w:lang w:val="en-AU"/>
        </w:rPr>
        <w:t xml:space="preserve"> the Strengths, Weaknesses, Opportunities and Threats to the company</w:t>
      </w:r>
    </w:p>
    <w:p w14:paraId="6208FDDB" w14:textId="77777777" w:rsidR="00576232" w:rsidRPr="004B2ABD" w:rsidRDefault="00576232" w:rsidP="00576232">
      <w:pPr>
        <w:pStyle w:val="ListParagraph"/>
        <w:widowControl/>
        <w:numPr>
          <w:ilvl w:val="0"/>
          <w:numId w:val="8"/>
        </w:numPr>
        <w:autoSpaceDE/>
        <w:autoSpaceDN/>
        <w:spacing w:before="0" w:line="276" w:lineRule="auto"/>
        <w:ind w:left="1080" w:hanging="567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 xml:space="preserve">As </w:t>
      </w:r>
      <w:r w:rsidRPr="004B2ABD">
        <w:rPr>
          <w:i/>
          <w:iCs/>
          <w:sz w:val="24"/>
          <w:lang w:val="en-AU"/>
        </w:rPr>
        <w:t xml:space="preserve">either </w:t>
      </w:r>
      <w:r w:rsidRPr="004B2ABD">
        <w:rPr>
          <w:sz w:val="24"/>
          <w:lang w:val="en-AU"/>
        </w:rPr>
        <w:t xml:space="preserve">a PESTEL </w:t>
      </w:r>
      <w:r w:rsidRPr="004B2ABD">
        <w:rPr>
          <w:i/>
          <w:iCs/>
          <w:sz w:val="24"/>
          <w:lang w:val="en-AU"/>
        </w:rPr>
        <w:t>or</w:t>
      </w:r>
      <w:r w:rsidRPr="004B2ABD">
        <w:rPr>
          <w:sz w:val="24"/>
          <w:lang w:val="en-AU"/>
        </w:rPr>
        <w:t xml:space="preserve"> a Porter analysis</w:t>
      </w:r>
    </w:p>
    <w:p w14:paraId="0DFFAEA0" w14:textId="77777777" w:rsidR="00576232" w:rsidRPr="004B2ABD" w:rsidRDefault="00576232" w:rsidP="00576232">
      <w:pPr>
        <w:pStyle w:val="ListParagraph"/>
        <w:widowControl/>
        <w:numPr>
          <w:ilvl w:val="0"/>
          <w:numId w:val="5"/>
        </w:numPr>
        <w:autoSpaceDE/>
        <w:autoSpaceDN/>
        <w:spacing w:before="0" w:line="276" w:lineRule="auto"/>
        <w:ind w:left="1386"/>
        <w:contextualSpacing/>
        <w:jc w:val="both"/>
        <w:rPr>
          <w:sz w:val="24"/>
          <w:lang w:val="en-AU"/>
        </w:rPr>
      </w:pPr>
      <w:r w:rsidRPr="004B2ABD">
        <w:rPr>
          <w:i/>
          <w:iCs/>
          <w:sz w:val="24"/>
          <w:lang w:val="en-AU"/>
        </w:rPr>
        <w:t>analyse</w:t>
      </w:r>
      <w:r w:rsidRPr="004B2ABD">
        <w:rPr>
          <w:sz w:val="24"/>
          <w:lang w:val="en-AU"/>
        </w:rPr>
        <w:t xml:space="preserve"> the company</w:t>
      </w:r>
      <w:r>
        <w:rPr>
          <w:sz w:val="24"/>
          <w:lang w:val="en-AU"/>
        </w:rPr>
        <w:t>'</w:t>
      </w:r>
      <w:r w:rsidRPr="004B2ABD">
        <w:rPr>
          <w:sz w:val="24"/>
          <w:lang w:val="en-AU"/>
        </w:rPr>
        <w:t xml:space="preserve">s position in its industry using </w:t>
      </w:r>
      <w:r w:rsidRPr="004B2ABD">
        <w:rPr>
          <w:i/>
          <w:iCs/>
          <w:sz w:val="24"/>
          <w:lang w:val="en-AU"/>
        </w:rPr>
        <w:t>one</w:t>
      </w:r>
      <w:r w:rsidRPr="004B2ABD">
        <w:rPr>
          <w:sz w:val="24"/>
          <w:lang w:val="en-AU"/>
        </w:rPr>
        <w:t xml:space="preserve"> of the above techniques</w:t>
      </w:r>
    </w:p>
    <w:p w14:paraId="382CFA30" w14:textId="77777777" w:rsidR="00576232" w:rsidRDefault="00576232" w:rsidP="00576232">
      <w:pPr>
        <w:pStyle w:val="Heading1"/>
        <w:tabs>
          <w:tab w:val="left" w:pos="1573"/>
        </w:tabs>
        <w:spacing w:before="75"/>
        <w:ind w:left="0"/>
        <w:rPr>
          <w:color w:val="2D73B5"/>
          <w:u w:val="none"/>
        </w:rPr>
      </w:pPr>
    </w:p>
    <w:p w14:paraId="11B5FBB6" w14:textId="77777777" w:rsidR="00736B56" w:rsidRDefault="00736B56">
      <w:pPr>
        <w:pStyle w:val="BodyText"/>
        <w:spacing w:before="7"/>
        <w:rPr>
          <w:b/>
          <w:sz w:val="29"/>
          <w:u w:val="none"/>
        </w:rPr>
      </w:pPr>
    </w:p>
    <w:p w14:paraId="0D8632DD" w14:textId="77777777" w:rsidR="00736B56" w:rsidRDefault="00E8749C">
      <w:pPr>
        <w:pStyle w:val="Heading2"/>
        <w:numPr>
          <w:ilvl w:val="1"/>
          <w:numId w:val="2"/>
        </w:numPr>
        <w:tabs>
          <w:tab w:val="left" w:pos="1511"/>
        </w:tabs>
        <w:ind w:left="1510" w:hanging="471"/>
        <w:rPr>
          <w:color w:val="2D73B5"/>
        </w:rPr>
      </w:pPr>
      <w:bookmarkStart w:id="9" w:name="4.1_Macroeconomics_Factors"/>
      <w:bookmarkStart w:id="10" w:name="_bookmark4"/>
      <w:bookmarkEnd w:id="9"/>
      <w:bookmarkEnd w:id="10"/>
      <w:r>
        <w:rPr>
          <w:color w:val="2D73B5"/>
        </w:rPr>
        <w:t>Macroeconomics</w:t>
      </w:r>
      <w:r>
        <w:rPr>
          <w:color w:val="2D73B5"/>
          <w:spacing w:val="-11"/>
        </w:rPr>
        <w:t xml:space="preserve"> </w:t>
      </w:r>
      <w:r>
        <w:rPr>
          <w:color w:val="2D73B5"/>
        </w:rPr>
        <w:t>Factors</w:t>
      </w:r>
    </w:p>
    <w:p w14:paraId="7059EF2C" w14:textId="77777777" w:rsidR="00736B56" w:rsidRDefault="00736B56">
      <w:pPr>
        <w:pStyle w:val="BodyText"/>
        <w:spacing w:before="11"/>
        <w:rPr>
          <w:sz w:val="37"/>
          <w:u w:val="none"/>
        </w:rPr>
      </w:pPr>
    </w:p>
    <w:p w14:paraId="45394F3D" w14:textId="77777777" w:rsidR="00736B56" w:rsidRDefault="00E8749C">
      <w:pPr>
        <w:pStyle w:val="ListParagraph"/>
        <w:numPr>
          <w:ilvl w:val="1"/>
          <w:numId w:val="2"/>
        </w:numPr>
        <w:tabs>
          <w:tab w:val="left" w:pos="1511"/>
        </w:tabs>
        <w:spacing w:before="0"/>
        <w:ind w:left="1510" w:hanging="471"/>
        <w:rPr>
          <w:color w:val="2D73B5"/>
          <w:sz w:val="28"/>
        </w:rPr>
      </w:pPr>
      <w:bookmarkStart w:id="11" w:name="4.2_Microeconomics_Factors"/>
      <w:bookmarkStart w:id="12" w:name="_bookmark5"/>
      <w:bookmarkEnd w:id="11"/>
      <w:bookmarkEnd w:id="12"/>
      <w:r>
        <w:rPr>
          <w:color w:val="2D73B5"/>
          <w:sz w:val="28"/>
        </w:rPr>
        <w:t>Microeconomics</w:t>
      </w:r>
      <w:r>
        <w:rPr>
          <w:color w:val="2D73B5"/>
          <w:spacing w:val="-9"/>
          <w:sz w:val="28"/>
        </w:rPr>
        <w:t xml:space="preserve"> </w:t>
      </w:r>
      <w:r>
        <w:rPr>
          <w:color w:val="2D73B5"/>
          <w:sz w:val="28"/>
        </w:rPr>
        <w:t>Factors</w:t>
      </w:r>
    </w:p>
    <w:p w14:paraId="42A1B27F" w14:textId="77777777" w:rsidR="00736B56" w:rsidRDefault="00736B56">
      <w:pPr>
        <w:pStyle w:val="BodyText"/>
        <w:rPr>
          <w:sz w:val="30"/>
          <w:u w:val="none"/>
        </w:rPr>
      </w:pPr>
    </w:p>
    <w:p w14:paraId="50499C16" w14:textId="77777777" w:rsidR="00736B56" w:rsidRDefault="00736B56">
      <w:pPr>
        <w:pStyle w:val="BodyText"/>
        <w:spacing w:before="4"/>
        <w:rPr>
          <w:sz w:val="44"/>
          <w:u w:val="none"/>
        </w:rPr>
      </w:pPr>
    </w:p>
    <w:p w14:paraId="32F5CBB0" w14:textId="6BD0101E" w:rsidR="00736B56" w:rsidRDefault="00E8749C">
      <w:pPr>
        <w:ind w:left="1040"/>
        <w:rPr>
          <w:b/>
          <w:color w:val="2D73B5"/>
          <w:sz w:val="32"/>
          <w:u w:val="thick" w:color="2D73B5"/>
        </w:rPr>
      </w:pPr>
      <w:bookmarkStart w:id="13" w:name="5.0_PEER_COMPARISON"/>
      <w:bookmarkStart w:id="14" w:name="_bookmark6"/>
      <w:bookmarkEnd w:id="13"/>
      <w:bookmarkEnd w:id="14"/>
      <w:r>
        <w:rPr>
          <w:b/>
          <w:color w:val="2D73B5"/>
          <w:sz w:val="32"/>
        </w:rPr>
        <w:t xml:space="preserve">5.0 </w:t>
      </w:r>
      <w:r>
        <w:rPr>
          <w:b/>
          <w:color w:val="2D73B5"/>
          <w:sz w:val="32"/>
          <w:u w:val="thick" w:color="2D73B5"/>
        </w:rPr>
        <w:t>PEER COMPARISON</w:t>
      </w:r>
    </w:p>
    <w:p w14:paraId="58C8AEB3" w14:textId="77777777" w:rsidR="00B752C1" w:rsidRPr="004B2ABD" w:rsidRDefault="00B752C1" w:rsidP="00B752C1">
      <w:pPr>
        <w:ind w:left="567" w:hanging="567"/>
        <w:rPr>
          <w:b/>
          <w:bCs/>
          <w:sz w:val="24"/>
          <w:lang w:val="en-AU"/>
        </w:rPr>
      </w:pPr>
      <w:r w:rsidRPr="004B2ABD">
        <w:rPr>
          <w:b/>
          <w:bCs/>
          <w:sz w:val="24"/>
          <w:lang w:val="en-AU"/>
        </w:rPr>
        <w:t>Evaluate the relative historical financial performance of the company among its peers</w:t>
      </w:r>
    </w:p>
    <w:p w14:paraId="25E2ECC2" w14:textId="77777777" w:rsidR="00B752C1" w:rsidRPr="004B2ABD" w:rsidRDefault="00B752C1" w:rsidP="00B752C1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927"/>
        <w:contextualSpacing/>
        <w:jc w:val="both"/>
        <w:rPr>
          <w:sz w:val="24"/>
          <w:lang w:val="en-AU"/>
        </w:rPr>
      </w:pPr>
      <w:r w:rsidRPr="004B2ABD">
        <w:rPr>
          <w:i/>
          <w:iCs/>
          <w:sz w:val="24"/>
          <w:lang w:val="en-AU"/>
        </w:rPr>
        <w:t>identify</w:t>
      </w:r>
      <w:r w:rsidRPr="004B2ABD">
        <w:rPr>
          <w:sz w:val="24"/>
          <w:lang w:val="en-AU"/>
        </w:rPr>
        <w:t xml:space="preserve"> the firm</w:t>
      </w:r>
      <w:r>
        <w:rPr>
          <w:sz w:val="24"/>
          <w:lang w:val="en-AU"/>
        </w:rPr>
        <w:t>'</w:t>
      </w:r>
      <w:r w:rsidRPr="004B2ABD">
        <w:rPr>
          <w:sz w:val="24"/>
          <w:lang w:val="en-AU"/>
        </w:rPr>
        <w:t xml:space="preserve">s competitors and </w:t>
      </w:r>
      <w:r w:rsidRPr="004B2ABD">
        <w:rPr>
          <w:i/>
          <w:iCs/>
          <w:sz w:val="24"/>
          <w:lang w:val="en-AU"/>
        </w:rPr>
        <w:t>discuss</w:t>
      </w:r>
      <w:r w:rsidRPr="004B2ABD">
        <w:rPr>
          <w:sz w:val="24"/>
          <w:lang w:val="en-AU"/>
        </w:rPr>
        <w:t xml:space="preserve"> why they have been selected</w:t>
      </w:r>
    </w:p>
    <w:p w14:paraId="0DA19F41" w14:textId="77777777" w:rsidR="00B752C1" w:rsidRPr="004B2ABD" w:rsidRDefault="00B752C1" w:rsidP="00B752C1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927"/>
        <w:contextualSpacing/>
        <w:jc w:val="both"/>
        <w:rPr>
          <w:sz w:val="24"/>
          <w:lang w:val="en-AU"/>
        </w:rPr>
      </w:pPr>
      <w:r w:rsidRPr="004B2ABD">
        <w:rPr>
          <w:i/>
          <w:iCs/>
          <w:sz w:val="24"/>
          <w:lang w:val="en-AU"/>
        </w:rPr>
        <w:t>identify</w:t>
      </w:r>
      <w:r w:rsidRPr="004B2ABD">
        <w:rPr>
          <w:sz w:val="24"/>
          <w:lang w:val="en-AU"/>
        </w:rPr>
        <w:t xml:space="preserve">, and </w:t>
      </w:r>
      <w:r w:rsidRPr="004B2ABD">
        <w:rPr>
          <w:i/>
          <w:iCs/>
          <w:sz w:val="24"/>
          <w:lang w:val="en-AU"/>
        </w:rPr>
        <w:t>explain</w:t>
      </w:r>
      <w:r w:rsidRPr="004B2ABD">
        <w:rPr>
          <w:sz w:val="24"/>
          <w:lang w:val="en-AU"/>
        </w:rPr>
        <w:t xml:space="preserve"> the relevance of, five financial ratios of your choice (not to include ROE, Net Profit Margin, Total Asset Turnover or Financial Leverage) for the company and its peers</w:t>
      </w:r>
    </w:p>
    <w:p w14:paraId="0C672CC0" w14:textId="77777777" w:rsidR="00B752C1" w:rsidRPr="004B2ABD" w:rsidRDefault="00B752C1" w:rsidP="00B752C1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927"/>
        <w:contextualSpacing/>
        <w:jc w:val="both"/>
        <w:rPr>
          <w:sz w:val="24"/>
          <w:lang w:val="en-AU"/>
        </w:rPr>
      </w:pPr>
      <w:r w:rsidRPr="004B2ABD">
        <w:rPr>
          <w:i/>
          <w:iCs/>
          <w:sz w:val="24"/>
          <w:lang w:val="en-AU"/>
        </w:rPr>
        <w:t>explain</w:t>
      </w:r>
      <w:r w:rsidRPr="004B2ABD">
        <w:rPr>
          <w:sz w:val="24"/>
          <w:lang w:val="en-AU"/>
        </w:rPr>
        <w:t xml:space="preserve"> the performance of the company compared to its peers using this analysis</w:t>
      </w:r>
    </w:p>
    <w:p w14:paraId="6D2C74B3" w14:textId="77777777" w:rsidR="00B752C1" w:rsidRPr="004B2ABD" w:rsidRDefault="00B752C1" w:rsidP="00B752C1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jc w:val="both"/>
        <w:rPr>
          <w:color w:val="4F81BD" w:themeColor="accent1"/>
          <w:sz w:val="24"/>
          <w:lang w:val="en-AU"/>
        </w:rPr>
      </w:pPr>
      <w:r w:rsidRPr="004B2ABD">
        <w:rPr>
          <w:i/>
          <w:iCs/>
          <w:color w:val="4F81BD" w:themeColor="accent1"/>
          <w:sz w:val="24"/>
          <w:lang w:val="en-AU"/>
        </w:rPr>
        <w:t>analyse</w:t>
      </w:r>
      <w:r w:rsidRPr="004B2ABD">
        <w:rPr>
          <w:color w:val="4F81BD" w:themeColor="accent1"/>
          <w:sz w:val="24"/>
          <w:lang w:val="en-AU"/>
        </w:rPr>
        <w:t xml:space="preserve"> and </w:t>
      </w:r>
      <w:r w:rsidRPr="004B2ABD">
        <w:rPr>
          <w:i/>
          <w:iCs/>
          <w:color w:val="4F81BD" w:themeColor="accent1"/>
          <w:sz w:val="24"/>
          <w:lang w:val="en-AU"/>
        </w:rPr>
        <w:t>explain</w:t>
      </w:r>
      <w:r w:rsidRPr="004B2ABD">
        <w:rPr>
          <w:color w:val="4F81BD" w:themeColor="accent1"/>
          <w:sz w:val="24"/>
          <w:lang w:val="en-AU"/>
        </w:rPr>
        <w:t xml:space="preserve"> the reasons for changes in these ratios over the past five years</w:t>
      </w:r>
      <w:r>
        <w:rPr>
          <w:color w:val="4F81BD" w:themeColor="accent1"/>
          <w:sz w:val="24"/>
          <w:lang w:val="en-AU"/>
        </w:rPr>
        <w:t xml:space="preserve"> and compared </w:t>
      </w:r>
      <w:r w:rsidRPr="0032473B">
        <w:rPr>
          <w:color w:val="4F81BD" w:themeColor="accent1"/>
          <w:sz w:val="24"/>
          <w:lang w:val="en-AU"/>
        </w:rPr>
        <w:t xml:space="preserve">to the average of the past </w:t>
      </w:r>
      <w:r>
        <w:rPr>
          <w:color w:val="4F81BD" w:themeColor="accent1"/>
          <w:sz w:val="24"/>
          <w:lang w:val="en-AU"/>
        </w:rPr>
        <w:t>five</w:t>
      </w:r>
      <w:r w:rsidRPr="0032473B">
        <w:rPr>
          <w:color w:val="4F81BD" w:themeColor="accent1"/>
          <w:sz w:val="24"/>
          <w:lang w:val="en-AU"/>
        </w:rPr>
        <w:t xml:space="preserve"> years</w:t>
      </w:r>
    </w:p>
    <w:p w14:paraId="5D85E4A5" w14:textId="77777777" w:rsidR="00B752C1" w:rsidRPr="004B2ABD" w:rsidRDefault="00B752C1" w:rsidP="00B752C1">
      <w:pPr>
        <w:pStyle w:val="ListParagraph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jc w:val="both"/>
        <w:rPr>
          <w:color w:val="4F81BD" w:themeColor="accent1"/>
          <w:sz w:val="24"/>
          <w:lang w:val="en-AU"/>
        </w:rPr>
      </w:pPr>
      <w:r w:rsidRPr="004B2ABD">
        <w:rPr>
          <w:i/>
          <w:iCs/>
          <w:color w:val="4F81BD" w:themeColor="accent1"/>
          <w:sz w:val="24"/>
          <w:lang w:val="en-AU"/>
        </w:rPr>
        <w:t>do not</w:t>
      </w:r>
      <w:r w:rsidRPr="004B2ABD">
        <w:rPr>
          <w:color w:val="4F81BD" w:themeColor="accent1"/>
          <w:sz w:val="24"/>
          <w:lang w:val="en-AU"/>
        </w:rPr>
        <w:t xml:space="preserve"> simply describe the changes in the ratios</w:t>
      </w:r>
    </w:p>
    <w:p w14:paraId="391DA314" w14:textId="3F5C7386" w:rsidR="00736B56" w:rsidRDefault="00736B56">
      <w:pPr>
        <w:pStyle w:val="BodyText"/>
        <w:rPr>
          <w:b/>
          <w:sz w:val="20"/>
          <w:u w:val="none"/>
        </w:rPr>
      </w:pPr>
    </w:p>
    <w:p w14:paraId="41060C22" w14:textId="58141CA6" w:rsidR="00736B56" w:rsidRDefault="00411A25" w:rsidP="00411A25">
      <w:pPr>
        <w:pStyle w:val="BodyText"/>
        <w:rPr>
          <w:b/>
          <w:sz w:val="20"/>
          <w:u w:val="none"/>
        </w:rPr>
      </w:pPr>
      <w:r>
        <w:rPr>
          <w:b/>
          <w:sz w:val="20"/>
          <w:u w:val="none"/>
        </w:rPr>
        <w:t>Rio Tinto Plc</w:t>
      </w:r>
    </w:p>
    <w:p w14:paraId="134C06AE" w14:textId="27E30F52" w:rsidR="00411A25" w:rsidRDefault="00411A25" w:rsidP="00411A25">
      <w:pPr>
        <w:pStyle w:val="BodyText"/>
        <w:rPr>
          <w:b/>
          <w:sz w:val="20"/>
          <w:u w:val="none"/>
        </w:rPr>
      </w:pPr>
      <w:r>
        <w:rPr>
          <w:b/>
          <w:sz w:val="20"/>
          <w:u w:val="none"/>
        </w:rPr>
        <w:lastRenderedPageBreak/>
        <w:t>BHP Group</w:t>
      </w:r>
    </w:p>
    <w:p w14:paraId="4CCF834C" w14:textId="006356C9" w:rsidR="00411A25" w:rsidRDefault="00411A25" w:rsidP="00411A25">
      <w:pPr>
        <w:pStyle w:val="BodyText"/>
        <w:rPr>
          <w:b/>
          <w:sz w:val="20"/>
          <w:u w:val="none"/>
        </w:rPr>
      </w:pPr>
      <w:r>
        <w:rPr>
          <w:b/>
          <w:sz w:val="20"/>
          <w:u w:val="none"/>
        </w:rPr>
        <w:t>Atlas Iron</w:t>
      </w:r>
    </w:p>
    <w:p w14:paraId="7E051DAE" w14:textId="71DFD675" w:rsidR="00411A25" w:rsidRDefault="00411A25" w:rsidP="00411A25">
      <w:pPr>
        <w:pStyle w:val="BodyText"/>
        <w:rPr>
          <w:b/>
          <w:sz w:val="20"/>
          <w:u w:val="none"/>
        </w:rPr>
      </w:pPr>
      <w:r>
        <w:rPr>
          <w:b/>
          <w:sz w:val="20"/>
          <w:u w:val="none"/>
        </w:rPr>
        <w:t>Hancock Prospecting</w:t>
      </w:r>
    </w:p>
    <w:p w14:paraId="333335A0" w14:textId="4E9CFCFD" w:rsidR="00B752C1" w:rsidRDefault="00B752C1" w:rsidP="00411A25">
      <w:pPr>
        <w:pStyle w:val="BodyText"/>
        <w:rPr>
          <w:b/>
          <w:sz w:val="20"/>
          <w:u w:val="none"/>
        </w:rPr>
      </w:pPr>
    </w:p>
    <w:p w14:paraId="77A242C9" w14:textId="5DF1C941" w:rsidR="00B752C1" w:rsidRDefault="00B752C1" w:rsidP="00411A25">
      <w:pPr>
        <w:pStyle w:val="BodyText"/>
        <w:rPr>
          <w:b/>
          <w:sz w:val="20"/>
          <w:u w:val="none"/>
        </w:rPr>
      </w:pPr>
      <w:r>
        <w:rPr>
          <w:b/>
          <w:sz w:val="20"/>
          <w:u w:val="none"/>
        </w:rPr>
        <w:t>Ratios</w:t>
      </w:r>
    </w:p>
    <w:p w14:paraId="1FC2B182" w14:textId="77777777" w:rsidR="00B752C1" w:rsidRDefault="00B752C1" w:rsidP="00411A25">
      <w:pPr>
        <w:pStyle w:val="BodyText"/>
        <w:rPr>
          <w:b/>
          <w:sz w:val="20"/>
          <w:u w:val="none"/>
        </w:rPr>
      </w:pPr>
    </w:p>
    <w:p w14:paraId="3E23D9B2" w14:textId="1883D4AF" w:rsidR="00411A25" w:rsidRDefault="00B752C1" w:rsidP="00411A25">
      <w:pPr>
        <w:pStyle w:val="BodyText"/>
        <w:rPr>
          <w:b/>
          <w:sz w:val="20"/>
          <w:u w:val="none"/>
        </w:rPr>
      </w:pPr>
      <w:r>
        <w:rPr>
          <w:b/>
          <w:sz w:val="20"/>
          <w:u w:val="none"/>
        </w:rPr>
        <w:t>Current Ratio</w:t>
      </w:r>
    </w:p>
    <w:p w14:paraId="1482ED62" w14:textId="5B5DBEAB" w:rsidR="00B752C1" w:rsidRDefault="00B752C1" w:rsidP="00411A25">
      <w:pPr>
        <w:pStyle w:val="BodyText"/>
        <w:rPr>
          <w:b/>
          <w:sz w:val="20"/>
          <w:u w:val="none"/>
        </w:rPr>
      </w:pPr>
      <w:r>
        <w:rPr>
          <w:b/>
          <w:sz w:val="20"/>
          <w:u w:val="none"/>
        </w:rPr>
        <w:t>Cash Cycle Days</w:t>
      </w:r>
    </w:p>
    <w:p w14:paraId="366891DE" w14:textId="0B955315" w:rsidR="00B752C1" w:rsidRDefault="00B752C1" w:rsidP="00411A25">
      <w:pPr>
        <w:pStyle w:val="BodyText"/>
        <w:rPr>
          <w:b/>
          <w:sz w:val="20"/>
          <w:u w:val="none"/>
        </w:rPr>
      </w:pPr>
      <w:r>
        <w:rPr>
          <w:b/>
          <w:sz w:val="20"/>
          <w:u w:val="none"/>
        </w:rPr>
        <w:t>Growth Rate of Sales</w:t>
      </w:r>
    </w:p>
    <w:p w14:paraId="7AA10B44" w14:textId="1069A4C9" w:rsidR="00B752C1" w:rsidRDefault="00B752C1" w:rsidP="00411A25">
      <w:pPr>
        <w:pStyle w:val="BodyText"/>
        <w:rPr>
          <w:b/>
          <w:sz w:val="20"/>
          <w:u w:val="none"/>
        </w:rPr>
      </w:pPr>
      <w:r>
        <w:rPr>
          <w:b/>
          <w:sz w:val="20"/>
          <w:u w:val="none"/>
        </w:rPr>
        <w:t>Merchant Growth</w:t>
      </w:r>
    </w:p>
    <w:p w14:paraId="3FE36898" w14:textId="42968A61" w:rsidR="00B752C1" w:rsidRDefault="00B752C1" w:rsidP="00411A25">
      <w:pPr>
        <w:pStyle w:val="BodyText"/>
        <w:rPr>
          <w:b/>
          <w:sz w:val="20"/>
          <w:u w:val="none"/>
        </w:rPr>
      </w:pPr>
      <w:r>
        <w:rPr>
          <w:b/>
          <w:sz w:val="20"/>
          <w:u w:val="none"/>
        </w:rPr>
        <w:t>Customer Growth</w:t>
      </w:r>
    </w:p>
    <w:p w14:paraId="2447750B" w14:textId="77777777" w:rsidR="00B752C1" w:rsidRDefault="00B752C1" w:rsidP="00411A25">
      <w:pPr>
        <w:pStyle w:val="BodyText"/>
        <w:rPr>
          <w:b/>
          <w:sz w:val="20"/>
          <w:u w:val="none"/>
        </w:rPr>
      </w:pPr>
    </w:p>
    <w:p w14:paraId="200C5456" w14:textId="77777777" w:rsidR="00736B56" w:rsidRDefault="00736B56">
      <w:pPr>
        <w:pStyle w:val="BodyText"/>
        <w:rPr>
          <w:b/>
          <w:sz w:val="20"/>
          <w:u w:val="none"/>
        </w:rPr>
      </w:pPr>
    </w:p>
    <w:p w14:paraId="140C34DF" w14:textId="77777777" w:rsidR="00736B56" w:rsidRDefault="00736B56">
      <w:pPr>
        <w:pStyle w:val="BodyText"/>
        <w:spacing w:before="8"/>
        <w:rPr>
          <w:b/>
          <w:u w:val="none"/>
        </w:rPr>
      </w:pPr>
    </w:p>
    <w:p w14:paraId="33550962" w14:textId="54F8E32A" w:rsidR="00736B56" w:rsidRDefault="00E8749C">
      <w:pPr>
        <w:spacing w:before="89"/>
        <w:ind w:left="1042"/>
        <w:rPr>
          <w:b/>
          <w:color w:val="2D73B5"/>
          <w:sz w:val="32"/>
          <w:u w:val="thick" w:color="2D73B5"/>
        </w:rPr>
      </w:pPr>
      <w:r>
        <w:rPr>
          <w:b/>
          <w:color w:val="2D73B5"/>
          <w:sz w:val="32"/>
        </w:rPr>
        <w:t xml:space="preserve">6.1 </w:t>
      </w:r>
      <w:r>
        <w:rPr>
          <w:b/>
          <w:color w:val="2D73B5"/>
          <w:sz w:val="32"/>
          <w:u w:val="thick" w:color="2D73B5"/>
        </w:rPr>
        <w:t>DUPONT ANALYSIS (2013-2017)</w:t>
      </w:r>
    </w:p>
    <w:p w14:paraId="5566FCFE" w14:textId="77777777" w:rsidR="00576232" w:rsidRPr="004B2ABD" w:rsidRDefault="00576232" w:rsidP="00576232">
      <w:pPr>
        <w:rPr>
          <w:b/>
          <w:bCs/>
          <w:sz w:val="24"/>
          <w:lang w:val="en-AU"/>
        </w:rPr>
      </w:pPr>
      <w:r w:rsidRPr="004B2ABD">
        <w:rPr>
          <w:b/>
          <w:bCs/>
          <w:sz w:val="24"/>
          <w:lang w:val="en-AU"/>
        </w:rPr>
        <w:t xml:space="preserve">Estimate the ROE of the company for </w:t>
      </w:r>
      <w:r>
        <w:rPr>
          <w:b/>
          <w:bCs/>
          <w:sz w:val="24"/>
          <w:lang w:val="en-AU"/>
        </w:rPr>
        <w:t xml:space="preserve">the </w:t>
      </w:r>
      <w:r w:rsidRPr="004B2ABD">
        <w:rPr>
          <w:b/>
          <w:bCs/>
          <w:sz w:val="24"/>
          <w:lang w:val="en-AU"/>
        </w:rPr>
        <w:t xml:space="preserve">most recent </w:t>
      </w:r>
      <w:r>
        <w:rPr>
          <w:b/>
          <w:bCs/>
          <w:sz w:val="24"/>
          <w:lang w:val="en-AU"/>
        </w:rPr>
        <w:t xml:space="preserve">five years using the DuPont ROE </w:t>
      </w:r>
      <w:r w:rsidRPr="004B2ABD">
        <w:rPr>
          <w:b/>
          <w:bCs/>
          <w:sz w:val="24"/>
          <w:lang w:val="en-AU"/>
        </w:rPr>
        <w:t>approach.</w:t>
      </w:r>
    </w:p>
    <w:p w14:paraId="6B047210" w14:textId="77777777" w:rsidR="00576232" w:rsidRPr="004B2ABD" w:rsidRDefault="00576232" w:rsidP="00576232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927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DuPont Analysis should be done using the 3-step procedure</w:t>
      </w:r>
    </w:p>
    <w:p w14:paraId="2498CF31" w14:textId="77777777" w:rsidR="00576232" w:rsidRPr="004B2ABD" w:rsidRDefault="00576232" w:rsidP="00576232">
      <w:pPr>
        <w:pStyle w:val="ListParagraph"/>
        <w:widowControl/>
        <w:numPr>
          <w:ilvl w:val="1"/>
          <w:numId w:val="5"/>
        </w:numPr>
        <w:autoSpaceDE/>
        <w:autoSpaceDN/>
        <w:spacing w:before="0" w:line="360" w:lineRule="auto"/>
        <w:ind w:left="1647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3 steps: Net Profit Margin, Total Asset Turnover and Financial Leverage</w:t>
      </w:r>
    </w:p>
    <w:p w14:paraId="15515C8D" w14:textId="77777777" w:rsidR="00576232" w:rsidRPr="004B2ABD" w:rsidRDefault="00576232" w:rsidP="00576232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927"/>
        <w:contextualSpacing/>
        <w:jc w:val="both"/>
        <w:rPr>
          <w:sz w:val="24"/>
          <w:lang w:val="en-AU"/>
        </w:rPr>
      </w:pPr>
      <w:r w:rsidRPr="004B2ABD">
        <w:rPr>
          <w:i/>
          <w:iCs/>
          <w:sz w:val="24"/>
          <w:lang w:val="en-AU"/>
        </w:rPr>
        <w:t>analyse</w:t>
      </w:r>
      <w:r w:rsidRPr="004B2ABD">
        <w:rPr>
          <w:sz w:val="24"/>
          <w:lang w:val="en-AU"/>
        </w:rPr>
        <w:t xml:space="preserve"> the company</w:t>
      </w:r>
      <w:r>
        <w:rPr>
          <w:sz w:val="24"/>
          <w:lang w:val="en-AU"/>
        </w:rPr>
        <w:t>'</w:t>
      </w:r>
      <w:r w:rsidRPr="004B2ABD">
        <w:rPr>
          <w:sz w:val="24"/>
          <w:lang w:val="en-AU"/>
        </w:rPr>
        <w:t>s and your selected peer companies</w:t>
      </w:r>
      <w:r>
        <w:rPr>
          <w:sz w:val="24"/>
          <w:lang w:val="en-AU"/>
        </w:rPr>
        <w:t>'</w:t>
      </w:r>
      <w:r w:rsidRPr="004B2ABD">
        <w:rPr>
          <w:sz w:val="24"/>
          <w:lang w:val="en-AU"/>
        </w:rPr>
        <w:t xml:space="preserve"> ROEs over the period</w:t>
      </w:r>
    </w:p>
    <w:p w14:paraId="6D584737" w14:textId="77777777" w:rsidR="00576232" w:rsidRPr="004B2ABD" w:rsidRDefault="00576232" w:rsidP="00576232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927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show your own calculations for each component over the previous five years</w:t>
      </w:r>
    </w:p>
    <w:p w14:paraId="6EB0F972" w14:textId="77777777" w:rsidR="00576232" w:rsidRPr="004B2ABD" w:rsidRDefault="00576232" w:rsidP="00576232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927"/>
        <w:contextualSpacing/>
        <w:jc w:val="both"/>
        <w:rPr>
          <w:sz w:val="24"/>
          <w:lang w:val="en-AU"/>
        </w:rPr>
      </w:pPr>
      <w:r w:rsidRPr="004B2ABD">
        <w:rPr>
          <w:i/>
          <w:iCs/>
          <w:sz w:val="24"/>
          <w:lang w:val="en-AU"/>
        </w:rPr>
        <w:t>compare</w:t>
      </w:r>
      <w:r w:rsidRPr="004B2ABD">
        <w:rPr>
          <w:sz w:val="24"/>
          <w:lang w:val="en-AU"/>
        </w:rPr>
        <w:t xml:space="preserve"> the DuPont ROE of the company with its industry peer group companies</w:t>
      </w:r>
    </w:p>
    <w:p w14:paraId="165E7CFB" w14:textId="77777777" w:rsidR="00576232" w:rsidRPr="004B2ABD" w:rsidRDefault="00576232" w:rsidP="00576232">
      <w:pPr>
        <w:pStyle w:val="ListParagraph"/>
        <w:widowControl/>
        <w:numPr>
          <w:ilvl w:val="0"/>
          <w:numId w:val="7"/>
        </w:numPr>
        <w:autoSpaceDE/>
        <w:autoSpaceDN/>
        <w:spacing w:before="0" w:line="360" w:lineRule="auto"/>
        <w:ind w:left="927"/>
        <w:contextualSpacing/>
        <w:jc w:val="both"/>
        <w:rPr>
          <w:color w:val="4F81BD" w:themeColor="accent1"/>
          <w:sz w:val="24"/>
          <w:lang w:val="en-AU"/>
        </w:rPr>
      </w:pPr>
      <w:r w:rsidRPr="004B2ABD">
        <w:rPr>
          <w:i/>
          <w:iCs/>
          <w:color w:val="4F81BD" w:themeColor="accent1"/>
          <w:sz w:val="24"/>
          <w:lang w:val="en-AU"/>
        </w:rPr>
        <w:t>analyse</w:t>
      </w:r>
      <w:r w:rsidRPr="004B2ABD">
        <w:rPr>
          <w:color w:val="4F81BD" w:themeColor="accent1"/>
          <w:sz w:val="24"/>
          <w:lang w:val="en-AU"/>
        </w:rPr>
        <w:t xml:space="preserve"> and </w:t>
      </w:r>
      <w:r w:rsidRPr="004B2ABD">
        <w:rPr>
          <w:i/>
          <w:iCs/>
          <w:color w:val="4F81BD" w:themeColor="accent1"/>
          <w:sz w:val="24"/>
          <w:lang w:val="en-AU"/>
        </w:rPr>
        <w:t>comment</w:t>
      </w:r>
      <w:r w:rsidRPr="004B2ABD">
        <w:rPr>
          <w:color w:val="4F81BD" w:themeColor="accent1"/>
          <w:sz w:val="24"/>
          <w:lang w:val="en-AU"/>
        </w:rPr>
        <w:t xml:space="preserve"> on the reasons for the change in ROE for the firm and its competitors with reference to the </w:t>
      </w:r>
      <w:r>
        <w:rPr>
          <w:color w:val="4F81BD" w:themeColor="accent1"/>
          <w:sz w:val="24"/>
          <w:lang w:val="en-AU"/>
        </w:rPr>
        <w:t>differenc</w:t>
      </w:r>
      <w:r w:rsidRPr="004B2ABD">
        <w:rPr>
          <w:color w:val="4F81BD" w:themeColor="accent1"/>
          <w:sz w:val="24"/>
          <w:lang w:val="en-AU"/>
        </w:rPr>
        <w:t>e in the three components over five years</w:t>
      </w:r>
    </w:p>
    <w:p w14:paraId="41ED78AF" w14:textId="77777777" w:rsidR="00576232" w:rsidRPr="004B2ABD" w:rsidRDefault="00576232" w:rsidP="00576232">
      <w:pPr>
        <w:pStyle w:val="ListParagraph"/>
        <w:widowControl/>
        <w:numPr>
          <w:ilvl w:val="0"/>
          <w:numId w:val="7"/>
        </w:numPr>
        <w:autoSpaceDE/>
        <w:autoSpaceDN/>
        <w:spacing w:before="0" w:line="360" w:lineRule="auto"/>
        <w:ind w:left="927"/>
        <w:contextualSpacing/>
        <w:jc w:val="both"/>
        <w:rPr>
          <w:color w:val="4F81BD" w:themeColor="accent1"/>
          <w:sz w:val="24"/>
          <w:lang w:val="en-AU"/>
        </w:rPr>
      </w:pPr>
      <w:r w:rsidRPr="004B2ABD">
        <w:rPr>
          <w:i/>
          <w:iCs/>
          <w:color w:val="4F81BD" w:themeColor="accent1"/>
          <w:sz w:val="24"/>
          <w:lang w:val="en-AU"/>
        </w:rPr>
        <w:t>relevant</w:t>
      </w:r>
      <w:r w:rsidRPr="004B2ABD">
        <w:rPr>
          <w:color w:val="4F81BD" w:themeColor="accent1"/>
          <w:sz w:val="24"/>
          <w:lang w:val="en-AU"/>
        </w:rPr>
        <w:t xml:space="preserve"> </w:t>
      </w:r>
      <w:r w:rsidRPr="004B2ABD">
        <w:rPr>
          <w:i/>
          <w:iCs/>
          <w:color w:val="4F81BD" w:themeColor="accent1"/>
          <w:sz w:val="24"/>
          <w:lang w:val="en-AU"/>
        </w:rPr>
        <w:t>charts/graphs</w:t>
      </w:r>
      <w:r w:rsidRPr="004B2ABD">
        <w:rPr>
          <w:color w:val="4F81BD" w:themeColor="accent1"/>
          <w:sz w:val="24"/>
          <w:lang w:val="en-AU"/>
        </w:rPr>
        <w:t xml:space="preserve"> may be used to illustrate these figures</w:t>
      </w:r>
    </w:p>
    <w:p w14:paraId="6B2FB2A6" w14:textId="40E612AB" w:rsidR="00576232" w:rsidRDefault="00576232" w:rsidP="00576232">
      <w:pPr>
        <w:spacing w:before="89"/>
        <w:rPr>
          <w:b/>
          <w:sz w:val="32"/>
        </w:rPr>
      </w:pPr>
    </w:p>
    <w:p w14:paraId="6055BB2F" w14:textId="77777777" w:rsidR="00736B56" w:rsidRDefault="00736B56">
      <w:pPr>
        <w:pStyle w:val="BodyText"/>
        <w:rPr>
          <w:b/>
          <w:sz w:val="20"/>
          <w:u w:val="none"/>
        </w:rPr>
      </w:pPr>
    </w:p>
    <w:p w14:paraId="53FAD7F5" w14:textId="77777777" w:rsidR="00736B56" w:rsidRDefault="00736B56">
      <w:pPr>
        <w:pStyle w:val="BodyText"/>
        <w:rPr>
          <w:b/>
          <w:sz w:val="20"/>
          <w:u w:val="none"/>
        </w:rPr>
      </w:pPr>
    </w:p>
    <w:p w14:paraId="593BC2B2" w14:textId="77777777" w:rsidR="00736B56" w:rsidRDefault="00736B56">
      <w:pPr>
        <w:pStyle w:val="BodyText"/>
        <w:spacing w:before="8"/>
        <w:rPr>
          <w:b/>
          <w:sz w:val="26"/>
          <w:u w:val="none"/>
        </w:rPr>
      </w:pPr>
    </w:p>
    <w:p w14:paraId="64A907B2" w14:textId="77777777" w:rsidR="00736B56" w:rsidRDefault="00E8749C">
      <w:pPr>
        <w:spacing w:before="89"/>
        <w:ind w:left="1042"/>
        <w:rPr>
          <w:i/>
          <w:sz w:val="24"/>
        </w:rPr>
      </w:pPr>
      <w:r>
        <w:rPr>
          <w:i/>
          <w:color w:val="006FC0"/>
          <w:sz w:val="24"/>
        </w:rPr>
        <w:t xml:space="preserve">Figure </w:t>
      </w:r>
      <w:r>
        <w:rPr>
          <w:rFonts w:ascii="Calibri" w:hAnsi="Calibri"/>
          <w:i/>
          <w:color w:val="006FC0"/>
          <w:sz w:val="24"/>
        </w:rPr>
        <w:t>…</w:t>
      </w:r>
      <w:r>
        <w:rPr>
          <w:i/>
          <w:color w:val="006FC0"/>
          <w:sz w:val="24"/>
        </w:rPr>
        <w:t>.</w:t>
      </w:r>
    </w:p>
    <w:p w14:paraId="43991A1F" w14:textId="77777777" w:rsidR="00736B56" w:rsidRDefault="00736B56">
      <w:pPr>
        <w:pStyle w:val="BodyText"/>
        <w:rPr>
          <w:i/>
          <w:sz w:val="28"/>
          <w:u w:val="none"/>
        </w:rPr>
      </w:pPr>
    </w:p>
    <w:p w14:paraId="638BE4A9" w14:textId="77777777" w:rsidR="00736B56" w:rsidRDefault="00736B56">
      <w:pPr>
        <w:pStyle w:val="BodyText"/>
        <w:rPr>
          <w:i/>
          <w:sz w:val="28"/>
          <w:u w:val="none"/>
        </w:rPr>
      </w:pPr>
    </w:p>
    <w:p w14:paraId="08D01997" w14:textId="77777777" w:rsidR="00736B56" w:rsidRDefault="00736B56">
      <w:pPr>
        <w:pStyle w:val="BodyText"/>
        <w:spacing w:before="6"/>
        <w:rPr>
          <w:i/>
          <w:u w:val="none"/>
        </w:rPr>
      </w:pPr>
    </w:p>
    <w:p w14:paraId="32726270" w14:textId="77777777" w:rsidR="00736B56" w:rsidRDefault="00E8749C">
      <w:pPr>
        <w:pStyle w:val="Heading1"/>
        <w:numPr>
          <w:ilvl w:val="1"/>
          <w:numId w:val="1"/>
        </w:numPr>
        <w:tabs>
          <w:tab w:val="left" w:pos="1733"/>
          <w:tab w:val="left" w:pos="1734"/>
        </w:tabs>
        <w:ind w:hanging="711"/>
        <w:rPr>
          <w:color w:val="2D73B5"/>
          <w:u w:val="none"/>
        </w:rPr>
      </w:pPr>
      <w:bookmarkStart w:id="15" w:name="7.0___ESTIMATE_VALUATION_MODELS"/>
      <w:bookmarkStart w:id="16" w:name="_bookmark7"/>
      <w:bookmarkEnd w:id="15"/>
      <w:bookmarkEnd w:id="16"/>
      <w:r>
        <w:rPr>
          <w:color w:val="2D73B5"/>
          <w:u w:val="thick" w:color="2D73B5"/>
        </w:rPr>
        <w:t>ESTIMATE VALUATION</w:t>
      </w:r>
      <w:r>
        <w:rPr>
          <w:color w:val="2D73B5"/>
          <w:spacing w:val="-3"/>
          <w:u w:val="thick" w:color="2D73B5"/>
        </w:rPr>
        <w:t xml:space="preserve"> </w:t>
      </w:r>
      <w:r>
        <w:rPr>
          <w:color w:val="2D73B5"/>
          <w:u w:val="thick" w:color="2D73B5"/>
        </w:rPr>
        <w:t>MODELS</w:t>
      </w:r>
    </w:p>
    <w:p w14:paraId="69373F72" w14:textId="77777777" w:rsidR="00736B56" w:rsidRDefault="00736B56">
      <w:pPr>
        <w:pStyle w:val="BodyText"/>
        <w:spacing w:before="10"/>
        <w:rPr>
          <w:b/>
          <w:sz w:val="29"/>
          <w:u w:val="none"/>
        </w:rPr>
      </w:pPr>
    </w:p>
    <w:p w14:paraId="0789F3AD" w14:textId="7131CC1C" w:rsidR="00736B56" w:rsidRDefault="00E8749C">
      <w:pPr>
        <w:pStyle w:val="Heading2"/>
        <w:numPr>
          <w:ilvl w:val="1"/>
          <w:numId w:val="1"/>
        </w:numPr>
        <w:tabs>
          <w:tab w:val="left" w:pos="1494"/>
        </w:tabs>
        <w:ind w:left="1493" w:hanging="471"/>
        <w:rPr>
          <w:color w:val="2D73B5"/>
        </w:rPr>
      </w:pPr>
      <w:bookmarkStart w:id="17" w:name="7.1_Capital_Asset_Pricing_Model_(CAPM)"/>
      <w:bookmarkStart w:id="18" w:name="_bookmark8"/>
      <w:bookmarkEnd w:id="17"/>
      <w:bookmarkEnd w:id="18"/>
      <w:r>
        <w:rPr>
          <w:color w:val="2D73B5"/>
        </w:rPr>
        <w:t>Capital Asset Pricing Model</w:t>
      </w:r>
      <w:r>
        <w:rPr>
          <w:color w:val="2D73B5"/>
          <w:spacing w:val="-17"/>
        </w:rPr>
        <w:t xml:space="preserve"> </w:t>
      </w:r>
      <w:r>
        <w:rPr>
          <w:color w:val="2D73B5"/>
        </w:rPr>
        <w:t>(CAPM)</w:t>
      </w:r>
    </w:p>
    <w:p w14:paraId="56759F72" w14:textId="77777777" w:rsidR="00A46EA7" w:rsidRDefault="00A46EA7" w:rsidP="00A46EA7">
      <w:pPr>
        <w:pStyle w:val="ListParagraph"/>
        <w:rPr>
          <w:color w:val="2D73B5"/>
        </w:rPr>
      </w:pPr>
    </w:p>
    <w:p w14:paraId="7972B27A" w14:textId="77777777" w:rsidR="00A46EA7" w:rsidRPr="004B2ABD" w:rsidRDefault="00A46EA7" w:rsidP="00A46EA7">
      <w:pPr>
        <w:rPr>
          <w:b/>
          <w:bCs/>
          <w:sz w:val="24"/>
          <w:lang w:val="en-AU"/>
        </w:rPr>
      </w:pPr>
      <w:r w:rsidRPr="004B2ABD">
        <w:rPr>
          <w:b/>
          <w:bCs/>
          <w:sz w:val="24"/>
          <w:lang w:val="en-AU"/>
        </w:rPr>
        <w:t>Intrinsic Value Estimation</w:t>
      </w:r>
    </w:p>
    <w:p w14:paraId="4035D8E6" w14:textId="77777777" w:rsidR="00A46EA7" w:rsidRPr="004B2ABD" w:rsidRDefault="00A46EA7" w:rsidP="00A46EA7">
      <w:pPr>
        <w:ind w:left="567" w:hanging="567"/>
        <w:rPr>
          <w:b/>
          <w:bCs/>
          <w:sz w:val="24"/>
          <w:lang w:val="en-AU"/>
        </w:rPr>
      </w:pPr>
      <w:r w:rsidRPr="004B2ABD">
        <w:rPr>
          <w:b/>
          <w:bCs/>
          <w:sz w:val="24"/>
          <w:lang w:val="en-AU"/>
        </w:rPr>
        <w:t>Start your valuation analysis with the estimation of expected return using CAPM</w:t>
      </w:r>
    </w:p>
    <w:p w14:paraId="6CCEBCA7" w14:textId="77777777" w:rsidR="00A46EA7" w:rsidRPr="004B2ABD" w:rsidRDefault="00A46EA7" w:rsidP="00A46EA7">
      <w:pPr>
        <w:ind w:left="567" w:hanging="567"/>
        <w:rPr>
          <w:sz w:val="24"/>
          <w:lang w:val="en-AU"/>
        </w:rPr>
      </w:pPr>
      <w:r w:rsidRPr="004B2ABD">
        <w:rPr>
          <w:sz w:val="24"/>
          <w:lang w:val="en-AU"/>
        </w:rPr>
        <w:t>You need 3 inputs to calculate the CAPM expected return</w:t>
      </w:r>
    </w:p>
    <w:p w14:paraId="52284F59" w14:textId="77777777" w:rsidR="00A46EA7" w:rsidRPr="004B2ABD" w:rsidRDefault="00A46EA7" w:rsidP="00A46EA7">
      <w:pPr>
        <w:pStyle w:val="ListParagraph"/>
        <w:widowControl/>
        <w:numPr>
          <w:ilvl w:val="0"/>
          <w:numId w:val="9"/>
        </w:numPr>
        <w:autoSpaceDE/>
        <w:autoSpaceDN/>
        <w:spacing w:before="0" w:line="360" w:lineRule="auto"/>
        <w:ind w:left="567" w:hanging="567"/>
        <w:contextualSpacing/>
        <w:jc w:val="both"/>
        <w:rPr>
          <w:b/>
          <w:bCs/>
          <w:sz w:val="24"/>
          <w:lang w:val="en-AU"/>
        </w:rPr>
      </w:pPr>
      <w:r w:rsidRPr="004B2ABD">
        <w:rPr>
          <w:b/>
          <w:bCs/>
          <w:sz w:val="24"/>
          <w:lang w:val="en-AU"/>
        </w:rPr>
        <w:t>An Estimate of the company</w:t>
      </w:r>
      <w:r>
        <w:rPr>
          <w:b/>
          <w:bCs/>
          <w:sz w:val="24"/>
          <w:lang w:val="en-AU"/>
        </w:rPr>
        <w:t>'</w:t>
      </w:r>
      <w:r w:rsidRPr="004B2ABD">
        <w:rPr>
          <w:b/>
          <w:bCs/>
          <w:sz w:val="24"/>
          <w:lang w:val="en-AU"/>
        </w:rPr>
        <w:t>s</w:t>
      </w:r>
      <w:r>
        <w:rPr>
          <w:b/>
          <w:bCs/>
          <w:sz w:val="24"/>
          <w:lang w:val="en-AU"/>
        </w:rPr>
        <w:t xml:space="preserve"> Beta </w:t>
      </w:r>
    </w:p>
    <w:p w14:paraId="6F78ECC2" w14:textId="77777777" w:rsidR="00A46EA7" w:rsidRPr="004B2ABD" w:rsidRDefault="00A46EA7" w:rsidP="00A46EA7">
      <w:pPr>
        <w:rPr>
          <w:sz w:val="24"/>
          <w:lang w:val="en-AU"/>
        </w:rPr>
      </w:pPr>
      <w:r w:rsidRPr="004B2ABD">
        <w:rPr>
          <w:sz w:val="24"/>
          <w:lang w:val="en-AU"/>
        </w:rPr>
        <w:t xml:space="preserve">Use the closing price data </w:t>
      </w:r>
      <w:r>
        <w:rPr>
          <w:sz w:val="24"/>
          <w:lang w:val="en-AU"/>
        </w:rPr>
        <w:t xml:space="preserve">for </w:t>
      </w:r>
      <w:r w:rsidRPr="004B2ABD">
        <w:rPr>
          <w:sz w:val="24"/>
          <w:lang w:val="en-AU"/>
        </w:rPr>
        <w:t>the company and the market index</w:t>
      </w:r>
      <w:r>
        <w:rPr>
          <w:sz w:val="24"/>
          <w:lang w:val="en-AU"/>
        </w:rPr>
        <w:t xml:space="preserve"> (provide on Canvas)</w:t>
      </w:r>
      <w:r w:rsidRPr="004B2ABD">
        <w:rPr>
          <w:sz w:val="24"/>
          <w:lang w:val="en-AU"/>
        </w:rPr>
        <w:t xml:space="preserve"> to calculate daily </w:t>
      </w:r>
      <w:r>
        <w:rPr>
          <w:sz w:val="24"/>
          <w:lang w:val="en-AU"/>
        </w:rPr>
        <w:t>holding period yield</w:t>
      </w:r>
      <w:r w:rsidRPr="004B2ABD">
        <w:rPr>
          <w:sz w:val="24"/>
          <w:lang w:val="en-AU"/>
        </w:rPr>
        <w:t>s for the most recent five years. Using this data</w:t>
      </w:r>
      <w:r>
        <w:rPr>
          <w:sz w:val="24"/>
          <w:lang w:val="en-AU"/>
        </w:rPr>
        <w:t>,</w:t>
      </w:r>
      <w:r w:rsidRPr="004B2ABD">
        <w:rPr>
          <w:sz w:val="24"/>
          <w:lang w:val="en-AU"/>
        </w:rPr>
        <w:t xml:space="preserve"> you can estimate raw beta by using regression analysis. Attach details of your work as an Appendix.</w:t>
      </w:r>
    </w:p>
    <w:p w14:paraId="0D1FD01B" w14:textId="77777777" w:rsidR="00A46EA7" w:rsidRPr="004B2ABD" w:rsidRDefault="00A46EA7" w:rsidP="00A46EA7">
      <w:pPr>
        <w:pStyle w:val="ListParagraph"/>
        <w:widowControl/>
        <w:numPr>
          <w:ilvl w:val="0"/>
          <w:numId w:val="10"/>
        </w:numPr>
        <w:autoSpaceDE/>
        <w:autoSpaceDN/>
        <w:spacing w:before="120" w:line="360" w:lineRule="auto"/>
        <w:ind w:left="357" w:hanging="357"/>
        <w:contextualSpacing/>
        <w:jc w:val="both"/>
        <w:rPr>
          <w:color w:val="4F81BD" w:themeColor="accent1"/>
          <w:sz w:val="24"/>
          <w:lang w:val="en-AU"/>
        </w:rPr>
      </w:pPr>
      <w:r w:rsidRPr="004B2ABD">
        <w:rPr>
          <w:color w:val="4F81BD" w:themeColor="accent1"/>
          <w:sz w:val="24"/>
          <w:lang w:val="en-AU"/>
        </w:rPr>
        <w:t xml:space="preserve">Adjust the Raw Beta using the formula:  </w:t>
      </w:r>
      <w:r w:rsidRPr="004B2ABD">
        <w:rPr>
          <w:i/>
          <w:iCs/>
          <w:color w:val="4F81BD" w:themeColor="accent1"/>
          <w:sz w:val="24"/>
          <w:lang w:val="en-AU"/>
        </w:rPr>
        <w:t>Adjusted Beta = (0.67) x Raw Beta + 0.33</w:t>
      </w:r>
    </w:p>
    <w:p w14:paraId="187F5894" w14:textId="77777777" w:rsidR="00A46EA7" w:rsidRPr="004B2ABD" w:rsidRDefault="00A46EA7" w:rsidP="00A46EA7">
      <w:pPr>
        <w:ind w:left="153"/>
        <w:rPr>
          <w:sz w:val="24"/>
          <w:lang w:val="en-AU"/>
        </w:rPr>
      </w:pPr>
    </w:p>
    <w:p w14:paraId="6875E527" w14:textId="77777777" w:rsidR="00A46EA7" w:rsidRPr="004B2ABD" w:rsidRDefault="00A46EA7" w:rsidP="00A46EA7">
      <w:pPr>
        <w:pStyle w:val="ListParagraph"/>
        <w:keepNext/>
        <w:widowControl/>
        <w:numPr>
          <w:ilvl w:val="0"/>
          <w:numId w:val="9"/>
        </w:numPr>
        <w:autoSpaceDE/>
        <w:autoSpaceDN/>
        <w:spacing w:before="0" w:line="360" w:lineRule="auto"/>
        <w:ind w:left="567" w:hanging="567"/>
        <w:contextualSpacing/>
        <w:jc w:val="both"/>
        <w:rPr>
          <w:b/>
          <w:bCs/>
          <w:sz w:val="24"/>
          <w:lang w:val="en-AU"/>
        </w:rPr>
      </w:pPr>
      <w:r w:rsidRPr="004B2ABD">
        <w:rPr>
          <w:b/>
          <w:bCs/>
          <w:sz w:val="24"/>
          <w:lang w:val="en-AU"/>
        </w:rPr>
        <w:t>The Risk-Free Rate of Return</w:t>
      </w:r>
    </w:p>
    <w:p w14:paraId="0DE4FCA3" w14:textId="77777777" w:rsidR="00A46EA7" w:rsidRPr="004B2ABD" w:rsidRDefault="00A46EA7" w:rsidP="00A46EA7">
      <w:pPr>
        <w:rPr>
          <w:sz w:val="24"/>
          <w:lang w:val="en-AU"/>
        </w:rPr>
      </w:pPr>
      <w:r w:rsidRPr="008F60D8">
        <w:rPr>
          <w:sz w:val="24"/>
          <w:lang w:val="en-AU"/>
        </w:rPr>
        <w:t>Use the 10-year Australian Government bond yield as a proxy for the RFR. This yield can be found on Eikon page AU10YT=RR.</w:t>
      </w:r>
    </w:p>
    <w:p w14:paraId="24BCA92C" w14:textId="77777777" w:rsidR="00A46EA7" w:rsidRPr="004B2ABD" w:rsidRDefault="00A46EA7" w:rsidP="00A46EA7">
      <w:pPr>
        <w:rPr>
          <w:sz w:val="24"/>
          <w:lang w:val="en-AU"/>
        </w:rPr>
      </w:pPr>
    </w:p>
    <w:p w14:paraId="74B2BA0C" w14:textId="77777777" w:rsidR="00A46EA7" w:rsidRPr="004B2ABD" w:rsidRDefault="00A46EA7" w:rsidP="00A46EA7">
      <w:pPr>
        <w:pStyle w:val="ListParagraph"/>
        <w:keepNext/>
        <w:widowControl/>
        <w:numPr>
          <w:ilvl w:val="0"/>
          <w:numId w:val="9"/>
        </w:numPr>
        <w:autoSpaceDE/>
        <w:autoSpaceDN/>
        <w:spacing w:before="0" w:line="360" w:lineRule="auto"/>
        <w:ind w:left="567" w:hanging="567"/>
        <w:contextualSpacing/>
        <w:jc w:val="both"/>
        <w:rPr>
          <w:b/>
          <w:bCs/>
          <w:sz w:val="24"/>
          <w:lang w:val="en-AU"/>
        </w:rPr>
      </w:pPr>
      <w:r w:rsidRPr="004B2ABD">
        <w:rPr>
          <w:b/>
          <w:bCs/>
          <w:sz w:val="24"/>
          <w:lang w:val="en-AU"/>
        </w:rPr>
        <w:t>The Market Return</w:t>
      </w:r>
    </w:p>
    <w:p w14:paraId="07985FFD" w14:textId="77777777" w:rsidR="00A46EA7" w:rsidRPr="004B2ABD" w:rsidRDefault="00A46EA7" w:rsidP="00A46EA7">
      <w:pPr>
        <w:rPr>
          <w:sz w:val="24"/>
          <w:lang w:val="en-AU"/>
        </w:rPr>
      </w:pPr>
      <w:r w:rsidRPr="008F60D8">
        <w:rPr>
          <w:sz w:val="24"/>
          <w:lang w:val="en-AU"/>
        </w:rPr>
        <w:t>Please use this estimate of the market return E(Rm): 9.85% (Source: Bloomberg)</w:t>
      </w:r>
    </w:p>
    <w:p w14:paraId="7BA729AC" w14:textId="77777777" w:rsidR="00A46EA7" w:rsidRPr="00856C59" w:rsidRDefault="00A46EA7" w:rsidP="00A46EA7">
      <w:pPr>
        <w:pStyle w:val="ListParagraph"/>
        <w:widowControl/>
        <w:numPr>
          <w:ilvl w:val="0"/>
          <w:numId w:val="10"/>
        </w:numPr>
        <w:autoSpaceDE/>
        <w:autoSpaceDN/>
        <w:spacing w:before="120" w:line="360" w:lineRule="auto"/>
        <w:ind w:left="357" w:hanging="357"/>
        <w:contextualSpacing/>
        <w:jc w:val="both"/>
        <w:rPr>
          <w:color w:val="4F81BD" w:themeColor="accent1"/>
          <w:sz w:val="24"/>
          <w:lang w:val="en-AU"/>
        </w:rPr>
      </w:pPr>
      <w:r w:rsidRPr="004B2ABD">
        <w:rPr>
          <w:color w:val="4F81BD" w:themeColor="accent1"/>
          <w:sz w:val="24"/>
          <w:lang w:val="en-AU"/>
        </w:rPr>
        <w:t>The estimated CAPM required return should be used as the discount rate in your valuation models</w:t>
      </w:r>
    </w:p>
    <w:p w14:paraId="1E7054E5" w14:textId="77777777" w:rsidR="00A46EA7" w:rsidRDefault="00A46EA7" w:rsidP="00A46EA7">
      <w:pPr>
        <w:pStyle w:val="Heading2"/>
        <w:tabs>
          <w:tab w:val="left" w:pos="1494"/>
        </w:tabs>
        <w:ind w:left="0" w:firstLine="0"/>
        <w:rPr>
          <w:color w:val="2D73B5"/>
        </w:rPr>
      </w:pPr>
    </w:p>
    <w:p w14:paraId="5255DF9B" w14:textId="77777777" w:rsidR="00736B56" w:rsidRDefault="00736B56">
      <w:pPr>
        <w:pStyle w:val="BodyText"/>
        <w:rPr>
          <w:sz w:val="20"/>
          <w:u w:val="none"/>
        </w:rPr>
      </w:pPr>
    </w:p>
    <w:p w14:paraId="43701A25" w14:textId="77777777" w:rsidR="00736B56" w:rsidRDefault="00E8749C">
      <w:pPr>
        <w:pStyle w:val="BodyText"/>
        <w:spacing w:before="2"/>
        <w:rPr>
          <w:sz w:val="28"/>
          <w:u w:val="none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AE18EF8" wp14:editId="6A36AA6A">
            <wp:simplePos x="0" y="0"/>
            <wp:positionH relativeFrom="page">
              <wp:posOffset>1155182</wp:posOffset>
            </wp:positionH>
            <wp:positionV relativeFrom="paragraph">
              <wp:posOffset>230992</wp:posOffset>
            </wp:positionV>
            <wp:extent cx="1985790" cy="518160"/>
            <wp:effectExtent l="0" t="0" r="0" b="0"/>
            <wp:wrapTopAndBottom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79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7D94E" w14:textId="77777777" w:rsidR="00736B56" w:rsidRDefault="00E8749C">
      <w:pPr>
        <w:pStyle w:val="BodyText"/>
        <w:spacing w:before="137" w:line="376" w:lineRule="auto"/>
        <w:ind w:left="1023" w:right="8158"/>
        <w:rPr>
          <w:u w:val="none"/>
        </w:rPr>
      </w:pPr>
      <w:r>
        <w:t>Risk Free Rate</w:t>
      </w:r>
      <w:r>
        <w:rPr>
          <w:u w:val="none"/>
        </w:rPr>
        <w:t xml:space="preserve"> </w:t>
      </w:r>
      <w:r>
        <w:t>Market Return</w:t>
      </w:r>
      <w:r>
        <w:rPr>
          <w:u w:val="none"/>
        </w:rPr>
        <w:t xml:space="preserve"> </w:t>
      </w:r>
      <w:r>
        <w:t>Market Risk Premium</w:t>
      </w:r>
      <w:r>
        <w:rPr>
          <w:u w:val="none"/>
        </w:rPr>
        <w:t xml:space="preserve"> </w:t>
      </w:r>
      <w:r>
        <w:t>Market Portfolio</w:t>
      </w:r>
    </w:p>
    <w:p w14:paraId="48485356" w14:textId="77777777" w:rsidR="00736B56" w:rsidRDefault="00E8749C">
      <w:pPr>
        <w:pStyle w:val="BodyText"/>
        <w:spacing w:before="6"/>
        <w:ind w:left="1023"/>
        <w:rPr>
          <w:u w:val="none"/>
        </w:rPr>
      </w:pPr>
      <w:r>
        <w:rPr>
          <w:position w:val="2"/>
        </w:rPr>
        <w:t>Beta (β</w:t>
      </w:r>
      <w:proofErr w:type="spellStart"/>
      <w:r>
        <w:rPr>
          <w:sz w:val="16"/>
        </w:rPr>
        <w:t>i</w:t>
      </w:r>
      <w:proofErr w:type="spellEnd"/>
      <w:r>
        <w:rPr>
          <w:position w:val="2"/>
        </w:rPr>
        <w:t>)</w:t>
      </w:r>
    </w:p>
    <w:p w14:paraId="19B1E775" w14:textId="77777777" w:rsidR="00736B56" w:rsidRDefault="00736B56">
      <w:pPr>
        <w:pStyle w:val="BodyText"/>
        <w:rPr>
          <w:sz w:val="20"/>
          <w:u w:val="none"/>
        </w:rPr>
      </w:pPr>
    </w:p>
    <w:p w14:paraId="5909257B" w14:textId="77777777" w:rsidR="00736B56" w:rsidRDefault="00736B56">
      <w:pPr>
        <w:pStyle w:val="BodyText"/>
        <w:rPr>
          <w:sz w:val="20"/>
          <w:u w:val="none"/>
        </w:rPr>
      </w:pPr>
    </w:p>
    <w:p w14:paraId="4EEFBF71" w14:textId="77777777" w:rsidR="00736B56" w:rsidRDefault="00736B56">
      <w:pPr>
        <w:pStyle w:val="BodyText"/>
        <w:spacing w:before="5"/>
        <w:rPr>
          <w:sz w:val="27"/>
          <w:u w:val="none"/>
        </w:rPr>
      </w:pPr>
    </w:p>
    <w:p w14:paraId="5E903122" w14:textId="77777777" w:rsidR="00736B56" w:rsidRDefault="00E8749C">
      <w:pPr>
        <w:pStyle w:val="Heading2"/>
        <w:numPr>
          <w:ilvl w:val="1"/>
          <w:numId w:val="1"/>
        </w:numPr>
        <w:tabs>
          <w:tab w:val="left" w:pos="1492"/>
        </w:tabs>
        <w:ind w:left="1491" w:hanging="469"/>
        <w:rPr>
          <w:color w:val="2D73B5"/>
        </w:rPr>
      </w:pPr>
      <w:bookmarkStart w:id="19" w:name="7.2_Dividend_Discount_Model_(DDM)"/>
      <w:bookmarkStart w:id="20" w:name="_bookmark9"/>
      <w:bookmarkEnd w:id="19"/>
      <w:bookmarkEnd w:id="20"/>
      <w:r>
        <w:rPr>
          <w:color w:val="2D73B5"/>
        </w:rPr>
        <w:t>Dividend Discount Model</w:t>
      </w:r>
      <w:r>
        <w:rPr>
          <w:color w:val="2D73B5"/>
          <w:spacing w:val="-8"/>
        </w:rPr>
        <w:t xml:space="preserve"> </w:t>
      </w:r>
      <w:r>
        <w:rPr>
          <w:color w:val="2D73B5"/>
        </w:rPr>
        <w:t>(DDM)</w:t>
      </w:r>
    </w:p>
    <w:p w14:paraId="57C03125" w14:textId="77777777" w:rsidR="00736B56" w:rsidRDefault="00736B56"/>
    <w:p w14:paraId="032A465B" w14:textId="77777777" w:rsidR="00F33925" w:rsidRDefault="00F33925" w:rsidP="00F33925">
      <w:pPr>
        <w:keepNext/>
        <w:rPr>
          <w:b/>
          <w:bCs/>
          <w:sz w:val="24"/>
          <w:lang w:val="en-AU"/>
        </w:rPr>
      </w:pPr>
      <w:r w:rsidRPr="004B2ABD">
        <w:rPr>
          <w:b/>
          <w:bCs/>
          <w:sz w:val="24"/>
          <w:lang w:val="en-AU"/>
        </w:rPr>
        <w:t>Estimate the intrinsic value of the company</w:t>
      </w:r>
      <w:r>
        <w:rPr>
          <w:b/>
          <w:bCs/>
          <w:sz w:val="24"/>
          <w:lang w:val="en-AU"/>
        </w:rPr>
        <w:t>'</w:t>
      </w:r>
      <w:r w:rsidRPr="004B2ABD">
        <w:rPr>
          <w:b/>
          <w:bCs/>
          <w:sz w:val="24"/>
          <w:lang w:val="en-AU"/>
        </w:rPr>
        <w:t>s shares using the dividend discount model (DDM)</w:t>
      </w:r>
    </w:p>
    <w:p w14:paraId="07D9C729" w14:textId="77777777" w:rsidR="00F33925" w:rsidRPr="004B2ABD" w:rsidRDefault="00F33925" w:rsidP="00F33925">
      <w:pPr>
        <w:keepNext/>
        <w:rPr>
          <w:b/>
          <w:bCs/>
          <w:sz w:val="24"/>
          <w:lang w:val="en-AU"/>
        </w:rPr>
      </w:pPr>
    </w:p>
    <w:p w14:paraId="48BA28EB" w14:textId="77777777" w:rsidR="00F33925" w:rsidRPr="004B2ABD" w:rsidRDefault="00F33925" w:rsidP="00F33925">
      <w:pPr>
        <w:widowControl/>
        <w:numPr>
          <w:ilvl w:val="0"/>
          <w:numId w:val="11"/>
        </w:numPr>
        <w:autoSpaceDE/>
        <w:autoSpaceDN/>
        <w:spacing w:line="360" w:lineRule="auto"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 xml:space="preserve">you </w:t>
      </w:r>
      <w:r w:rsidRPr="004B2ABD">
        <w:rPr>
          <w:i/>
          <w:iCs/>
          <w:sz w:val="24"/>
          <w:lang w:val="en-AU"/>
        </w:rPr>
        <w:t>must</w:t>
      </w:r>
      <w:r w:rsidRPr="004B2ABD">
        <w:rPr>
          <w:sz w:val="24"/>
          <w:lang w:val="en-AU"/>
        </w:rPr>
        <w:t xml:space="preserve"> use a 3 Stage DDM. Follow the methodology discussed in </w:t>
      </w:r>
      <w:r>
        <w:rPr>
          <w:sz w:val="24"/>
          <w:lang w:val="en-AU"/>
        </w:rPr>
        <w:t xml:space="preserve">the </w:t>
      </w:r>
      <w:r w:rsidRPr="004B2ABD">
        <w:rPr>
          <w:sz w:val="24"/>
          <w:lang w:val="en-AU"/>
        </w:rPr>
        <w:t xml:space="preserve">Equity Valuation </w:t>
      </w:r>
      <w:r>
        <w:rPr>
          <w:sz w:val="24"/>
          <w:lang w:val="en-AU"/>
        </w:rPr>
        <w:t>slides</w:t>
      </w:r>
    </w:p>
    <w:p w14:paraId="28C0929C" w14:textId="77777777" w:rsidR="00F33925" w:rsidRPr="004B2ABD" w:rsidRDefault="00F33925" w:rsidP="00F33925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lastRenderedPageBreak/>
        <w:t>use CAPM return as your discount rate</w:t>
      </w:r>
    </w:p>
    <w:p w14:paraId="7EC52DA7" w14:textId="77777777" w:rsidR="00F33925" w:rsidRPr="004B2ABD" w:rsidRDefault="00F33925" w:rsidP="00F33925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contextualSpacing/>
        <w:jc w:val="both"/>
        <w:rPr>
          <w:sz w:val="24"/>
          <w:lang w:val="en-AU"/>
        </w:rPr>
      </w:pPr>
      <w:r>
        <w:rPr>
          <w:sz w:val="24"/>
          <w:lang w:val="en-AU"/>
        </w:rPr>
        <w:t>determine</w:t>
      </w:r>
      <w:r w:rsidRPr="004B2ABD">
        <w:rPr>
          <w:sz w:val="24"/>
          <w:lang w:val="en-AU"/>
        </w:rPr>
        <w:t xml:space="preserve"> the growth rate for Period 1 using the average growth rate in dividends for the past 5 years</w:t>
      </w:r>
      <w:r>
        <w:rPr>
          <w:sz w:val="24"/>
          <w:lang w:val="en-AU"/>
        </w:rPr>
        <w:t>. You may choose to ignore this growth rate if it unsustainably high or low.</w:t>
      </w:r>
    </w:p>
    <w:p w14:paraId="6D756EB4" w14:textId="77777777" w:rsidR="00F33925" w:rsidRPr="004B2ABD" w:rsidRDefault="00F33925" w:rsidP="00F33925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 xml:space="preserve">estimate the growth rate for Period 2 using </w:t>
      </w:r>
      <w:r>
        <w:rPr>
          <w:sz w:val="24"/>
          <w:lang w:val="en-AU"/>
        </w:rPr>
        <w:t xml:space="preserve">your discussion in </w:t>
      </w:r>
      <w:proofErr w:type="gramStart"/>
      <w:r>
        <w:rPr>
          <w:sz w:val="24"/>
          <w:lang w:val="en-AU"/>
        </w:rPr>
        <w:t>the</w:t>
      </w:r>
      <w:r w:rsidRPr="00013706">
        <w:rPr>
          <w:sz w:val="24"/>
          <w:lang w:val="en-AU"/>
        </w:rPr>
        <w:t xml:space="preserve">  company's</w:t>
      </w:r>
      <w:proofErr w:type="gramEnd"/>
      <w:r w:rsidRPr="00013706">
        <w:rPr>
          <w:sz w:val="24"/>
          <w:lang w:val="en-AU"/>
        </w:rPr>
        <w:t>/industry current issues</w:t>
      </w:r>
      <w:r>
        <w:rPr>
          <w:sz w:val="24"/>
          <w:lang w:val="en-AU"/>
        </w:rPr>
        <w:t xml:space="preserve"> section</w:t>
      </w:r>
      <w:r w:rsidRPr="00013706">
        <w:rPr>
          <w:sz w:val="24"/>
          <w:lang w:val="en-AU"/>
        </w:rPr>
        <w:t xml:space="preserve"> </w:t>
      </w:r>
    </w:p>
    <w:p w14:paraId="4D24E627" w14:textId="77777777" w:rsidR="00F33925" w:rsidRPr="004B2ABD" w:rsidRDefault="00F33925" w:rsidP="00F33925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estimate the terminal (Period 3) growth rate using a proxy that represents the long-term growth rate and calculate the terminal value</w:t>
      </w:r>
    </w:p>
    <w:p w14:paraId="1B9E3C43" w14:textId="77777777" w:rsidR="00F33925" w:rsidRPr="004B2ABD" w:rsidRDefault="00F33925" w:rsidP="00F33925">
      <w:pPr>
        <w:pStyle w:val="ListParagraph"/>
        <w:widowControl/>
        <w:numPr>
          <w:ilvl w:val="0"/>
          <w:numId w:val="11"/>
        </w:numPr>
        <w:autoSpaceDE/>
        <w:autoSpaceDN/>
        <w:spacing w:before="0" w:line="360" w:lineRule="auto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calculate the present value of each future dividend and the terminal value, then add them to calculate the intrinsic value of the company</w:t>
      </w:r>
    </w:p>
    <w:p w14:paraId="207AA4DE" w14:textId="77777777" w:rsidR="00F33925" w:rsidRPr="004B2ABD" w:rsidRDefault="00F33925" w:rsidP="00F33925">
      <w:pPr>
        <w:pStyle w:val="ListParagraph"/>
        <w:widowControl/>
        <w:numPr>
          <w:ilvl w:val="0"/>
          <w:numId w:val="12"/>
        </w:numPr>
        <w:autoSpaceDE/>
        <w:autoSpaceDN/>
        <w:spacing w:before="0" w:line="360" w:lineRule="auto"/>
        <w:contextualSpacing/>
        <w:jc w:val="both"/>
        <w:rPr>
          <w:color w:val="4F81BD" w:themeColor="accent1"/>
          <w:sz w:val="24"/>
          <w:lang w:val="en-AU"/>
        </w:rPr>
      </w:pPr>
      <w:r w:rsidRPr="004B2ABD">
        <w:rPr>
          <w:color w:val="4F81BD" w:themeColor="accent1"/>
          <w:sz w:val="24"/>
          <w:lang w:val="en-AU"/>
        </w:rPr>
        <w:t xml:space="preserve">provide </w:t>
      </w:r>
      <w:r w:rsidRPr="004B2ABD">
        <w:rPr>
          <w:i/>
          <w:iCs/>
          <w:color w:val="4F81BD" w:themeColor="accent1"/>
          <w:sz w:val="24"/>
          <w:lang w:val="en-AU"/>
        </w:rPr>
        <w:t>justification</w:t>
      </w:r>
      <w:r w:rsidRPr="004B2ABD">
        <w:rPr>
          <w:color w:val="4F81BD" w:themeColor="accent1"/>
          <w:sz w:val="24"/>
          <w:lang w:val="en-AU"/>
        </w:rPr>
        <w:t xml:space="preserve"> and </w:t>
      </w:r>
      <w:r w:rsidRPr="004B2ABD">
        <w:rPr>
          <w:i/>
          <w:iCs/>
          <w:color w:val="4F81BD" w:themeColor="accent1"/>
          <w:sz w:val="24"/>
          <w:lang w:val="en-AU"/>
        </w:rPr>
        <w:t>reasoning</w:t>
      </w:r>
      <w:r w:rsidRPr="004B2ABD">
        <w:rPr>
          <w:color w:val="4F81BD" w:themeColor="accent1"/>
          <w:sz w:val="24"/>
          <w:lang w:val="en-AU"/>
        </w:rPr>
        <w:t xml:space="preserve"> if you use a different growth rate than the one calculated for Period 1</w:t>
      </w:r>
    </w:p>
    <w:p w14:paraId="1C1399EA" w14:textId="77777777" w:rsidR="00F33925" w:rsidRPr="004B2ABD" w:rsidRDefault="00F33925" w:rsidP="00F33925">
      <w:pPr>
        <w:pStyle w:val="ListParagraph"/>
        <w:widowControl/>
        <w:numPr>
          <w:ilvl w:val="0"/>
          <w:numId w:val="12"/>
        </w:numPr>
        <w:autoSpaceDE/>
        <w:autoSpaceDN/>
        <w:spacing w:before="0" w:line="360" w:lineRule="auto"/>
        <w:contextualSpacing/>
        <w:jc w:val="both"/>
        <w:rPr>
          <w:color w:val="4F81BD" w:themeColor="accent1"/>
          <w:sz w:val="24"/>
          <w:lang w:val="en-AU"/>
        </w:rPr>
      </w:pPr>
      <w:r w:rsidRPr="004B2ABD">
        <w:rPr>
          <w:color w:val="4F81BD" w:themeColor="accent1"/>
          <w:sz w:val="24"/>
          <w:lang w:val="en-AU"/>
        </w:rPr>
        <w:t xml:space="preserve">provide </w:t>
      </w:r>
      <w:r w:rsidRPr="004B2ABD">
        <w:rPr>
          <w:i/>
          <w:iCs/>
          <w:color w:val="4F81BD" w:themeColor="accent1"/>
          <w:sz w:val="24"/>
          <w:lang w:val="en-AU"/>
        </w:rPr>
        <w:t>justification</w:t>
      </w:r>
      <w:r w:rsidRPr="004B2ABD">
        <w:rPr>
          <w:color w:val="4F81BD" w:themeColor="accent1"/>
          <w:sz w:val="24"/>
          <w:lang w:val="en-AU"/>
        </w:rPr>
        <w:t xml:space="preserve"> and </w:t>
      </w:r>
      <w:r w:rsidRPr="004B2ABD">
        <w:rPr>
          <w:i/>
          <w:iCs/>
          <w:color w:val="4F81BD" w:themeColor="accent1"/>
          <w:sz w:val="24"/>
          <w:lang w:val="en-AU"/>
        </w:rPr>
        <w:t>reasoning</w:t>
      </w:r>
      <w:r w:rsidRPr="004B2ABD">
        <w:rPr>
          <w:color w:val="4F81BD" w:themeColor="accent1"/>
          <w:sz w:val="24"/>
          <w:lang w:val="en-AU"/>
        </w:rPr>
        <w:t xml:space="preserve"> for your growth rate assumptions for growth in Period 2 and Period 3</w:t>
      </w:r>
    </w:p>
    <w:p w14:paraId="37046180" w14:textId="77777777" w:rsidR="00F33925" w:rsidRDefault="00F33925" w:rsidP="00F33925">
      <w:pPr>
        <w:rPr>
          <w:sz w:val="24"/>
          <w:lang w:val="en-AU"/>
        </w:rPr>
      </w:pPr>
      <w:r>
        <w:rPr>
          <w:sz w:val="24"/>
          <w:lang w:val="en-AU"/>
        </w:rPr>
        <w:br w:type="page"/>
      </w:r>
    </w:p>
    <w:p w14:paraId="5CB9D272" w14:textId="0D06C4FF" w:rsidR="00F33925" w:rsidRDefault="00F33925">
      <w:pPr>
        <w:sectPr w:rsidR="00F33925" w:rsidSect="00B752C1">
          <w:pgSz w:w="15840" w:h="12240" w:orient="landscape"/>
          <w:pgMar w:top="0" w:right="1200" w:bottom="760" w:left="1300" w:header="0" w:footer="1002" w:gutter="0"/>
          <w:cols w:space="720"/>
          <w:docGrid w:linePitch="299"/>
        </w:sectPr>
      </w:pPr>
    </w:p>
    <w:p w14:paraId="5FCB4B3C" w14:textId="77777777" w:rsidR="00736B56" w:rsidRDefault="00E8749C">
      <w:pPr>
        <w:pStyle w:val="BodyText"/>
        <w:spacing w:before="75"/>
        <w:ind w:left="1023"/>
        <w:rPr>
          <w:u w:val="none"/>
        </w:rPr>
      </w:pPr>
      <w:r>
        <w:lastRenderedPageBreak/>
        <w:t>Constant Growth in DDM Model</w:t>
      </w:r>
    </w:p>
    <w:p w14:paraId="15122540" w14:textId="77777777" w:rsidR="00736B56" w:rsidRDefault="00736B56">
      <w:pPr>
        <w:pStyle w:val="BodyText"/>
        <w:spacing w:before="7"/>
        <w:rPr>
          <w:sz w:val="15"/>
          <w:u w:val="none"/>
        </w:rPr>
      </w:pPr>
    </w:p>
    <w:p w14:paraId="742BC3AA" w14:textId="77777777" w:rsidR="00736B56" w:rsidRDefault="00E8749C">
      <w:pPr>
        <w:pStyle w:val="BodyText"/>
        <w:spacing w:before="92" w:line="422" w:lineRule="auto"/>
        <w:ind w:left="1042" w:right="5923"/>
        <w:rPr>
          <w:u w:val="none"/>
        </w:rPr>
      </w:pPr>
      <w:r>
        <w:t>Multi-stage Growth in DDM Model</w:t>
      </w:r>
      <w:r>
        <w:rPr>
          <w:u w:val="none"/>
        </w:rPr>
        <w:t xml:space="preserve"> </w:t>
      </w:r>
      <w:r>
        <w:t>Dividend Forecast</w:t>
      </w:r>
    </w:p>
    <w:p w14:paraId="4DFE5288" w14:textId="77777777" w:rsidR="00736B56" w:rsidRDefault="00E8749C">
      <w:pPr>
        <w:pStyle w:val="BodyText"/>
        <w:spacing w:line="274" w:lineRule="exact"/>
        <w:ind w:left="1042"/>
        <w:rPr>
          <w:u w:val="none"/>
        </w:rPr>
      </w:pPr>
      <w:r>
        <w:t xml:space="preserve">5-years Dividend History </w:t>
      </w:r>
    </w:p>
    <w:p w14:paraId="30B11C53" w14:textId="77777777" w:rsidR="00736B56" w:rsidRDefault="00736B56">
      <w:pPr>
        <w:pStyle w:val="BodyText"/>
        <w:spacing w:before="7"/>
        <w:rPr>
          <w:sz w:val="16"/>
          <w:u w:val="none"/>
        </w:rPr>
      </w:pPr>
    </w:p>
    <w:p w14:paraId="15986BBB" w14:textId="77777777" w:rsidR="00736B56" w:rsidRDefault="00E8749C">
      <w:pPr>
        <w:pStyle w:val="BodyText"/>
        <w:spacing w:before="92"/>
        <w:ind w:left="1042"/>
        <w:rPr>
          <w:u w:val="none"/>
        </w:rPr>
      </w:pPr>
      <w:r>
        <w:t>5-years Sustainable Growth Rate History of Crown</w:t>
      </w:r>
    </w:p>
    <w:p w14:paraId="136994AA" w14:textId="77777777" w:rsidR="00736B56" w:rsidRDefault="00736B56">
      <w:pPr>
        <w:pStyle w:val="BodyText"/>
        <w:spacing w:before="2"/>
        <w:rPr>
          <w:sz w:val="16"/>
          <w:u w:val="none"/>
        </w:rPr>
      </w:pPr>
    </w:p>
    <w:p w14:paraId="54790C48" w14:textId="77777777" w:rsidR="00736B56" w:rsidRDefault="00E8749C">
      <w:pPr>
        <w:pStyle w:val="BodyText"/>
        <w:spacing w:before="93"/>
        <w:ind w:left="1040"/>
        <w:rPr>
          <w:u w:val="none"/>
        </w:rPr>
      </w:pPr>
      <w:r>
        <w:t>Forecasted Dividend Growth Rates</w:t>
      </w:r>
    </w:p>
    <w:p w14:paraId="42D90DC8" w14:textId="77777777" w:rsidR="00736B56" w:rsidRDefault="00736B56">
      <w:pPr>
        <w:pStyle w:val="BodyText"/>
        <w:rPr>
          <w:sz w:val="25"/>
          <w:u w:val="none"/>
        </w:rPr>
      </w:pPr>
    </w:p>
    <w:tbl>
      <w:tblPr>
        <w:tblW w:w="0" w:type="auto"/>
        <w:tblInd w:w="1028" w:type="dxa"/>
        <w:tblBorders>
          <w:top w:val="single" w:sz="4" w:space="0" w:color="4371C4"/>
          <w:left w:val="single" w:sz="4" w:space="0" w:color="4371C4"/>
          <w:bottom w:val="single" w:sz="4" w:space="0" w:color="4371C4"/>
          <w:right w:val="single" w:sz="4" w:space="0" w:color="4371C4"/>
          <w:insideH w:val="single" w:sz="4" w:space="0" w:color="4371C4"/>
          <w:insideV w:val="single" w:sz="4" w:space="0" w:color="43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8"/>
      </w:tblGrid>
      <w:tr w:rsidR="00736B56" w14:paraId="4411EAF9" w14:textId="77777777">
        <w:trPr>
          <w:trHeight w:val="277"/>
        </w:trPr>
        <w:tc>
          <w:tcPr>
            <w:tcW w:w="8628" w:type="dxa"/>
            <w:tcBorders>
              <w:right w:val="single" w:sz="4" w:space="0" w:color="000000"/>
            </w:tcBorders>
            <w:shd w:val="clear" w:color="auto" w:fill="5A9BD5"/>
          </w:tcPr>
          <w:p w14:paraId="1BF29384" w14:textId="77777777" w:rsidR="00736B56" w:rsidRDefault="00E8749C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Phase 1: High Growth Stage (2018-2020)</w:t>
            </w:r>
          </w:p>
        </w:tc>
      </w:tr>
      <w:tr w:rsidR="00736B56" w14:paraId="2D77B2C7" w14:textId="77777777">
        <w:trPr>
          <w:trHeight w:val="275"/>
        </w:trPr>
        <w:tc>
          <w:tcPr>
            <w:tcW w:w="8628" w:type="dxa"/>
            <w:tcBorders>
              <w:right w:val="single" w:sz="4" w:space="0" w:color="000000"/>
            </w:tcBorders>
            <w:shd w:val="clear" w:color="auto" w:fill="DEEAF6"/>
          </w:tcPr>
          <w:p w14:paraId="7E7018E3" w14:textId="77777777" w:rsidR="00736B56" w:rsidRDefault="00E874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Dividend Growth Rate of %</w:t>
            </w:r>
          </w:p>
        </w:tc>
      </w:tr>
      <w:tr w:rsidR="00736B56" w14:paraId="2D6B3471" w14:textId="77777777">
        <w:trPr>
          <w:trHeight w:val="275"/>
        </w:trPr>
        <w:tc>
          <w:tcPr>
            <w:tcW w:w="8628" w:type="dxa"/>
            <w:tcBorders>
              <w:right w:val="single" w:sz="4" w:space="0" w:color="000000"/>
            </w:tcBorders>
          </w:tcPr>
          <w:p w14:paraId="64124EF0" w14:textId="77777777" w:rsidR="00736B56" w:rsidRDefault="00E874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</w:tr>
      <w:tr w:rsidR="00736B56" w14:paraId="773B66CC" w14:textId="77777777">
        <w:trPr>
          <w:trHeight w:val="275"/>
        </w:trPr>
        <w:tc>
          <w:tcPr>
            <w:tcW w:w="8628" w:type="dxa"/>
            <w:tcBorders>
              <w:right w:val="single" w:sz="4" w:space="0" w:color="000000"/>
            </w:tcBorders>
          </w:tcPr>
          <w:p w14:paraId="04C79212" w14:textId="77777777" w:rsidR="00736B56" w:rsidRDefault="00E874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</w:tr>
      <w:tr w:rsidR="00736B56" w14:paraId="0059938B" w14:textId="77777777">
        <w:trPr>
          <w:trHeight w:val="275"/>
        </w:trPr>
        <w:tc>
          <w:tcPr>
            <w:tcW w:w="8628" w:type="dxa"/>
            <w:tcBorders>
              <w:right w:val="single" w:sz="4" w:space="0" w:color="000000"/>
            </w:tcBorders>
          </w:tcPr>
          <w:p w14:paraId="3CE38B08" w14:textId="77777777" w:rsidR="00736B56" w:rsidRDefault="00E874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</w:tr>
      <w:tr w:rsidR="00736B56" w14:paraId="036B4D79" w14:textId="77777777">
        <w:trPr>
          <w:trHeight w:val="275"/>
        </w:trPr>
        <w:tc>
          <w:tcPr>
            <w:tcW w:w="8628" w:type="dxa"/>
            <w:tcBorders>
              <w:right w:val="single" w:sz="4" w:space="0" w:color="000000"/>
            </w:tcBorders>
            <w:shd w:val="clear" w:color="auto" w:fill="5A9BD5"/>
          </w:tcPr>
          <w:p w14:paraId="077DE29D" w14:textId="77777777" w:rsidR="00736B56" w:rsidRDefault="00E874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Phase 2: Slow – Moderate Growth Stage (2021-2023)</w:t>
            </w:r>
          </w:p>
        </w:tc>
      </w:tr>
      <w:tr w:rsidR="00736B56" w14:paraId="63884831" w14:textId="77777777">
        <w:trPr>
          <w:trHeight w:val="278"/>
        </w:trPr>
        <w:tc>
          <w:tcPr>
            <w:tcW w:w="8628" w:type="dxa"/>
            <w:tcBorders>
              <w:right w:val="single" w:sz="4" w:space="0" w:color="000000"/>
            </w:tcBorders>
            <w:shd w:val="clear" w:color="auto" w:fill="DEEAF6"/>
          </w:tcPr>
          <w:p w14:paraId="4687D1CC" w14:textId="77777777" w:rsidR="00736B56" w:rsidRDefault="00E8749C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Dividend Growth Rate of %</w:t>
            </w:r>
          </w:p>
        </w:tc>
      </w:tr>
      <w:tr w:rsidR="00736B56" w14:paraId="6D98E6D9" w14:textId="77777777">
        <w:trPr>
          <w:trHeight w:val="275"/>
        </w:trPr>
        <w:tc>
          <w:tcPr>
            <w:tcW w:w="8628" w:type="dxa"/>
            <w:tcBorders>
              <w:right w:val="single" w:sz="4" w:space="0" w:color="000000"/>
            </w:tcBorders>
          </w:tcPr>
          <w:p w14:paraId="7E4664E0" w14:textId="77777777" w:rsidR="00736B56" w:rsidRDefault="00E874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</w:tr>
      <w:tr w:rsidR="00736B56" w14:paraId="44781A4B" w14:textId="77777777">
        <w:trPr>
          <w:trHeight w:val="275"/>
        </w:trPr>
        <w:tc>
          <w:tcPr>
            <w:tcW w:w="8628" w:type="dxa"/>
            <w:tcBorders>
              <w:right w:val="single" w:sz="4" w:space="0" w:color="000000"/>
            </w:tcBorders>
          </w:tcPr>
          <w:p w14:paraId="1DDD0E3E" w14:textId="77777777" w:rsidR="00736B56" w:rsidRDefault="00E874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</w:tr>
      <w:tr w:rsidR="00736B56" w14:paraId="59FAFFB0" w14:textId="77777777">
        <w:trPr>
          <w:trHeight w:val="275"/>
        </w:trPr>
        <w:tc>
          <w:tcPr>
            <w:tcW w:w="8628" w:type="dxa"/>
            <w:tcBorders>
              <w:right w:val="single" w:sz="4" w:space="0" w:color="000000"/>
            </w:tcBorders>
          </w:tcPr>
          <w:p w14:paraId="4E958ACF" w14:textId="77777777" w:rsidR="00736B56" w:rsidRDefault="00E874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</w:tr>
      <w:tr w:rsidR="00736B56" w14:paraId="032F4DB3" w14:textId="77777777">
        <w:trPr>
          <w:trHeight w:val="275"/>
        </w:trPr>
        <w:tc>
          <w:tcPr>
            <w:tcW w:w="8628" w:type="dxa"/>
            <w:tcBorders>
              <w:right w:val="single" w:sz="4" w:space="0" w:color="000000"/>
            </w:tcBorders>
            <w:shd w:val="clear" w:color="auto" w:fill="5A9BD5"/>
          </w:tcPr>
          <w:p w14:paraId="0D2FF0A3" w14:textId="77777777" w:rsidR="00736B56" w:rsidRDefault="00E8749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Phase 3: Stable Growth Stage (2024-onwards)</w:t>
            </w:r>
          </w:p>
        </w:tc>
      </w:tr>
      <w:tr w:rsidR="00736B56" w14:paraId="329C0939" w14:textId="77777777">
        <w:trPr>
          <w:trHeight w:val="275"/>
        </w:trPr>
        <w:tc>
          <w:tcPr>
            <w:tcW w:w="8628" w:type="dxa"/>
            <w:tcBorders>
              <w:right w:val="single" w:sz="4" w:space="0" w:color="000000"/>
            </w:tcBorders>
            <w:shd w:val="clear" w:color="auto" w:fill="DEEAF6"/>
          </w:tcPr>
          <w:p w14:paraId="48C46D25" w14:textId="77777777" w:rsidR="00736B56" w:rsidRDefault="00E874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Dividend Growth Rate of %</w:t>
            </w:r>
          </w:p>
        </w:tc>
      </w:tr>
      <w:tr w:rsidR="00736B56" w14:paraId="445D37BD" w14:textId="77777777">
        <w:trPr>
          <w:trHeight w:val="277"/>
        </w:trPr>
        <w:tc>
          <w:tcPr>
            <w:tcW w:w="8628" w:type="dxa"/>
            <w:tcBorders>
              <w:right w:val="single" w:sz="4" w:space="0" w:color="000000"/>
            </w:tcBorders>
          </w:tcPr>
          <w:p w14:paraId="271AA5F4" w14:textId="77777777" w:rsidR="00736B56" w:rsidRDefault="00E8749C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</w:tr>
      <w:tr w:rsidR="00736B56" w14:paraId="1E3CE19B" w14:textId="77777777">
        <w:trPr>
          <w:trHeight w:val="275"/>
        </w:trPr>
        <w:tc>
          <w:tcPr>
            <w:tcW w:w="8628" w:type="dxa"/>
            <w:tcBorders>
              <w:right w:val="single" w:sz="4" w:space="0" w:color="000000"/>
            </w:tcBorders>
          </w:tcPr>
          <w:p w14:paraId="47302D0B" w14:textId="77777777" w:rsidR="00736B56" w:rsidRDefault="00E874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</w:tr>
      <w:tr w:rsidR="00736B56" w14:paraId="5B89301A" w14:textId="77777777">
        <w:trPr>
          <w:trHeight w:val="275"/>
        </w:trPr>
        <w:tc>
          <w:tcPr>
            <w:tcW w:w="8628" w:type="dxa"/>
            <w:tcBorders>
              <w:right w:val="single" w:sz="4" w:space="0" w:color="000000"/>
            </w:tcBorders>
          </w:tcPr>
          <w:p w14:paraId="20A7AC49" w14:textId="77777777" w:rsidR="00736B56" w:rsidRDefault="00E8749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</w:tr>
    </w:tbl>
    <w:p w14:paraId="39074F81" w14:textId="77777777" w:rsidR="00736B56" w:rsidRDefault="00736B56">
      <w:pPr>
        <w:pStyle w:val="BodyText"/>
        <w:rPr>
          <w:sz w:val="26"/>
          <w:u w:val="none"/>
        </w:rPr>
      </w:pPr>
    </w:p>
    <w:p w14:paraId="6881DD94" w14:textId="77777777" w:rsidR="00736B56" w:rsidRDefault="00736B56">
      <w:pPr>
        <w:pStyle w:val="BodyText"/>
        <w:rPr>
          <w:sz w:val="26"/>
          <w:u w:val="none"/>
        </w:rPr>
      </w:pPr>
    </w:p>
    <w:p w14:paraId="19642752" w14:textId="77777777" w:rsidR="00890519" w:rsidRDefault="00890519" w:rsidP="00890519">
      <w:pPr>
        <w:pStyle w:val="NormalWeb"/>
      </w:pPr>
      <w:r>
        <w:rPr>
          <w:rFonts w:ascii="ArialMT" w:hAnsi="ArialMT"/>
          <w:sz w:val="22"/>
          <w:szCs w:val="22"/>
        </w:rPr>
        <w:t xml:space="preserve">The following estimates will affect the accuracy of the model </w:t>
      </w:r>
    </w:p>
    <w:p w14:paraId="591E6F2D" w14:textId="30933F79" w:rsidR="00736B56" w:rsidRDefault="00890519">
      <w:pPr>
        <w:pStyle w:val="BodyText"/>
        <w:rPr>
          <w:sz w:val="26"/>
          <w:u w:val="none"/>
        </w:rPr>
      </w:pPr>
      <w:r>
        <w:rPr>
          <w:sz w:val="26"/>
          <w:u w:val="none"/>
        </w:rPr>
        <w:t>ASSUMPTIONS</w:t>
      </w:r>
    </w:p>
    <w:p w14:paraId="05F786DD" w14:textId="77777777" w:rsidR="00890519" w:rsidRPr="00890519" w:rsidRDefault="00890519" w:rsidP="0089051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lang w:val="en-AU" w:eastAsia="en-GB"/>
        </w:rPr>
      </w:pPr>
      <w:r w:rsidRPr="00890519">
        <w:rPr>
          <w:rFonts w:ascii="ArialMT" w:eastAsia="Times New Roman" w:hAnsi="ArialMT" w:cs="Times New Roman"/>
          <w:lang w:val="en-AU" w:eastAsia="en-GB"/>
        </w:rPr>
        <w:t xml:space="preserve">Sustainable growth rate is expressed as a perpetuity, estimated at long run GDP </w:t>
      </w:r>
    </w:p>
    <w:p w14:paraId="03FD731A" w14:textId="77777777" w:rsidR="00890519" w:rsidRPr="00890519" w:rsidRDefault="00890519" w:rsidP="0089051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lang w:val="en-AU" w:eastAsia="en-GB"/>
        </w:rPr>
      </w:pPr>
      <w:r w:rsidRPr="00890519">
        <w:rPr>
          <w:rFonts w:ascii="ArialMT" w:eastAsia="Times New Roman" w:hAnsi="ArialMT" w:cs="Times New Roman"/>
          <w:lang w:val="en-AU" w:eastAsia="en-GB"/>
        </w:rPr>
        <w:t xml:space="preserve">Multistage growth is the most appropriate for current conditions (not zero growth, </w:t>
      </w:r>
    </w:p>
    <w:p w14:paraId="2D35635F" w14:textId="77777777" w:rsidR="00890519" w:rsidRPr="00890519" w:rsidRDefault="00890519" w:rsidP="00890519">
      <w:pPr>
        <w:widowControl/>
        <w:autoSpaceDE/>
        <w:autoSpaceDN/>
        <w:spacing w:before="100" w:beforeAutospacing="1" w:after="100" w:afterAutospacing="1"/>
        <w:ind w:left="720"/>
        <w:rPr>
          <w:rFonts w:ascii="SymbolMT" w:eastAsia="Times New Roman" w:hAnsi="SymbolMT" w:cs="Times New Roman"/>
          <w:lang w:val="en-AU" w:eastAsia="en-GB"/>
        </w:rPr>
      </w:pPr>
      <w:r w:rsidRPr="00890519">
        <w:rPr>
          <w:rFonts w:ascii="ArialMT" w:eastAsia="Times New Roman" w:hAnsi="ArialMT" w:cs="Times New Roman"/>
          <w:lang w:val="en-AU" w:eastAsia="en-GB"/>
        </w:rPr>
        <w:t xml:space="preserve">or constant growth) </w:t>
      </w:r>
    </w:p>
    <w:p w14:paraId="7431EC74" w14:textId="77777777" w:rsidR="00890519" w:rsidRPr="00890519" w:rsidRDefault="00890519" w:rsidP="0089051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lang w:val="en-AU" w:eastAsia="en-GB"/>
        </w:rPr>
      </w:pPr>
      <w:r w:rsidRPr="00890519">
        <w:rPr>
          <w:rFonts w:ascii="ArialMT" w:eastAsia="Times New Roman" w:hAnsi="ArialMT" w:cs="Times New Roman"/>
          <w:lang w:val="en-AU" w:eastAsia="en-GB"/>
        </w:rPr>
        <w:t xml:space="preserve">When and by how much dividends will change over the time period </w:t>
      </w:r>
    </w:p>
    <w:p w14:paraId="3A492024" w14:textId="77777777" w:rsidR="00890519" w:rsidRPr="00890519" w:rsidRDefault="00890519" w:rsidP="0089051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lang w:val="en-AU" w:eastAsia="en-GB"/>
        </w:rPr>
      </w:pPr>
      <w:r w:rsidRPr="00890519">
        <w:rPr>
          <w:rFonts w:ascii="ArialMT" w:eastAsia="Times New Roman" w:hAnsi="ArialMT" w:cs="Times New Roman"/>
          <w:lang w:val="en-AU" w:eastAsia="en-GB"/>
        </w:rPr>
        <w:t xml:space="preserve">Payout ratio and required return remain constant </w:t>
      </w:r>
    </w:p>
    <w:p w14:paraId="2262E49D" w14:textId="77777777" w:rsidR="00890519" w:rsidRPr="00890519" w:rsidRDefault="00890519" w:rsidP="00890519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lang w:val="en-AU" w:eastAsia="en-GB"/>
        </w:rPr>
      </w:pPr>
      <w:r w:rsidRPr="00890519">
        <w:rPr>
          <w:rFonts w:ascii="ArialMT" w:eastAsia="Times New Roman" w:hAnsi="ArialMT" w:cs="Times New Roman"/>
          <w:lang w:val="en-AU" w:eastAsia="en-GB"/>
        </w:rPr>
        <w:t xml:space="preserve">The company will continue to pay out regular dividend. </w:t>
      </w:r>
    </w:p>
    <w:p w14:paraId="1BF6CE8A" w14:textId="77777777" w:rsidR="00890519" w:rsidRDefault="00890519">
      <w:pPr>
        <w:pStyle w:val="BodyText"/>
        <w:rPr>
          <w:sz w:val="26"/>
          <w:u w:val="none"/>
        </w:rPr>
      </w:pPr>
    </w:p>
    <w:p w14:paraId="7F9BE736" w14:textId="77777777" w:rsidR="00736B56" w:rsidRDefault="00736B56">
      <w:pPr>
        <w:pStyle w:val="BodyText"/>
        <w:rPr>
          <w:sz w:val="26"/>
          <w:u w:val="none"/>
        </w:rPr>
      </w:pPr>
    </w:p>
    <w:p w14:paraId="1B0208F7" w14:textId="77777777" w:rsidR="00736B56" w:rsidRDefault="00736B56">
      <w:pPr>
        <w:pStyle w:val="BodyText"/>
        <w:rPr>
          <w:sz w:val="26"/>
          <w:u w:val="none"/>
        </w:rPr>
      </w:pPr>
    </w:p>
    <w:p w14:paraId="381EB96F" w14:textId="77777777" w:rsidR="00736B56" w:rsidRDefault="00736B56">
      <w:pPr>
        <w:pStyle w:val="BodyText"/>
        <w:rPr>
          <w:sz w:val="26"/>
          <w:u w:val="none"/>
        </w:rPr>
      </w:pPr>
    </w:p>
    <w:p w14:paraId="0DBC98AA" w14:textId="77777777" w:rsidR="00736B56" w:rsidRDefault="00736B56">
      <w:pPr>
        <w:pStyle w:val="BodyText"/>
        <w:spacing w:before="2"/>
        <w:rPr>
          <w:sz w:val="21"/>
          <w:u w:val="none"/>
        </w:rPr>
      </w:pPr>
    </w:p>
    <w:p w14:paraId="17397439" w14:textId="77777777" w:rsidR="00736B56" w:rsidRDefault="00E8749C">
      <w:pPr>
        <w:pStyle w:val="BodyText"/>
        <w:ind w:left="1040"/>
        <w:rPr>
          <w:u w:val="none"/>
        </w:rPr>
      </w:pPr>
      <w:r>
        <w:t>Intrinsic Share Price</w:t>
      </w:r>
    </w:p>
    <w:p w14:paraId="122C669B" w14:textId="77777777" w:rsidR="00736B56" w:rsidRDefault="00736B56">
      <w:pPr>
        <w:pStyle w:val="BodyText"/>
        <w:spacing w:before="4"/>
        <w:rPr>
          <w:sz w:val="23"/>
          <w:u w:val="none"/>
        </w:rPr>
      </w:pPr>
    </w:p>
    <w:p w14:paraId="4C690F1E" w14:textId="77777777" w:rsidR="00736B56" w:rsidRDefault="00E8749C">
      <w:pPr>
        <w:pStyle w:val="BodyText"/>
        <w:spacing w:before="92"/>
        <w:ind w:left="1040"/>
        <w:rPr>
          <w:u w:val="none"/>
        </w:rPr>
      </w:pPr>
      <w:r>
        <w:rPr>
          <w:u w:val="none"/>
        </w:rPr>
        <w:t>Calculate company share price (see video on canvas)</w:t>
      </w:r>
    </w:p>
    <w:p w14:paraId="26AF421F" w14:textId="77777777" w:rsidR="00736B56" w:rsidRDefault="00736B56"/>
    <w:p w14:paraId="7575BE53" w14:textId="4BF8E67E" w:rsidR="00890519" w:rsidRDefault="00890519">
      <w:pPr>
        <w:sectPr w:rsidR="00890519">
          <w:pgSz w:w="12240" w:h="15840"/>
          <w:pgMar w:top="1300" w:right="0" w:bottom="1200" w:left="760" w:header="0" w:footer="1002" w:gutter="0"/>
          <w:cols w:space="720"/>
        </w:sectPr>
      </w:pPr>
    </w:p>
    <w:p w14:paraId="41135A7B" w14:textId="33D2E86A" w:rsidR="00736B56" w:rsidRDefault="00E8749C">
      <w:pPr>
        <w:pStyle w:val="Heading1"/>
        <w:spacing w:before="75"/>
        <w:rPr>
          <w:color w:val="2D73B5"/>
          <w:u w:val="thick" w:color="2D73B5"/>
        </w:rPr>
      </w:pPr>
      <w:bookmarkStart w:id="21" w:name="8.0_COMPANY_EVALUATION"/>
      <w:bookmarkStart w:id="22" w:name="_bookmark10"/>
      <w:bookmarkEnd w:id="21"/>
      <w:bookmarkEnd w:id="22"/>
      <w:r>
        <w:rPr>
          <w:color w:val="2D73B5"/>
          <w:u w:val="none"/>
        </w:rPr>
        <w:lastRenderedPageBreak/>
        <w:t xml:space="preserve">8.0 </w:t>
      </w:r>
      <w:r>
        <w:rPr>
          <w:color w:val="2D73B5"/>
          <w:u w:val="thick" w:color="2D73B5"/>
        </w:rPr>
        <w:t>COMPANY EVALUATION</w:t>
      </w:r>
    </w:p>
    <w:p w14:paraId="35024B23" w14:textId="77777777" w:rsidR="00276AC1" w:rsidRDefault="00276AC1" w:rsidP="00276AC1">
      <w:pPr>
        <w:keepNext/>
        <w:ind w:left="567" w:hanging="567"/>
        <w:rPr>
          <w:b/>
          <w:bCs/>
          <w:sz w:val="24"/>
          <w:lang w:val="en-AU"/>
        </w:rPr>
      </w:pPr>
      <w:r w:rsidRPr="004B2ABD">
        <w:rPr>
          <w:b/>
          <w:bCs/>
          <w:sz w:val="24"/>
          <w:lang w:val="en-AU"/>
        </w:rPr>
        <w:t>Apply Relative Valuation techniques to ascertain the valuation of the firm</w:t>
      </w:r>
    </w:p>
    <w:p w14:paraId="3409468C" w14:textId="77777777" w:rsidR="00276AC1" w:rsidRPr="004B2ABD" w:rsidRDefault="00276AC1" w:rsidP="00276AC1">
      <w:pPr>
        <w:keepNext/>
        <w:ind w:left="567" w:hanging="567"/>
        <w:rPr>
          <w:b/>
          <w:bCs/>
          <w:sz w:val="24"/>
          <w:lang w:val="en-AU"/>
        </w:rPr>
      </w:pPr>
    </w:p>
    <w:p w14:paraId="62E4319D" w14:textId="77777777" w:rsidR="00276AC1" w:rsidRPr="004B2ABD" w:rsidRDefault="00276AC1" w:rsidP="00276AC1">
      <w:pPr>
        <w:pStyle w:val="ListParagraph"/>
        <w:widowControl/>
        <w:numPr>
          <w:ilvl w:val="0"/>
          <w:numId w:val="13"/>
        </w:numPr>
        <w:autoSpaceDE/>
        <w:autoSpaceDN/>
        <w:spacing w:before="0" w:line="360" w:lineRule="auto"/>
        <w:ind w:left="927"/>
        <w:contextualSpacing/>
        <w:jc w:val="both"/>
        <w:rPr>
          <w:sz w:val="24"/>
          <w:lang w:val="en-AU"/>
        </w:rPr>
      </w:pPr>
      <w:r w:rsidRPr="004B2ABD">
        <w:rPr>
          <w:i/>
          <w:iCs/>
          <w:sz w:val="24"/>
          <w:lang w:val="en-AU"/>
        </w:rPr>
        <w:t>calculate</w:t>
      </w:r>
      <w:r w:rsidRPr="004B2ABD">
        <w:rPr>
          <w:sz w:val="24"/>
          <w:lang w:val="en-AU"/>
        </w:rPr>
        <w:t xml:space="preserve"> and </w:t>
      </w:r>
      <w:r w:rsidRPr="004B2ABD">
        <w:rPr>
          <w:i/>
          <w:iCs/>
          <w:sz w:val="24"/>
          <w:lang w:val="en-AU"/>
        </w:rPr>
        <w:t>compare</w:t>
      </w:r>
      <w:r w:rsidRPr="004B2ABD">
        <w:rPr>
          <w:sz w:val="24"/>
          <w:lang w:val="en-AU"/>
        </w:rPr>
        <w:t xml:space="preserve"> multiples such as Price-to-Book, Price-to-Earnings and Price-to-Cash Flow</w:t>
      </w:r>
      <w:r>
        <w:rPr>
          <w:sz w:val="24"/>
          <w:lang w:val="en-AU"/>
        </w:rPr>
        <w:t xml:space="preserve"> or Price-to-Sales</w:t>
      </w:r>
      <w:r w:rsidRPr="004B2ABD">
        <w:rPr>
          <w:sz w:val="24"/>
          <w:lang w:val="en-AU"/>
        </w:rPr>
        <w:t xml:space="preserve"> for the company and its peers</w:t>
      </w:r>
    </w:p>
    <w:p w14:paraId="67503C2F" w14:textId="77777777" w:rsidR="00276AC1" w:rsidRPr="004B2ABD" w:rsidRDefault="00276AC1" w:rsidP="00276AC1">
      <w:pPr>
        <w:pStyle w:val="ListParagraph"/>
        <w:widowControl/>
        <w:numPr>
          <w:ilvl w:val="0"/>
          <w:numId w:val="13"/>
        </w:numPr>
        <w:autoSpaceDE/>
        <w:autoSpaceDN/>
        <w:spacing w:before="0" w:line="360" w:lineRule="auto"/>
        <w:ind w:left="927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determine the relative valuation of the firm using these multiples (do not attempt to calculate the share price)</w:t>
      </w:r>
    </w:p>
    <w:p w14:paraId="0C21C359" w14:textId="77777777" w:rsidR="00276AC1" w:rsidRPr="004B2ABD" w:rsidRDefault="00276AC1" w:rsidP="00276AC1">
      <w:pPr>
        <w:pStyle w:val="ListParagraph"/>
        <w:widowControl/>
        <w:numPr>
          <w:ilvl w:val="1"/>
          <w:numId w:val="14"/>
        </w:numPr>
        <w:autoSpaceDE/>
        <w:autoSpaceDN/>
        <w:spacing w:before="0" w:line="360" w:lineRule="auto"/>
        <w:ind w:left="927"/>
        <w:contextualSpacing/>
        <w:jc w:val="both"/>
        <w:rPr>
          <w:color w:val="4F81BD" w:themeColor="accent1"/>
          <w:sz w:val="24"/>
          <w:lang w:val="en-AU"/>
        </w:rPr>
      </w:pPr>
      <w:r w:rsidRPr="004B2ABD">
        <w:rPr>
          <w:i/>
          <w:iCs/>
          <w:color w:val="4F81BD" w:themeColor="accent1"/>
          <w:sz w:val="24"/>
          <w:lang w:val="en-AU"/>
        </w:rPr>
        <w:t>analyse</w:t>
      </w:r>
      <w:r w:rsidRPr="004B2ABD">
        <w:rPr>
          <w:color w:val="4F81BD" w:themeColor="accent1"/>
          <w:sz w:val="24"/>
          <w:lang w:val="en-AU"/>
        </w:rPr>
        <w:t xml:space="preserve"> and </w:t>
      </w:r>
      <w:r w:rsidRPr="004B2ABD">
        <w:rPr>
          <w:i/>
          <w:iCs/>
          <w:color w:val="4F81BD" w:themeColor="accent1"/>
          <w:sz w:val="24"/>
          <w:lang w:val="en-AU"/>
        </w:rPr>
        <w:t>comment</w:t>
      </w:r>
      <w:r w:rsidRPr="004B2ABD">
        <w:rPr>
          <w:color w:val="4F81BD" w:themeColor="accent1"/>
          <w:sz w:val="24"/>
          <w:lang w:val="en-AU"/>
        </w:rPr>
        <w:t xml:space="preserve"> on the relative valuation of the firm in comparison to its peers</w:t>
      </w:r>
    </w:p>
    <w:p w14:paraId="3D2AFB95" w14:textId="77777777" w:rsidR="00276AC1" w:rsidRDefault="00276AC1" w:rsidP="00276AC1">
      <w:pPr>
        <w:pStyle w:val="Heading1"/>
        <w:spacing w:before="75"/>
        <w:ind w:left="0"/>
        <w:rPr>
          <w:u w:val="none"/>
        </w:rPr>
      </w:pPr>
    </w:p>
    <w:p w14:paraId="1E8302EB" w14:textId="77777777" w:rsidR="00736B56" w:rsidRDefault="00736B56">
      <w:pPr>
        <w:pStyle w:val="BodyText"/>
        <w:rPr>
          <w:b/>
          <w:sz w:val="20"/>
          <w:u w:val="none"/>
        </w:rPr>
      </w:pPr>
    </w:p>
    <w:p w14:paraId="2313A9DE" w14:textId="633C771D" w:rsidR="00736B56" w:rsidRDefault="00E8749C">
      <w:pPr>
        <w:pStyle w:val="BodyText"/>
        <w:spacing w:before="221"/>
        <w:ind w:left="1040"/>
        <w:rPr>
          <w:u w:val="none"/>
        </w:rPr>
      </w:pPr>
      <w:r>
        <w:rPr>
          <w:u w:val="none"/>
        </w:rPr>
        <w:t>Based on DDM, is the company overvalued or undervalued?</w:t>
      </w:r>
    </w:p>
    <w:p w14:paraId="5A02F508" w14:textId="77777777" w:rsidR="00AA086D" w:rsidRDefault="00AA086D" w:rsidP="00AA086D">
      <w:pPr>
        <w:ind w:left="567" w:hanging="567"/>
        <w:rPr>
          <w:b/>
          <w:bCs/>
          <w:sz w:val="24"/>
          <w:lang w:val="en-AU"/>
        </w:rPr>
      </w:pPr>
      <w:r w:rsidRPr="004B2ABD">
        <w:rPr>
          <w:b/>
          <w:bCs/>
          <w:sz w:val="24"/>
          <w:lang w:val="en-AU"/>
        </w:rPr>
        <w:t>Evaluate your findings</w:t>
      </w:r>
    </w:p>
    <w:p w14:paraId="3E7F0F78" w14:textId="77777777" w:rsidR="00AA086D" w:rsidRPr="004B2ABD" w:rsidRDefault="00AA086D" w:rsidP="00AA086D">
      <w:pPr>
        <w:ind w:left="567" w:hanging="567"/>
        <w:rPr>
          <w:b/>
          <w:bCs/>
          <w:sz w:val="24"/>
          <w:lang w:val="en-AU"/>
        </w:rPr>
      </w:pPr>
    </w:p>
    <w:p w14:paraId="2B814716" w14:textId="77777777" w:rsidR="00AA086D" w:rsidRPr="004B2ABD" w:rsidRDefault="00AA086D" w:rsidP="00AA086D">
      <w:pPr>
        <w:pStyle w:val="ListParagraph"/>
        <w:widowControl/>
        <w:numPr>
          <w:ilvl w:val="0"/>
          <w:numId w:val="13"/>
        </w:numPr>
        <w:autoSpaceDE/>
        <w:autoSpaceDN/>
        <w:spacing w:before="0" w:line="360" w:lineRule="auto"/>
        <w:ind w:left="1134" w:hanging="567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Why do the intrinsic values you have calculated differ from the current/recent share price?</w:t>
      </w:r>
    </w:p>
    <w:p w14:paraId="1990DE54" w14:textId="77777777" w:rsidR="00AA086D" w:rsidRPr="004B2ABD" w:rsidRDefault="00AA086D" w:rsidP="00AA086D">
      <w:pPr>
        <w:pStyle w:val="ListParagraph"/>
        <w:widowControl/>
        <w:numPr>
          <w:ilvl w:val="0"/>
          <w:numId w:val="13"/>
        </w:numPr>
        <w:autoSpaceDE/>
        <w:autoSpaceDN/>
        <w:spacing w:before="0" w:line="360" w:lineRule="auto"/>
        <w:ind w:left="1134" w:hanging="567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How does this difference inform your investment recommendation?</w:t>
      </w:r>
    </w:p>
    <w:p w14:paraId="65ADECFE" w14:textId="77777777" w:rsidR="00AA086D" w:rsidRPr="004B2ABD" w:rsidRDefault="00AA086D" w:rsidP="00AA086D">
      <w:pPr>
        <w:pStyle w:val="ListParagraph"/>
        <w:widowControl/>
        <w:numPr>
          <w:ilvl w:val="0"/>
          <w:numId w:val="13"/>
        </w:numPr>
        <w:autoSpaceDE/>
        <w:autoSpaceDN/>
        <w:spacing w:before="0" w:line="360" w:lineRule="auto"/>
        <w:ind w:left="1134" w:hanging="567"/>
        <w:contextualSpacing/>
        <w:jc w:val="both"/>
        <w:rPr>
          <w:sz w:val="24"/>
          <w:lang w:val="en-AU"/>
        </w:rPr>
      </w:pPr>
      <w:r>
        <w:rPr>
          <w:sz w:val="24"/>
          <w:lang w:val="en-AU"/>
        </w:rPr>
        <w:t>W</w:t>
      </w:r>
      <w:r w:rsidRPr="004B2ABD">
        <w:rPr>
          <w:sz w:val="24"/>
          <w:lang w:val="en-AU"/>
        </w:rPr>
        <w:t>hat is your investment decision based on your evaluation?</w:t>
      </w:r>
    </w:p>
    <w:p w14:paraId="5C69BA1E" w14:textId="77777777" w:rsidR="00AA086D" w:rsidRPr="004B2ABD" w:rsidRDefault="00AA086D" w:rsidP="00AA086D">
      <w:pPr>
        <w:widowControl/>
        <w:numPr>
          <w:ilvl w:val="1"/>
          <w:numId w:val="15"/>
        </w:numPr>
        <w:autoSpaceDE/>
        <w:autoSpaceDN/>
        <w:spacing w:line="360" w:lineRule="auto"/>
        <w:jc w:val="both"/>
        <w:rPr>
          <w:color w:val="4F81BD" w:themeColor="accent1"/>
          <w:sz w:val="24"/>
          <w:lang w:val="en-AU"/>
        </w:rPr>
      </w:pPr>
      <w:r w:rsidRPr="004B2ABD">
        <w:rPr>
          <w:color w:val="4F81BD" w:themeColor="accent1"/>
          <w:sz w:val="24"/>
          <w:lang w:val="en-AU"/>
        </w:rPr>
        <w:t>Is your recommendation to Buy, Sell or Hold shares in this company?</w:t>
      </w:r>
    </w:p>
    <w:p w14:paraId="5F15F5AD" w14:textId="77777777" w:rsidR="00AA086D" w:rsidRPr="004B2ABD" w:rsidRDefault="00AA086D" w:rsidP="00AA086D">
      <w:pPr>
        <w:pStyle w:val="ListParagraph"/>
        <w:widowControl/>
        <w:numPr>
          <w:ilvl w:val="0"/>
          <w:numId w:val="13"/>
        </w:numPr>
        <w:autoSpaceDE/>
        <w:autoSpaceDN/>
        <w:spacing w:before="0" w:line="360" w:lineRule="auto"/>
        <w:ind w:left="1134" w:hanging="567"/>
        <w:contextualSpacing/>
        <w:jc w:val="both"/>
        <w:rPr>
          <w:sz w:val="24"/>
          <w:lang w:val="en-AU"/>
        </w:rPr>
      </w:pPr>
      <w:r w:rsidRPr="004B2ABD">
        <w:rPr>
          <w:sz w:val="24"/>
          <w:lang w:val="en-AU"/>
        </w:rPr>
        <w:t>Is it different from the signal obtained from the technical analysis? Why?</w:t>
      </w:r>
    </w:p>
    <w:p w14:paraId="687ED373" w14:textId="77777777" w:rsidR="00AA086D" w:rsidRPr="00856C59" w:rsidRDefault="00AA086D" w:rsidP="00AA086D">
      <w:pPr>
        <w:pStyle w:val="ListParagraph"/>
        <w:widowControl/>
        <w:numPr>
          <w:ilvl w:val="0"/>
          <w:numId w:val="13"/>
        </w:numPr>
        <w:autoSpaceDE/>
        <w:autoSpaceDN/>
        <w:spacing w:before="0" w:line="360" w:lineRule="auto"/>
        <w:ind w:left="1134" w:hanging="567"/>
        <w:contextualSpacing/>
        <w:jc w:val="both"/>
        <w:rPr>
          <w:sz w:val="24"/>
          <w:lang w:val="en-AU"/>
        </w:rPr>
      </w:pPr>
      <w:r w:rsidRPr="00AA7310">
        <w:rPr>
          <w:sz w:val="24"/>
          <w:lang w:val="en-AU"/>
        </w:rPr>
        <w:t>Does your qualitative analysis agree with your quantitative analysis? If not, why not</w:t>
      </w:r>
      <w:r>
        <w:rPr>
          <w:sz w:val="24"/>
          <w:lang w:val="en-AU"/>
        </w:rPr>
        <w:t>?</w:t>
      </w:r>
    </w:p>
    <w:p w14:paraId="21B28E1F" w14:textId="77777777" w:rsidR="00AA086D" w:rsidRDefault="00AA086D" w:rsidP="00AA086D">
      <w:pPr>
        <w:pStyle w:val="BodyText"/>
        <w:spacing w:before="221"/>
        <w:rPr>
          <w:u w:val="none"/>
        </w:rPr>
      </w:pPr>
    </w:p>
    <w:p w14:paraId="446881D7" w14:textId="77777777" w:rsidR="00736B56" w:rsidRDefault="00736B56">
      <w:pPr>
        <w:pStyle w:val="BodyText"/>
        <w:rPr>
          <w:sz w:val="26"/>
          <w:u w:val="none"/>
        </w:rPr>
      </w:pPr>
    </w:p>
    <w:p w14:paraId="7849E6ED" w14:textId="77777777" w:rsidR="00736B56" w:rsidRDefault="00736B56">
      <w:pPr>
        <w:pStyle w:val="BodyText"/>
        <w:rPr>
          <w:sz w:val="26"/>
          <w:u w:val="none"/>
        </w:rPr>
      </w:pPr>
    </w:p>
    <w:p w14:paraId="462CF96C" w14:textId="77777777" w:rsidR="00736B56" w:rsidRDefault="00736B56">
      <w:pPr>
        <w:pStyle w:val="BodyText"/>
        <w:rPr>
          <w:sz w:val="26"/>
          <w:u w:val="none"/>
        </w:rPr>
      </w:pPr>
    </w:p>
    <w:p w14:paraId="466990A8" w14:textId="77777777" w:rsidR="00736B56" w:rsidRDefault="00736B56">
      <w:pPr>
        <w:pStyle w:val="BodyText"/>
        <w:spacing w:before="11"/>
        <w:rPr>
          <w:sz w:val="27"/>
          <w:u w:val="none"/>
        </w:rPr>
      </w:pPr>
    </w:p>
    <w:p w14:paraId="5ADF5080" w14:textId="781228F8" w:rsidR="00736B56" w:rsidRDefault="00E8749C">
      <w:pPr>
        <w:pStyle w:val="Heading1"/>
        <w:ind w:left="1042"/>
        <w:rPr>
          <w:color w:val="2D73B5"/>
          <w:u w:val="thick" w:color="2D73B5"/>
        </w:rPr>
      </w:pPr>
      <w:bookmarkStart w:id="23" w:name="9.0_APPENDICES"/>
      <w:bookmarkStart w:id="24" w:name="_bookmark11"/>
      <w:bookmarkEnd w:id="23"/>
      <w:bookmarkEnd w:id="24"/>
      <w:r>
        <w:rPr>
          <w:color w:val="2D73B5"/>
          <w:u w:val="none"/>
        </w:rPr>
        <w:t xml:space="preserve">9.0 </w:t>
      </w:r>
      <w:r>
        <w:rPr>
          <w:color w:val="2D73B5"/>
          <w:u w:val="thick" w:color="2D73B5"/>
        </w:rPr>
        <w:t>APPENDICES</w:t>
      </w:r>
    </w:p>
    <w:p w14:paraId="6BBAABB3" w14:textId="7359EABC" w:rsidR="009D10B7" w:rsidRDefault="009D10B7">
      <w:pPr>
        <w:pStyle w:val="Heading1"/>
        <w:ind w:left="1042"/>
        <w:rPr>
          <w:u w:val="none"/>
        </w:rPr>
      </w:pPr>
    </w:p>
    <w:p w14:paraId="5B8F201D" w14:textId="483F114C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APPENDIX 1</w:t>
      </w:r>
    </w:p>
    <w:p w14:paraId="36877550" w14:textId="7BFC4BC7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Peer comparison</w:t>
      </w:r>
    </w:p>
    <w:p w14:paraId="18F41CE3" w14:textId="157D2DA4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Ratio comparison data/tables</w:t>
      </w:r>
    </w:p>
    <w:p w14:paraId="7E4CAD17" w14:textId="5E993441" w:rsidR="009D10B7" w:rsidRDefault="009D10B7">
      <w:pPr>
        <w:pStyle w:val="Heading1"/>
        <w:ind w:left="1042"/>
        <w:rPr>
          <w:u w:val="none"/>
        </w:rPr>
      </w:pPr>
    </w:p>
    <w:p w14:paraId="367686D8" w14:textId="663DE7A3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Appendix</w:t>
      </w:r>
    </w:p>
    <w:p w14:paraId="6FEC4F6C" w14:textId="28110DD9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Calculations</w:t>
      </w:r>
    </w:p>
    <w:p w14:paraId="314CF3EE" w14:textId="4FB52D55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Definitions</w:t>
      </w:r>
    </w:p>
    <w:p w14:paraId="749904B2" w14:textId="1DDF6C55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ROE Calculation data for</w:t>
      </w:r>
    </w:p>
    <w:p w14:paraId="1143D1F7" w14:textId="1485100B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Rio Tinto</w:t>
      </w:r>
    </w:p>
    <w:p w14:paraId="4FC53157" w14:textId="0F932F3B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lastRenderedPageBreak/>
        <w:t>BHP</w:t>
      </w:r>
    </w:p>
    <w:p w14:paraId="1C87A734" w14:textId="1F4BCCBA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Hancock</w:t>
      </w:r>
    </w:p>
    <w:p w14:paraId="39F9B8DD" w14:textId="1D715091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Atlas Iron</w:t>
      </w:r>
    </w:p>
    <w:p w14:paraId="1F2C9276" w14:textId="0BFB6CCC" w:rsidR="009D10B7" w:rsidRDefault="009D10B7">
      <w:pPr>
        <w:pStyle w:val="Heading1"/>
        <w:ind w:left="1042"/>
        <w:rPr>
          <w:u w:val="none"/>
        </w:rPr>
      </w:pPr>
    </w:p>
    <w:p w14:paraId="47897CDD" w14:textId="23C008F8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Tables/graph data</w:t>
      </w:r>
    </w:p>
    <w:p w14:paraId="1924E75D" w14:textId="37CCA963" w:rsidR="009D10B7" w:rsidRDefault="009D10B7">
      <w:pPr>
        <w:pStyle w:val="Heading1"/>
        <w:ind w:left="1042"/>
        <w:rPr>
          <w:u w:val="none"/>
        </w:rPr>
      </w:pPr>
    </w:p>
    <w:p w14:paraId="418B0332" w14:textId="65AAD990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Appendix 4</w:t>
      </w:r>
    </w:p>
    <w:p w14:paraId="666965FE" w14:textId="63EE1F62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CAPM</w:t>
      </w:r>
    </w:p>
    <w:p w14:paraId="4136EF48" w14:textId="24E3FDAE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Determinants</w:t>
      </w:r>
    </w:p>
    <w:p w14:paraId="5987B3F5" w14:textId="4FC66776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Inputs</w:t>
      </w:r>
    </w:p>
    <w:p w14:paraId="097BEC97" w14:textId="545CC53F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Calculation/Equation</w:t>
      </w:r>
    </w:p>
    <w:p w14:paraId="0607F13C" w14:textId="79BE3B1F" w:rsidR="009D10B7" w:rsidRDefault="009D10B7">
      <w:pPr>
        <w:pStyle w:val="Heading1"/>
        <w:ind w:left="1042"/>
        <w:rPr>
          <w:u w:val="none"/>
        </w:rPr>
      </w:pPr>
    </w:p>
    <w:p w14:paraId="11EF1A89" w14:textId="1EA773D5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Beta Excel output</w:t>
      </w:r>
    </w:p>
    <w:p w14:paraId="19137CB6" w14:textId="1BA40CCA" w:rsidR="009D10B7" w:rsidRDefault="009D10B7">
      <w:pPr>
        <w:pStyle w:val="Heading1"/>
        <w:ind w:left="1042"/>
        <w:rPr>
          <w:u w:val="none"/>
        </w:rPr>
      </w:pPr>
    </w:p>
    <w:p w14:paraId="7F8B5D79" w14:textId="0C72A68E" w:rsidR="009D10B7" w:rsidRDefault="009D10B7">
      <w:pPr>
        <w:pStyle w:val="Heading1"/>
        <w:ind w:left="1042"/>
        <w:rPr>
          <w:u w:val="none"/>
        </w:rPr>
      </w:pPr>
      <w:r>
        <w:rPr>
          <w:u w:val="none"/>
        </w:rPr>
        <w:t>Intrinsic Value</w:t>
      </w:r>
    </w:p>
    <w:p w14:paraId="256C52BB" w14:textId="1B2A2C57" w:rsidR="009D10B7" w:rsidRDefault="009D10B7">
      <w:pPr>
        <w:pStyle w:val="Heading1"/>
        <w:ind w:left="1042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Inputs</w:t>
      </w:r>
    </w:p>
    <w:p w14:paraId="3BF3C30C" w14:textId="0469B4B5" w:rsidR="009D10B7" w:rsidRDefault="009D10B7">
      <w:pPr>
        <w:pStyle w:val="Heading1"/>
        <w:ind w:left="1042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Required Return=CAPM=</w:t>
      </w:r>
      <w:r w:rsidR="00160D76">
        <w:rPr>
          <w:b w:val="0"/>
          <w:bCs w:val="0"/>
          <w:sz w:val="24"/>
          <w:szCs w:val="24"/>
          <w:u w:val="none"/>
        </w:rPr>
        <w:t>11</w:t>
      </w:r>
      <w:r>
        <w:rPr>
          <w:b w:val="0"/>
          <w:bCs w:val="0"/>
          <w:sz w:val="24"/>
          <w:szCs w:val="24"/>
          <w:u w:val="none"/>
        </w:rPr>
        <w:t>%</w:t>
      </w:r>
    </w:p>
    <w:p w14:paraId="4C4A942C" w14:textId="66463534" w:rsidR="009D10B7" w:rsidRDefault="009D10B7">
      <w:pPr>
        <w:pStyle w:val="Heading1"/>
        <w:ind w:left="1042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Previous dividend=$</w:t>
      </w:r>
      <w:r w:rsidR="00160D76">
        <w:rPr>
          <w:b w:val="0"/>
          <w:bCs w:val="0"/>
          <w:sz w:val="24"/>
          <w:szCs w:val="24"/>
          <w:u w:val="none"/>
        </w:rPr>
        <w:t>0.077</w:t>
      </w:r>
    </w:p>
    <w:p w14:paraId="3302ACFD" w14:textId="08B3248E" w:rsidR="00160D76" w:rsidRDefault="00160D76">
      <w:pPr>
        <w:pStyle w:val="Heading1"/>
        <w:ind w:left="1042"/>
        <w:rPr>
          <w:b w:val="0"/>
          <w:bCs w:val="0"/>
          <w:sz w:val="24"/>
          <w:szCs w:val="24"/>
          <w:u w:val="none"/>
        </w:rPr>
      </w:pPr>
    </w:p>
    <w:p w14:paraId="4FD56F01" w14:textId="77777777" w:rsidR="00160D76" w:rsidRDefault="00160D76" w:rsidP="00160D76">
      <w:pPr>
        <w:widowControl/>
        <w:autoSpaceDE/>
        <w:autoSpaceDN/>
        <w:spacing w:before="100" w:beforeAutospacing="1" w:after="100" w:afterAutospacing="1"/>
        <w:rPr>
          <w:rFonts w:ascii="ArialMT" w:eastAsia="Times New Roman" w:hAnsi="ArialMT" w:cs="Times New Roman"/>
          <w:lang w:val="en-AU" w:eastAsia="en-GB"/>
        </w:rPr>
      </w:pPr>
      <w:r w:rsidRPr="00160D76">
        <w:rPr>
          <w:rFonts w:ascii="ArialMT" w:eastAsia="Times New Roman" w:hAnsi="ArialMT" w:cs="Times New Roman"/>
          <w:lang w:val="en-AU" w:eastAsia="en-GB"/>
        </w:rPr>
        <w:t xml:space="preserve">Calculations for intrinsic value </w:t>
      </w:r>
    </w:p>
    <w:p w14:paraId="72658041" w14:textId="77777777" w:rsidR="00160D76" w:rsidRDefault="00160D76" w:rsidP="00160D76">
      <w:pPr>
        <w:widowControl/>
        <w:autoSpaceDE/>
        <w:autoSpaceDN/>
        <w:spacing w:before="100" w:beforeAutospacing="1" w:after="100" w:afterAutospacing="1"/>
        <w:rPr>
          <w:rFonts w:ascii="CambriaMath" w:eastAsia="Times New Roman" w:hAnsi="CambriaMath" w:cs="Times New Roman"/>
          <w:lang w:val="en-AU" w:eastAsia="en-GB"/>
        </w:rPr>
      </w:pPr>
      <w:r w:rsidRPr="00160D76">
        <w:rPr>
          <w:rFonts w:ascii="ArialMT" w:eastAsia="Times New Roman" w:hAnsi="ArialMT" w:cs="Times New Roman"/>
          <w:lang w:val="en-AU" w:eastAsia="en-GB"/>
        </w:rPr>
        <w:t>D</w:t>
      </w:r>
      <w:r w:rsidRPr="00160D76">
        <w:rPr>
          <w:rFonts w:ascii="CambriaMath" w:eastAsia="Times New Roman" w:hAnsi="CambriaMath" w:cs="Times New Roman"/>
          <w:lang w:val="en-AU" w:eastAsia="en-GB"/>
        </w:rPr>
        <w:t>1=</w:t>
      </w:r>
      <w:r w:rsidRPr="00160D76">
        <w:rPr>
          <w:rFonts w:ascii="Cambria Math" w:eastAsia="Times New Roman" w:hAnsi="Cambria Math" w:cs="Cambria Math"/>
          <w:lang w:val="en-AU" w:eastAsia="en-GB"/>
        </w:rPr>
        <w:t>𝐷𝑜</w:t>
      </w:r>
      <w:r w:rsidRPr="00160D76">
        <w:rPr>
          <w:rFonts w:ascii="CambriaMath" w:eastAsia="Times New Roman" w:hAnsi="CambriaMath" w:cs="Times New Roman"/>
          <w:lang w:val="en-AU" w:eastAsia="en-GB"/>
        </w:rPr>
        <w:t>∗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160D76">
        <w:rPr>
          <w:rFonts w:ascii="CambriaMath" w:eastAsia="Times New Roman" w:hAnsi="CambriaMath" w:cs="Times New Roman"/>
          <w:lang w:val="en-AU" w:eastAsia="en-GB"/>
        </w:rPr>
        <w:t>1+</w:t>
      </w:r>
      <w:proofErr w:type="gramStart"/>
      <w:r w:rsidRPr="00160D76">
        <w:rPr>
          <w:rFonts w:ascii="Cambria Math" w:eastAsia="Times New Roman" w:hAnsi="Cambria Math" w:cs="Cambria Math"/>
          <w:lang w:val="en-AU" w:eastAsia="en-GB"/>
        </w:rPr>
        <w:t>𝑔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160D76">
        <w:rPr>
          <w:rFonts w:ascii="CambriaMath" w:eastAsia="Times New Roman" w:hAnsi="CambriaMath" w:cs="Times New Roman"/>
          <w:lang w:val="en-AU" w:eastAsia="en-GB"/>
        </w:rPr>
        <w:t>=</w:t>
      </w:r>
      <w:proofErr w:type="gramEnd"/>
      <w:r w:rsidRPr="00160D76">
        <w:rPr>
          <w:rFonts w:ascii="CambriaMath" w:eastAsia="Times New Roman" w:hAnsi="CambriaMath" w:cs="Times New Roman"/>
          <w:lang w:val="en-AU" w:eastAsia="en-GB"/>
        </w:rPr>
        <w:t xml:space="preserve"> .077∗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160D76">
        <w:rPr>
          <w:rFonts w:ascii="CambriaMath" w:eastAsia="Times New Roman" w:hAnsi="CambriaMath" w:cs="Times New Roman"/>
          <w:lang w:val="en-AU" w:eastAsia="en-GB"/>
        </w:rPr>
        <w:t>1+0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160D76">
        <w:rPr>
          <w:rFonts w:ascii="CambriaMath" w:eastAsia="Times New Roman" w:hAnsi="CambriaMath" w:cs="Times New Roman"/>
          <w:lang w:val="en-AU" w:eastAsia="en-GB"/>
        </w:rPr>
        <w:t xml:space="preserve">=.077 </w:t>
      </w:r>
    </w:p>
    <w:p w14:paraId="11BD0320" w14:textId="77777777" w:rsidR="00160D76" w:rsidRDefault="00160D76" w:rsidP="00160D76">
      <w:pPr>
        <w:widowControl/>
        <w:autoSpaceDE/>
        <w:autoSpaceDN/>
        <w:spacing w:before="100" w:beforeAutospacing="1" w:after="100" w:afterAutospacing="1"/>
        <w:rPr>
          <w:rFonts w:ascii="CambriaMath" w:eastAsia="Times New Roman" w:hAnsi="CambriaMath" w:cs="Times New Roman"/>
          <w:lang w:val="en-AU" w:eastAsia="en-GB"/>
        </w:rPr>
      </w:pPr>
      <w:r w:rsidRPr="00160D76">
        <w:rPr>
          <w:rFonts w:ascii="ArialMT" w:eastAsia="Times New Roman" w:hAnsi="ArialMT" w:cs="Times New Roman"/>
          <w:lang w:val="en-AU" w:eastAsia="en-GB"/>
        </w:rPr>
        <w:t>D</w:t>
      </w:r>
      <w:r w:rsidRPr="00160D76">
        <w:rPr>
          <w:rFonts w:ascii="CambriaMath" w:eastAsia="Times New Roman" w:hAnsi="CambriaMath" w:cs="Times New Roman"/>
          <w:lang w:val="en-AU" w:eastAsia="en-GB"/>
        </w:rPr>
        <w:t>2=</w:t>
      </w:r>
      <w:r w:rsidRPr="00160D76">
        <w:rPr>
          <w:rFonts w:ascii="Cambria Math" w:eastAsia="Times New Roman" w:hAnsi="Cambria Math" w:cs="Cambria Math"/>
          <w:lang w:val="en-AU" w:eastAsia="en-GB"/>
        </w:rPr>
        <w:t>𝐷</w:t>
      </w:r>
      <w:r w:rsidRPr="00160D76">
        <w:rPr>
          <w:rFonts w:ascii="CambriaMath" w:eastAsia="Times New Roman" w:hAnsi="CambriaMath" w:cs="Times New Roman"/>
          <w:lang w:val="en-AU" w:eastAsia="en-GB"/>
        </w:rPr>
        <w:t>1∗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160D76">
        <w:rPr>
          <w:rFonts w:ascii="CambriaMath" w:eastAsia="Times New Roman" w:hAnsi="CambriaMath" w:cs="Times New Roman"/>
          <w:lang w:val="en-AU" w:eastAsia="en-GB"/>
        </w:rPr>
        <w:t>1+</w:t>
      </w:r>
      <w:proofErr w:type="gramStart"/>
      <w:r w:rsidRPr="00160D76">
        <w:rPr>
          <w:rFonts w:ascii="Cambria Math" w:eastAsia="Times New Roman" w:hAnsi="Cambria Math" w:cs="Cambria Math"/>
          <w:lang w:val="en-AU" w:eastAsia="en-GB"/>
        </w:rPr>
        <w:t>𝑔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160D76">
        <w:rPr>
          <w:rFonts w:ascii="CambriaMath" w:eastAsia="Times New Roman" w:hAnsi="CambriaMath" w:cs="Times New Roman"/>
          <w:lang w:val="en-AU" w:eastAsia="en-GB"/>
        </w:rPr>
        <w:t>=</w:t>
      </w:r>
      <w:proofErr w:type="gramEnd"/>
      <w:r w:rsidRPr="00160D76">
        <w:rPr>
          <w:rFonts w:ascii="CambriaMath" w:eastAsia="Times New Roman" w:hAnsi="CambriaMath" w:cs="Times New Roman"/>
          <w:lang w:val="en-AU" w:eastAsia="en-GB"/>
        </w:rPr>
        <w:t xml:space="preserve"> .077∗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160D76">
        <w:rPr>
          <w:rFonts w:ascii="CambriaMath" w:eastAsia="Times New Roman" w:hAnsi="CambriaMath" w:cs="Times New Roman"/>
          <w:lang w:val="en-AU" w:eastAsia="en-GB"/>
        </w:rPr>
        <w:t>1+.06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160D76">
        <w:rPr>
          <w:rFonts w:ascii="CambriaMath" w:eastAsia="Times New Roman" w:hAnsi="CambriaMath" w:cs="Times New Roman"/>
          <w:lang w:val="en-AU" w:eastAsia="en-GB"/>
        </w:rPr>
        <w:t xml:space="preserve">=.0.082 </w:t>
      </w:r>
    </w:p>
    <w:p w14:paraId="3E855963" w14:textId="77777777" w:rsidR="00160D76" w:rsidRDefault="00160D76" w:rsidP="00160D76">
      <w:pPr>
        <w:widowControl/>
        <w:autoSpaceDE/>
        <w:autoSpaceDN/>
        <w:spacing w:before="100" w:beforeAutospacing="1" w:after="100" w:afterAutospacing="1"/>
        <w:rPr>
          <w:rFonts w:ascii="CambriaMath" w:eastAsia="Times New Roman" w:hAnsi="CambriaMath" w:cs="Times New Roman"/>
          <w:lang w:val="en-AU" w:eastAsia="en-GB"/>
        </w:rPr>
      </w:pPr>
      <w:r w:rsidRPr="00160D76">
        <w:rPr>
          <w:rFonts w:ascii="ArialMT" w:eastAsia="Times New Roman" w:hAnsi="ArialMT" w:cs="Times New Roman"/>
          <w:lang w:val="en-AU" w:eastAsia="en-GB"/>
        </w:rPr>
        <w:t>D</w:t>
      </w:r>
      <w:r w:rsidRPr="00160D76">
        <w:rPr>
          <w:rFonts w:ascii="CambriaMath" w:eastAsia="Times New Roman" w:hAnsi="CambriaMath" w:cs="Times New Roman"/>
          <w:lang w:val="en-AU" w:eastAsia="en-GB"/>
        </w:rPr>
        <w:t>3=</w:t>
      </w:r>
      <w:r w:rsidRPr="00160D76">
        <w:rPr>
          <w:rFonts w:ascii="Cambria Math" w:eastAsia="Times New Roman" w:hAnsi="Cambria Math" w:cs="Cambria Math"/>
          <w:lang w:val="en-AU" w:eastAsia="en-GB"/>
        </w:rPr>
        <w:t>𝐷</w:t>
      </w:r>
      <w:r w:rsidRPr="00160D76">
        <w:rPr>
          <w:rFonts w:ascii="CambriaMath" w:eastAsia="Times New Roman" w:hAnsi="CambriaMath" w:cs="Times New Roman"/>
          <w:lang w:val="en-AU" w:eastAsia="en-GB"/>
        </w:rPr>
        <w:t>2∗(1+</w:t>
      </w:r>
      <w:proofErr w:type="gramStart"/>
      <w:r w:rsidRPr="00160D76">
        <w:rPr>
          <w:rFonts w:ascii="Cambria Math" w:eastAsia="Times New Roman" w:hAnsi="Cambria Math" w:cs="Cambria Math"/>
          <w:lang w:val="en-AU" w:eastAsia="en-GB"/>
        </w:rPr>
        <w:t>𝑔</w:t>
      </w:r>
      <w:r w:rsidRPr="00160D76">
        <w:rPr>
          <w:rFonts w:ascii="CambriaMath" w:eastAsia="Times New Roman" w:hAnsi="CambriaMath" w:cs="Times New Roman"/>
          <w:lang w:val="en-AU" w:eastAsia="en-GB"/>
        </w:rPr>
        <w:t>)=</w:t>
      </w:r>
      <w:proofErr w:type="gramEnd"/>
      <w:r w:rsidRPr="00160D76">
        <w:rPr>
          <w:rFonts w:ascii="CambriaMath" w:eastAsia="Times New Roman" w:hAnsi="CambriaMath" w:cs="Times New Roman"/>
          <w:lang w:val="en-AU" w:eastAsia="en-GB"/>
        </w:rPr>
        <w:t xml:space="preserve"> .082∗(1+.08)=.088 </w:t>
      </w:r>
    </w:p>
    <w:p w14:paraId="7DED236A" w14:textId="77777777" w:rsidR="00160D76" w:rsidRDefault="00160D76" w:rsidP="00160D76">
      <w:pPr>
        <w:widowControl/>
        <w:autoSpaceDE/>
        <w:autoSpaceDN/>
        <w:spacing w:before="100" w:beforeAutospacing="1" w:after="100" w:afterAutospacing="1"/>
        <w:rPr>
          <w:rFonts w:ascii="CambriaMath" w:eastAsia="Times New Roman" w:hAnsi="CambriaMath" w:cs="Times New Roman"/>
          <w:lang w:val="en-AU" w:eastAsia="en-GB"/>
        </w:rPr>
      </w:pPr>
      <w:r w:rsidRPr="00160D76">
        <w:rPr>
          <w:rFonts w:ascii="ArialMT" w:eastAsia="Times New Roman" w:hAnsi="ArialMT" w:cs="Times New Roman"/>
          <w:lang w:val="en-AU" w:eastAsia="en-GB"/>
        </w:rPr>
        <w:t>D</w:t>
      </w:r>
      <w:r w:rsidRPr="00160D76">
        <w:rPr>
          <w:rFonts w:ascii="CambriaMath" w:eastAsia="Times New Roman" w:hAnsi="CambriaMath" w:cs="Times New Roman"/>
          <w:lang w:val="en-AU" w:eastAsia="en-GB"/>
        </w:rPr>
        <w:t>4=</w:t>
      </w:r>
      <w:r w:rsidRPr="00160D76">
        <w:rPr>
          <w:rFonts w:ascii="Cambria Math" w:eastAsia="Times New Roman" w:hAnsi="Cambria Math" w:cs="Cambria Math"/>
          <w:lang w:val="en-AU" w:eastAsia="en-GB"/>
        </w:rPr>
        <w:t>𝐷</w:t>
      </w:r>
      <w:r w:rsidRPr="00160D76">
        <w:rPr>
          <w:rFonts w:ascii="CambriaMath" w:eastAsia="Times New Roman" w:hAnsi="CambriaMath" w:cs="Times New Roman"/>
          <w:lang w:val="en-AU" w:eastAsia="en-GB"/>
        </w:rPr>
        <w:t>3∗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160D76">
        <w:rPr>
          <w:rFonts w:ascii="CambriaMath" w:eastAsia="Times New Roman" w:hAnsi="CambriaMath" w:cs="Times New Roman"/>
          <w:lang w:val="en-AU" w:eastAsia="en-GB"/>
        </w:rPr>
        <w:t>1+</w:t>
      </w:r>
      <w:proofErr w:type="gramStart"/>
      <w:r w:rsidRPr="00160D76">
        <w:rPr>
          <w:rFonts w:ascii="Cambria Math" w:eastAsia="Times New Roman" w:hAnsi="Cambria Math" w:cs="Cambria Math"/>
          <w:lang w:val="en-AU" w:eastAsia="en-GB"/>
        </w:rPr>
        <w:t>𝑔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160D76">
        <w:rPr>
          <w:rFonts w:ascii="CambriaMath" w:eastAsia="Times New Roman" w:hAnsi="CambriaMath" w:cs="Times New Roman"/>
          <w:lang w:val="en-AU" w:eastAsia="en-GB"/>
        </w:rPr>
        <w:t>=</w:t>
      </w:r>
      <w:proofErr w:type="gramEnd"/>
      <w:r w:rsidRPr="00160D76">
        <w:rPr>
          <w:rFonts w:ascii="CambriaMath" w:eastAsia="Times New Roman" w:hAnsi="CambriaMath" w:cs="Times New Roman"/>
          <w:lang w:val="en-AU" w:eastAsia="en-GB"/>
        </w:rPr>
        <w:t xml:space="preserve"> .088∗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160D76">
        <w:rPr>
          <w:rFonts w:ascii="CambriaMath" w:eastAsia="Times New Roman" w:hAnsi="CambriaMath" w:cs="Times New Roman"/>
          <w:lang w:val="en-AU" w:eastAsia="en-GB"/>
        </w:rPr>
        <w:t>1+.05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160D76">
        <w:rPr>
          <w:rFonts w:ascii="CambriaMath" w:eastAsia="Times New Roman" w:hAnsi="CambriaMath" w:cs="Times New Roman"/>
          <w:lang w:val="en-AU" w:eastAsia="en-GB"/>
        </w:rPr>
        <w:t xml:space="preserve">=.093 </w:t>
      </w:r>
    </w:p>
    <w:p w14:paraId="4B486350" w14:textId="77777777" w:rsidR="00160D76" w:rsidRDefault="00160D76" w:rsidP="00160D76">
      <w:pPr>
        <w:widowControl/>
        <w:autoSpaceDE/>
        <w:autoSpaceDN/>
        <w:spacing w:before="100" w:beforeAutospacing="1" w:after="100" w:afterAutospacing="1"/>
        <w:rPr>
          <w:rFonts w:ascii="CambriaMath" w:eastAsia="Times New Roman" w:hAnsi="CambriaMath" w:cs="Times New Roman"/>
          <w:lang w:val="en-AU" w:eastAsia="en-GB"/>
        </w:rPr>
      </w:pPr>
      <w:r w:rsidRPr="00160D76">
        <w:rPr>
          <w:rFonts w:ascii="ArialMT" w:eastAsia="Times New Roman" w:hAnsi="ArialMT" w:cs="Times New Roman"/>
          <w:lang w:val="en-AU" w:eastAsia="en-GB"/>
        </w:rPr>
        <w:t>D</w:t>
      </w:r>
      <w:r w:rsidRPr="00160D76">
        <w:rPr>
          <w:rFonts w:ascii="CambriaMath" w:eastAsia="Times New Roman" w:hAnsi="CambriaMath" w:cs="Times New Roman"/>
          <w:lang w:val="en-AU" w:eastAsia="en-GB"/>
        </w:rPr>
        <w:t>5=</w:t>
      </w:r>
      <w:r w:rsidRPr="00160D76">
        <w:rPr>
          <w:rFonts w:ascii="Cambria Math" w:eastAsia="Times New Roman" w:hAnsi="Cambria Math" w:cs="Cambria Math"/>
          <w:lang w:val="en-AU" w:eastAsia="en-GB"/>
        </w:rPr>
        <w:t>𝐷</w:t>
      </w:r>
      <w:r w:rsidRPr="00160D76">
        <w:rPr>
          <w:rFonts w:ascii="CambriaMath" w:eastAsia="Times New Roman" w:hAnsi="CambriaMath" w:cs="Times New Roman"/>
          <w:lang w:val="en-AU" w:eastAsia="en-GB"/>
        </w:rPr>
        <w:t>4∗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160D76">
        <w:rPr>
          <w:rFonts w:ascii="CambriaMath" w:eastAsia="Times New Roman" w:hAnsi="CambriaMath" w:cs="Times New Roman"/>
          <w:lang w:val="en-AU" w:eastAsia="en-GB"/>
        </w:rPr>
        <w:t>1+</w:t>
      </w:r>
      <w:proofErr w:type="gramStart"/>
      <w:r w:rsidRPr="00160D76">
        <w:rPr>
          <w:rFonts w:ascii="Cambria Math" w:eastAsia="Times New Roman" w:hAnsi="Cambria Math" w:cs="Cambria Math"/>
          <w:lang w:val="en-AU" w:eastAsia="en-GB"/>
        </w:rPr>
        <w:t>𝑔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160D76">
        <w:rPr>
          <w:rFonts w:ascii="CambriaMath" w:eastAsia="Times New Roman" w:hAnsi="CambriaMath" w:cs="Times New Roman"/>
          <w:lang w:val="en-AU" w:eastAsia="en-GB"/>
        </w:rPr>
        <w:t>=</w:t>
      </w:r>
      <w:proofErr w:type="gramEnd"/>
      <w:r w:rsidRPr="00160D76">
        <w:rPr>
          <w:rFonts w:ascii="CambriaMath" w:eastAsia="Times New Roman" w:hAnsi="CambriaMath" w:cs="Times New Roman"/>
          <w:lang w:val="en-AU" w:eastAsia="en-GB"/>
        </w:rPr>
        <w:t xml:space="preserve"> .093∗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160D76">
        <w:rPr>
          <w:rFonts w:ascii="CambriaMath" w:eastAsia="Times New Roman" w:hAnsi="CambriaMath" w:cs="Times New Roman"/>
          <w:lang w:val="en-AU" w:eastAsia="en-GB"/>
        </w:rPr>
        <w:t>1+.05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160D76">
        <w:rPr>
          <w:rFonts w:ascii="CambriaMath" w:eastAsia="Times New Roman" w:hAnsi="CambriaMath" w:cs="Times New Roman"/>
          <w:lang w:val="en-AU" w:eastAsia="en-GB"/>
        </w:rPr>
        <w:t xml:space="preserve">=.097 </w:t>
      </w:r>
    </w:p>
    <w:p w14:paraId="579BDCF4" w14:textId="3316CB6E" w:rsidR="00160D76" w:rsidRDefault="00160D76" w:rsidP="00160D76">
      <w:pPr>
        <w:widowControl/>
        <w:autoSpaceDE/>
        <w:autoSpaceDN/>
        <w:spacing w:before="100" w:beforeAutospacing="1" w:after="100" w:afterAutospacing="1"/>
        <w:rPr>
          <w:rFonts w:ascii="CambriaMath" w:eastAsia="Times New Roman" w:hAnsi="CambriaMath" w:cs="Times New Roman"/>
          <w:lang w:val="en-AU" w:eastAsia="en-GB"/>
        </w:rPr>
      </w:pPr>
      <w:r w:rsidRPr="00160D76">
        <w:rPr>
          <w:rFonts w:ascii="ArialMT" w:eastAsia="Times New Roman" w:hAnsi="ArialMT" w:cs="Times New Roman"/>
          <w:lang w:val="en-AU" w:eastAsia="en-GB"/>
        </w:rPr>
        <w:t>D</w:t>
      </w:r>
      <w:r w:rsidRPr="00160D76">
        <w:rPr>
          <w:rFonts w:ascii="CambriaMath" w:eastAsia="Times New Roman" w:hAnsi="CambriaMath" w:cs="Times New Roman"/>
          <w:lang w:val="en-AU" w:eastAsia="en-GB"/>
        </w:rPr>
        <w:t>6=</w:t>
      </w:r>
      <w:r w:rsidRPr="00160D76">
        <w:rPr>
          <w:rFonts w:ascii="Cambria Math" w:eastAsia="Times New Roman" w:hAnsi="Cambria Math" w:cs="Cambria Math"/>
          <w:lang w:val="en-AU" w:eastAsia="en-GB"/>
        </w:rPr>
        <w:t>𝐷</w:t>
      </w:r>
      <w:r w:rsidRPr="00160D76">
        <w:rPr>
          <w:rFonts w:ascii="CambriaMath" w:eastAsia="Times New Roman" w:hAnsi="CambriaMath" w:cs="Times New Roman"/>
          <w:lang w:val="en-AU" w:eastAsia="en-GB"/>
        </w:rPr>
        <w:t>5∗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160D76">
        <w:rPr>
          <w:rFonts w:ascii="CambriaMath" w:eastAsia="Times New Roman" w:hAnsi="CambriaMath" w:cs="Times New Roman"/>
          <w:lang w:val="en-AU" w:eastAsia="en-GB"/>
        </w:rPr>
        <w:t>1+</w:t>
      </w:r>
      <w:proofErr w:type="gramStart"/>
      <w:r w:rsidRPr="00160D76">
        <w:rPr>
          <w:rFonts w:ascii="Cambria Math" w:eastAsia="Times New Roman" w:hAnsi="Cambria Math" w:cs="Cambria Math"/>
          <w:lang w:val="en-AU" w:eastAsia="en-GB"/>
        </w:rPr>
        <w:t>𝑔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160D76">
        <w:rPr>
          <w:rFonts w:ascii="CambriaMath" w:eastAsia="Times New Roman" w:hAnsi="CambriaMath" w:cs="Times New Roman"/>
          <w:lang w:val="en-AU" w:eastAsia="en-GB"/>
        </w:rPr>
        <w:t>=</w:t>
      </w:r>
      <w:proofErr w:type="gramEnd"/>
      <w:r w:rsidRPr="00160D76">
        <w:rPr>
          <w:rFonts w:ascii="CambriaMath" w:eastAsia="Times New Roman" w:hAnsi="CambriaMath" w:cs="Times New Roman"/>
          <w:lang w:val="en-AU" w:eastAsia="en-GB"/>
        </w:rPr>
        <w:t xml:space="preserve"> .097∗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160D76">
        <w:rPr>
          <w:rFonts w:ascii="CambriaMath" w:eastAsia="Times New Roman" w:hAnsi="CambriaMath" w:cs="Times New Roman"/>
          <w:lang w:val="en-AU" w:eastAsia="en-GB"/>
        </w:rPr>
        <w:t>1+.02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160D76">
        <w:rPr>
          <w:rFonts w:ascii="CambriaMath" w:eastAsia="Times New Roman" w:hAnsi="CambriaMath" w:cs="Times New Roman"/>
          <w:lang w:val="en-AU" w:eastAsia="en-GB"/>
        </w:rPr>
        <w:t xml:space="preserve">=.099 </w:t>
      </w:r>
    </w:p>
    <w:p w14:paraId="55A367DE" w14:textId="77777777" w:rsidR="00160D76" w:rsidRPr="00160D76" w:rsidRDefault="00160D76" w:rsidP="00160D7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160D76">
        <w:rPr>
          <w:rFonts w:ascii="ArialMT" w:eastAsia="Times New Roman" w:hAnsi="ArialMT" w:cs="Times New Roman"/>
          <w:lang w:val="en-AU" w:eastAsia="en-GB"/>
        </w:rPr>
        <w:t>T</w:t>
      </w:r>
      <w:r w:rsidRPr="00160D76">
        <w:rPr>
          <w:rFonts w:ascii="Cambria Math" w:eastAsia="Times New Roman" w:hAnsi="Cambria Math" w:cs="Cambria Math"/>
          <w:lang w:val="en-AU" w:eastAsia="en-GB"/>
        </w:rPr>
        <w:t>𝑒𝑟𝑚𝑖𝑛𝑎𝑙</w:t>
      </w:r>
      <w:r w:rsidRPr="00160D76">
        <w:rPr>
          <w:rFonts w:ascii="CambriaMath" w:eastAsia="Times New Roman" w:hAnsi="CambriaMath" w:cs="Times New Roman"/>
          <w:lang w:val="en-AU" w:eastAsia="en-GB"/>
        </w:rPr>
        <w:t xml:space="preserve"> </w:t>
      </w:r>
      <w:r w:rsidRPr="00160D76">
        <w:rPr>
          <w:rFonts w:ascii="Cambria Math" w:eastAsia="Times New Roman" w:hAnsi="Cambria Math" w:cs="Cambria Math"/>
          <w:lang w:val="en-AU" w:eastAsia="en-GB"/>
        </w:rPr>
        <w:t>𝑉𝑎𝑙𝑢𝑒</w:t>
      </w:r>
      <w:r w:rsidRPr="00160D76">
        <w:rPr>
          <w:rFonts w:ascii="CambriaMath" w:eastAsia="Times New Roman" w:hAnsi="CambriaMath" w:cs="Times New Roman"/>
          <w:lang w:val="en-AU" w:eastAsia="en-GB"/>
        </w:rPr>
        <w:t xml:space="preserve"> = </w:t>
      </w:r>
      <w:r w:rsidRPr="00160D76">
        <w:rPr>
          <w:rFonts w:ascii="Cambria Math" w:eastAsia="Times New Roman" w:hAnsi="Cambria Math" w:cs="Cambria Math"/>
          <w:lang w:val="en-AU" w:eastAsia="en-GB"/>
        </w:rPr>
        <w:t>𝐷</w:t>
      </w:r>
      <w:r w:rsidRPr="00160D76">
        <w:rPr>
          <w:rFonts w:ascii="CambriaMath" w:eastAsia="Times New Roman" w:hAnsi="CambriaMath" w:cs="Times New Roman"/>
          <w:lang w:val="en-AU" w:eastAsia="en-GB"/>
        </w:rPr>
        <w:t>6</w:t>
      </w:r>
      <w:proofErr w:type="gramStart"/>
      <w:r w:rsidRPr="00160D76">
        <w:rPr>
          <w:rFonts w:ascii="CambriaMath" w:eastAsia="Times New Roman" w:hAnsi="CambriaMath" w:cs="Times New Roman"/>
          <w:lang w:val="en-AU" w:eastAsia="en-GB"/>
        </w:rPr>
        <w:t>/(</w:t>
      </w:r>
      <w:proofErr w:type="gramEnd"/>
      <w:r w:rsidRPr="00160D76">
        <w:rPr>
          <w:rFonts w:ascii="Cambria Math" w:eastAsia="Times New Roman" w:hAnsi="Cambria Math" w:cs="Cambria Math"/>
          <w:lang w:val="en-AU" w:eastAsia="en-GB"/>
        </w:rPr>
        <w:t>𝑘</w:t>
      </w:r>
      <w:r w:rsidRPr="00160D76">
        <w:rPr>
          <w:rFonts w:ascii="CambriaMath" w:eastAsia="Times New Roman" w:hAnsi="CambriaMath" w:cs="Times New Roman"/>
          <w:lang w:val="en-AU" w:eastAsia="en-GB"/>
        </w:rPr>
        <w:t xml:space="preserve"> − </w:t>
      </w:r>
      <w:r w:rsidRPr="00160D76">
        <w:rPr>
          <w:rFonts w:ascii="Cambria Math" w:eastAsia="Times New Roman" w:hAnsi="Cambria Math" w:cs="Cambria Math"/>
          <w:lang w:val="en-AU" w:eastAsia="en-GB"/>
        </w:rPr>
        <w:t>𝑔</w:t>
      </w:r>
      <w:r w:rsidRPr="00160D76">
        <w:rPr>
          <w:rFonts w:ascii="CambriaMath" w:eastAsia="Times New Roman" w:hAnsi="CambriaMath" w:cs="Times New Roman"/>
          <w:lang w:val="en-AU" w:eastAsia="en-GB"/>
        </w:rPr>
        <w:t xml:space="preserve">) = .099/= 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160D76">
        <w:rPr>
          <w:rFonts w:ascii="CambriaMath" w:eastAsia="Times New Roman" w:hAnsi="CambriaMath" w:cs="Times New Roman"/>
          <w:lang w:val="en-AU" w:eastAsia="en-GB"/>
        </w:rPr>
        <w:t>. 11 − .021</w:t>
      </w:r>
      <w:r w:rsidRPr="00160D76">
        <w:rPr>
          <w:rFonts w:ascii="CambriaMath" w:eastAsia="Times New Roman" w:hAnsi="CambriaMath" w:cs="Times New Roman"/>
          <w:position w:val="2"/>
          <w:lang w:val="en-AU" w:eastAsia="en-GB"/>
        </w:rPr>
        <w:t xml:space="preserve">) </w:t>
      </w:r>
      <w:r w:rsidRPr="00160D76">
        <w:rPr>
          <w:rFonts w:ascii="CambriaMath" w:eastAsia="Times New Roman" w:hAnsi="CambriaMath" w:cs="Times New Roman"/>
          <w:lang w:val="en-AU" w:eastAsia="en-GB"/>
        </w:rPr>
        <w:t xml:space="preserve">= 1.115 </w:t>
      </w:r>
    </w:p>
    <w:p w14:paraId="0C870CDC" w14:textId="2304ED12" w:rsidR="00160D76" w:rsidRDefault="00160D76" w:rsidP="00160D7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 xml:space="preserve">(where k=CAPM=Required Return) </w:t>
      </w:r>
    </w:p>
    <w:p w14:paraId="0F07A262" w14:textId="49B53F85" w:rsidR="00160D76" w:rsidRDefault="00160D76" w:rsidP="00160D7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  <w:t>g = dividend growth for the last period</w:t>
      </w:r>
    </w:p>
    <w:p w14:paraId="4952BD5D" w14:textId="06376FC8" w:rsidR="006C2889" w:rsidRDefault="006C2889" w:rsidP="00160D7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612A1C5E" w14:textId="77777777" w:rsidR="006C2889" w:rsidRDefault="006C2889" w:rsidP="006C2889">
      <w:pPr>
        <w:widowControl/>
        <w:autoSpaceDE/>
        <w:autoSpaceDN/>
        <w:spacing w:before="100" w:beforeAutospacing="1" w:after="100" w:afterAutospacing="1"/>
        <w:rPr>
          <w:rFonts w:ascii="CambriaMath" w:eastAsia="Times New Roman" w:hAnsi="CambriaMath" w:cs="Times New Roman"/>
          <w:lang w:val="en-AU" w:eastAsia="en-GB"/>
        </w:rPr>
      </w:pPr>
      <w:r w:rsidRPr="006C2889">
        <w:rPr>
          <w:rFonts w:ascii="ArialMT" w:eastAsia="Times New Roman" w:hAnsi="ArialMT" w:cs="Times New Roman"/>
          <w:lang w:val="en-AU" w:eastAsia="en-GB"/>
        </w:rPr>
        <w:t>PV1</w:t>
      </w:r>
      <w:r w:rsidRPr="006C2889">
        <w:rPr>
          <w:rFonts w:ascii="CambriaMath" w:eastAsia="Times New Roman" w:hAnsi="CambriaMath" w:cs="Times New Roman"/>
          <w:lang w:val="en-AU" w:eastAsia="en-GB"/>
        </w:rPr>
        <w:t>=</w:t>
      </w:r>
      <w:r w:rsidRPr="006C2889">
        <w:rPr>
          <w:rFonts w:ascii="Cambria Math" w:eastAsia="Times New Roman" w:hAnsi="Cambria Math" w:cs="Cambria Math"/>
          <w:lang w:val="en-AU" w:eastAsia="en-GB"/>
        </w:rPr>
        <w:t>𝐷</w:t>
      </w:r>
      <w:r w:rsidRPr="006C2889">
        <w:rPr>
          <w:rFonts w:ascii="CambriaMath" w:eastAsia="Times New Roman" w:hAnsi="CambriaMath" w:cs="Times New Roman"/>
          <w:lang w:val="en-AU" w:eastAsia="en-GB"/>
        </w:rPr>
        <w:t>1/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6C2889">
        <w:rPr>
          <w:rFonts w:ascii="CambriaMath" w:eastAsia="Times New Roman" w:hAnsi="CambriaMath" w:cs="Times New Roman"/>
          <w:lang w:val="en-AU" w:eastAsia="en-GB"/>
        </w:rPr>
        <w:t>1+</w:t>
      </w:r>
      <w:proofErr w:type="gramStart"/>
      <w:r w:rsidRPr="006C2889">
        <w:rPr>
          <w:rFonts w:ascii="Cambria Math" w:eastAsia="Times New Roman" w:hAnsi="Cambria Math" w:cs="Cambria Math"/>
          <w:lang w:val="en-AU" w:eastAsia="en-GB"/>
        </w:rPr>
        <w:t>𝑘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6C2889">
        <w:rPr>
          <w:rFonts w:ascii="CambriaMath" w:eastAsia="Times New Roman" w:hAnsi="CambriaMath" w:cs="Times New Roman"/>
          <w:lang w:val="en-AU" w:eastAsia="en-GB"/>
        </w:rPr>
        <w:t>=</w:t>
      </w:r>
      <w:proofErr w:type="gramEnd"/>
      <w:r w:rsidRPr="006C2889">
        <w:rPr>
          <w:rFonts w:ascii="CambriaMath" w:eastAsia="Times New Roman" w:hAnsi="CambriaMath" w:cs="Times New Roman"/>
          <w:lang w:val="en-AU" w:eastAsia="en-GB"/>
        </w:rPr>
        <w:t xml:space="preserve"> .077∗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6C2889">
        <w:rPr>
          <w:rFonts w:ascii="CambriaMath" w:eastAsia="Times New Roman" w:hAnsi="CambriaMath" w:cs="Times New Roman"/>
          <w:lang w:val="en-AU" w:eastAsia="en-GB"/>
        </w:rPr>
        <w:t>1+.11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=.069 </w:t>
      </w:r>
    </w:p>
    <w:p w14:paraId="3BEEBF84" w14:textId="77777777" w:rsidR="006C2889" w:rsidRDefault="006C2889" w:rsidP="006C2889">
      <w:pPr>
        <w:widowControl/>
        <w:autoSpaceDE/>
        <w:autoSpaceDN/>
        <w:spacing w:before="100" w:beforeAutospacing="1" w:after="100" w:afterAutospacing="1"/>
        <w:rPr>
          <w:rFonts w:ascii="CambriaMath" w:eastAsia="Times New Roman" w:hAnsi="CambriaMath" w:cs="Times New Roman"/>
          <w:lang w:val="en-AU" w:eastAsia="en-GB"/>
        </w:rPr>
      </w:pPr>
      <w:r w:rsidRPr="006C2889">
        <w:rPr>
          <w:rFonts w:ascii="ArialMT" w:eastAsia="Times New Roman" w:hAnsi="ArialMT" w:cs="Times New Roman"/>
          <w:lang w:val="en-AU" w:eastAsia="en-GB"/>
        </w:rPr>
        <w:lastRenderedPageBreak/>
        <w:t>PV2</w:t>
      </w:r>
      <w:r w:rsidRPr="006C2889">
        <w:rPr>
          <w:rFonts w:ascii="CambriaMath" w:eastAsia="Times New Roman" w:hAnsi="CambriaMath" w:cs="Times New Roman"/>
          <w:lang w:val="en-AU" w:eastAsia="en-GB"/>
        </w:rPr>
        <w:t>=</w:t>
      </w:r>
      <w:r w:rsidRPr="006C2889">
        <w:rPr>
          <w:rFonts w:ascii="Cambria Math" w:eastAsia="Times New Roman" w:hAnsi="Cambria Math" w:cs="Cambria Math"/>
          <w:lang w:val="en-AU" w:eastAsia="en-GB"/>
        </w:rPr>
        <w:t>𝐷</w:t>
      </w:r>
      <w:r w:rsidRPr="006C2889">
        <w:rPr>
          <w:rFonts w:ascii="CambriaMath" w:eastAsia="Times New Roman" w:hAnsi="CambriaMath" w:cs="Times New Roman"/>
          <w:lang w:val="en-AU" w:eastAsia="en-GB"/>
        </w:rPr>
        <w:t>2/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6C2889">
        <w:rPr>
          <w:rFonts w:ascii="CambriaMath" w:eastAsia="Times New Roman" w:hAnsi="CambriaMath" w:cs="Times New Roman"/>
          <w:lang w:val="en-AU" w:eastAsia="en-GB"/>
        </w:rPr>
        <w:t>1+</w:t>
      </w:r>
      <w:proofErr w:type="gramStart"/>
      <w:r w:rsidRPr="006C2889">
        <w:rPr>
          <w:rFonts w:ascii="Cambria Math" w:eastAsia="Times New Roman" w:hAnsi="Cambria Math" w:cs="Cambria Math"/>
          <w:lang w:val="en-AU" w:eastAsia="en-GB"/>
        </w:rPr>
        <w:t>𝑘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6C2889">
        <w:rPr>
          <w:rFonts w:ascii="CambriaMath" w:eastAsia="Times New Roman" w:hAnsi="CambriaMath" w:cs="Times New Roman"/>
          <w:lang w:val="en-AU" w:eastAsia="en-GB"/>
        </w:rPr>
        <w:t>^</w:t>
      </w:r>
      <w:proofErr w:type="gramEnd"/>
      <w:r w:rsidRPr="006C2889">
        <w:rPr>
          <w:rFonts w:ascii="CambriaMath" w:eastAsia="Times New Roman" w:hAnsi="CambriaMath" w:cs="Times New Roman"/>
          <w:lang w:val="en-AU" w:eastAsia="en-GB"/>
        </w:rPr>
        <w:t>2= .077∗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6C2889">
        <w:rPr>
          <w:rFonts w:ascii="CambriaMath" w:eastAsia="Times New Roman" w:hAnsi="CambriaMath" w:cs="Times New Roman"/>
          <w:lang w:val="en-AU" w:eastAsia="en-GB"/>
        </w:rPr>
        <w:t>1+.11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=.066 </w:t>
      </w:r>
    </w:p>
    <w:p w14:paraId="21A1C311" w14:textId="77777777" w:rsidR="006C2889" w:rsidRDefault="006C2889" w:rsidP="006C2889">
      <w:pPr>
        <w:widowControl/>
        <w:autoSpaceDE/>
        <w:autoSpaceDN/>
        <w:spacing w:before="100" w:beforeAutospacing="1" w:after="100" w:afterAutospacing="1"/>
        <w:rPr>
          <w:rFonts w:ascii="CambriaMath" w:eastAsia="Times New Roman" w:hAnsi="CambriaMath" w:cs="Times New Roman"/>
          <w:lang w:val="en-AU" w:eastAsia="en-GB"/>
        </w:rPr>
      </w:pPr>
      <w:r w:rsidRPr="006C2889">
        <w:rPr>
          <w:rFonts w:ascii="ArialMT" w:eastAsia="Times New Roman" w:hAnsi="ArialMT" w:cs="Times New Roman"/>
          <w:lang w:val="en-AU" w:eastAsia="en-GB"/>
        </w:rPr>
        <w:t>PV3</w:t>
      </w:r>
      <w:r w:rsidRPr="006C2889">
        <w:rPr>
          <w:rFonts w:ascii="CambriaMath" w:eastAsia="Times New Roman" w:hAnsi="CambriaMath" w:cs="Times New Roman"/>
          <w:lang w:val="en-AU" w:eastAsia="en-GB"/>
        </w:rPr>
        <w:t>=</w:t>
      </w:r>
      <w:r w:rsidRPr="006C2889">
        <w:rPr>
          <w:rFonts w:ascii="Cambria Math" w:eastAsia="Times New Roman" w:hAnsi="Cambria Math" w:cs="Cambria Math"/>
          <w:lang w:val="en-AU" w:eastAsia="en-GB"/>
        </w:rPr>
        <w:t>𝐷</w:t>
      </w:r>
      <w:r w:rsidRPr="006C2889">
        <w:rPr>
          <w:rFonts w:ascii="CambriaMath" w:eastAsia="Times New Roman" w:hAnsi="CambriaMath" w:cs="Times New Roman"/>
          <w:lang w:val="en-AU" w:eastAsia="en-GB"/>
        </w:rPr>
        <w:t>3/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6C2889">
        <w:rPr>
          <w:rFonts w:ascii="CambriaMath" w:eastAsia="Times New Roman" w:hAnsi="CambriaMath" w:cs="Times New Roman"/>
          <w:lang w:val="en-AU" w:eastAsia="en-GB"/>
        </w:rPr>
        <w:t>1+</w:t>
      </w:r>
      <w:proofErr w:type="gramStart"/>
      <w:r w:rsidRPr="006C2889">
        <w:rPr>
          <w:rFonts w:ascii="Cambria Math" w:eastAsia="Times New Roman" w:hAnsi="Cambria Math" w:cs="Cambria Math"/>
          <w:lang w:val="en-AU" w:eastAsia="en-GB"/>
        </w:rPr>
        <w:t>𝑘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6C2889">
        <w:rPr>
          <w:rFonts w:ascii="CambriaMath" w:eastAsia="Times New Roman" w:hAnsi="CambriaMath" w:cs="Times New Roman"/>
          <w:lang w:val="en-AU" w:eastAsia="en-GB"/>
        </w:rPr>
        <w:t>^</w:t>
      </w:r>
      <w:proofErr w:type="gramEnd"/>
      <w:r w:rsidRPr="006C2889">
        <w:rPr>
          <w:rFonts w:ascii="CambriaMath" w:eastAsia="Times New Roman" w:hAnsi="CambriaMath" w:cs="Times New Roman"/>
          <w:lang w:val="en-AU" w:eastAsia="en-GB"/>
        </w:rPr>
        <w:t>3= .077∗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6C2889">
        <w:rPr>
          <w:rFonts w:ascii="CambriaMath" w:eastAsia="Times New Roman" w:hAnsi="CambriaMath" w:cs="Times New Roman"/>
          <w:lang w:val="en-AU" w:eastAsia="en-GB"/>
        </w:rPr>
        <w:t>1+.11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=.064 </w:t>
      </w:r>
    </w:p>
    <w:p w14:paraId="0561B213" w14:textId="77777777" w:rsidR="006C2889" w:rsidRDefault="006C2889" w:rsidP="006C2889">
      <w:pPr>
        <w:widowControl/>
        <w:autoSpaceDE/>
        <w:autoSpaceDN/>
        <w:spacing w:before="100" w:beforeAutospacing="1" w:after="100" w:afterAutospacing="1"/>
        <w:rPr>
          <w:rFonts w:ascii="CambriaMath" w:eastAsia="Times New Roman" w:hAnsi="CambriaMath" w:cs="Times New Roman"/>
          <w:lang w:val="en-AU" w:eastAsia="en-GB"/>
        </w:rPr>
      </w:pPr>
      <w:r w:rsidRPr="006C2889">
        <w:rPr>
          <w:rFonts w:ascii="ArialMT" w:eastAsia="Times New Roman" w:hAnsi="ArialMT" w:cs="Times New Roman"/>
          <w:lang w:val="en-AU" w:eastAsia="en-GB"/>
        </w:rPr>
        <w:t>PV4</w:t>
      </w:r>
      <w:r w:rsidRPr="006C2889">
        <w:rPr>
          <w:rFonts w:ascii="CambriaMath" w:eastAsia="Times New Roman" w:hAnsi="CambriaMath" w:cs="Times New Roman"/>
          <w:lang w:val="en-AU" w:eastAsia="en-GB"/>
        </w:rPr>
        <w:t>=</w:t>
      </w:r>
      <w:r w:rsidRPr="006C2889">
        <w:rPr>
          <w:rFonts w:ascii="Cambria Math" w:eastAsia="Times New Roman" w:hAnsi="Cambria Math" w:cs="Cambria Math"/>
          <w:lang w:val="en-AU" w:eastAsia="en-GB"/>
        </w:rPr>
        <w:t>𝐷</w:t>
      </w:r>
      <w:r w:rsidRPr="006C2889">
        <w:rPr>
          <w:rFonts w:ascii="CambriaMath" w:eastAsia="Times New Roman" w:hAnsi="CambriaMath" w:cs="Times New Roman"/>
          <w:lang w:val="en-AU" w:eastAsia="en-GB"/>
        </w:rPr>
        <w:t>4/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6C2889">
        <w:rPr>
          <w:rFonts w:ascii="CambriaMath" w:eastAsia="Times New Roman" w:hAnsi="CambriaMath" w:cs="Times New Roman"/>
          <w:lang w:val="en-AU" w:eastAsia="en-GB"/>
        </w:rPr>
        <w:t>1+</w:t>
      </w:r>
      <w:proofErr w:type="gramStart"/>
      <w:r w:rsidRPr="006C2889">
        <w:rPr>
          <w:rFonts w:ascii="Cambria Math" w:eastAsia="Times New Roman" w:hAnsi="Cambria Math" w:cs="Cambria Math"/>
          <w:lang w:val="en-AU" w:eastAsia="en-GB"/>
        </w:rPr>
        <w:t>𝑘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6C2889">
        <w:rPr>
          <w:rFonts w:ascii="CambriaMath" w:eastAsia="Times New Roman" w:hAnsi="CambriaMath" w:cs="Times New Roman"/>
          <w:lang w:val="en-AU" w:eastAsia="en-GB"/>
        </w:rPr>
        <w:t>^</w:t>
      </w:r>
      <w:proofErr w:type="gramEnd"/>
      <w:r w:rsidRPr="006C2889">
        <w:rPr>
          <w:rFonts w:ascii="CambriaMath" w:eastAsia="Times New Roman" w:hAnsi="CambriaMath" w:cs="Times New Roman"/>
          <w:lang w:val="en-AU" w:eastAsia="en-GB"/>
        </w:rPr>
        <w:t>4= .077∗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6C2889">
        <w:rPr>
          <w:rFonts w:ascii="CambriaMath" w:eastAsia="Times New Roman" w:hAnsi="CambriaMath" w:cs="Times New Roman"/>
          <w:lang w:val="en-AU" w:eastAsia="en-GB"/>
        </w:rPr>
        <w:t>1+.11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=.061 </w:t>
      </w:r>
    </w:p>
    <w:p w14:paraId="7EA06CF0" w14:textId="55C51920" w:rsidR="006C2889" w:rsidRPr="006C2889" w:rsidRDefault="006C2889" w:rsidP="006C288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C2889">
        <w:rPr>
          <w:rFonts w:ascii="ArialMT" w:eastAsia="Times New Roman" w:hAnsi="ArialMT" w:cs="Times New Roman"/>
          <w:lang w:val="en-AU" w:eastAsia="en-GB"/>
        </w:rPr>
        <w:t>PV5</w:t>
      </w:r>
      <w:r w:rsidRPr="006C2889">
        <w:rPr>
          <w:rFonts w:ascii="CambriaMath" w:eastAsia="Times New Roman" w:hAnsi="CambriaMath" w:cs="Times New Roman"/>
          <w:lang w:val="en-AU" w:eastAsia="en-GB"/>
        </w:rPr>
        <w:t>=</w:t>
      </w:r>
      <w:r w:rsidRPr="006C2889">
        <w:rPr>
          <w:rFonts w:ascii="Cambria Math" w:eastAsia="Times New Roman" w:hAnsi="Cambria Math" w:cs="Cambria Math"/>
          <w:lang w:val="en-AU" w:eastAsia="en-GB"/>
        </w:rPr>
        <w:t>𝐷</w:t>
      </w:r>
      <w:r w:rsidRPr="006C2889">
        <w:rPr>
          <w:rFonts w:ascii="CambriaMath" w:eastAsia="Times New Roman" w:hAnsi="CambriaMath" w:cs="Times New Roman"/>
          <w:lang w:val="en-AU" w:eastAsia="en-GB"/>
        </w:rPr>
        <w:t>1∗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6C2889">
        <w:rPr>
          <w:rFonts w:ascii="CambriaMath" w:eastAsia="Times New Roman" w:hAnsi="CambriaMath" w:cs="Times New Roman"/>
          <w:lang w:val="en-AU" w:eastAsia="en-GB"/>
        </w:rPr>
        <w:t>1+</w:t>
      </w:r>
      <w:proofErr w:type="gramStart"/>
      <w:r w:rsidRPr="006C2889">
        <w:rPr>
          <w:rFonts w:ascii="Cambria Math" w:eastAsia="Times New Roman" w:hAnsi="Cambria Math" w:cs="Cambria Math"/>
          <w:lang w:val="en-AU" w:eastAsia="en-GB"/>
        </w:rPr>
        <w:t>𝑘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6C2889">
        <w:rPr>
          <w:rFonts w:ascii="CambriaMath" w:eastAsia="Times New Roman" w:hAnsi="CambriaMath" w:cs="Times New Roman"/>
          <w:lang w:val="en-AU" w:eastAsia="en-GB"/>
        </w:rPr>
        <w:t>=</w:t>
      </w:r>
      <w:proofErr w:type="gramEnd"/>
      <w:r w:rsidRPr="006C2889">
        <w:rPr>
          <w:rFonts w:ascii="CambriaMath" w:eastAsia="Times New Roman" w:hAnsi="CambriaMath" w:cs="Times New Roman"/>
          <w:lang w:val="en-AU" w:eastAsia="en-GB"/>
        </w:rPr>
        <w:t xml:space="preserve"> .077∗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6C2889">
        <w:rPr>
          <w:rFonts w:ascii="CambriaMath" w:eastAsia="Times New Roman" w:hAnsi="CambriaMath" w:cs="Times New Roman"/>
          <w:lang w:val="en-AU" w:eastAsia="en-GB"/>
        </w:rPr>
        <w:t>1+.11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=.058 </w:t>
      </w:r>
    </w:p>
    <w:p w14:paraId="6B80266D" w14:textId="77777777" w:rsidR="006C2889" w:rsidRPr="006C2889" w:rsidRDefault="006C2889" w:rsidP="006C288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C2889">
        <w:rPr>
          <w:rFonts w:ascii="ArialMT" w:eastAsia="Times New Roman" w:hAnsi="ArialMT" w:cs="Times New Roman"/>
          <w:lang w:val="en-AU" w:eastAsia="en-GB"/>
        </w:rPr>
        <w:t xml:space="preserve">PV </w:t>
      </w:r>
      <w:r w:rsidRPr="006C2889">
        <w:rPr>
          <w:rFonts w:ascii="Cambria Math" w:eastAsia="Times New Roman" w:hAnsi="Cambria Math" w:cs="Cambria Math"/>
          <w:lang w:val="en-AU" w:eastAsia="en-GB"/>
        </w:rPr>
        <w:t>𝑜𝑓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 </w:t>
      </w:r>
      <w:r w:rsidRPr="006C2889">
        <w:rPr>
          <w:rFonts w:ascii="Cambria Math" w:eastAsia="Times New Roman" w:hAnsi="Cambria Math" w:cs="Cambria Math"/>
          <w:lang w:val="en-AU" w:eastAsia="en-GB"/>
        </w:rPr>
        <w:t>𝑡𝑒𝑟𝑚𝑖𝑛𝑎𝑙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 </w:t>
      </w:r>
      <w:r w:rsidRPr="006C2889">
        <w:rPr>
          <w:rFonts w:ascii="Cambria Math" w:eastAsia="Times New Roman" w:hAnsi="Cambria Math" w:cs="Cambria Math"/>
          <w:lang w:val="en-AU" w:eastAsia="en-GB"/>
        </w:rPr>
        <w:t>𝑉𝑎𝑙𝑢𝑒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 = </w:t>
      </w:r>
      <w:r w:rsidRPr="006C2889">
        <w:rPr>
          <w:rFonts w:ascii="Cambria Math" w:eastAsia="Times New Roman" w:hAnsi="Cambria Math" w:cs="Cambria Math"/>
          <w:lang w:val="en-AU" w:eastAsia="en-GB"/>
        </w:rPr>
        <w:t>𝑡𝑒𝑟𝑚𝑖𝑎𝑛𝑙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 </w:t>
      </w:r>
      <w:r w:rsidRPr="006C2889">
        <w:rPr>
          <w:rFonts w:ascii="Cambria Math" w:eastAsia="Times New Roman" w:hAnsi="Cambria Math" w:cs="Cambria Math"/>
          <w:lang w:val="en-AU" w:eastAsia="en-GB"/>
        </w:rPr>
        <w:t>𝑣𝑎𝑙𝑢𝑒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 </w:t>
      </w:r>
      <w:proofErr w:type="gramStart"/>
      <w:r w:rsidRPr="006C2889">
        <w:rPr>
          <w:rFonts w:ascii="CambriaMath" w:eastAsia="Times New Roman" w:hAnsi="CambriaMath" w:cs="Times New Roman"/>
          <w:lang w:val="en-AU" w:eastAsia="en-GB"/>
        </w:rPr>
        <w:t>/(</w:t>
      </w:r>
      <w:proofErr w:type="gramEnd"/>
      <w:r w:rsidRPr="006C2889">
        <w:rPr>
          <w:rFonts w:ascii="CambriaMath" w:eastAsia="Times New Roman" w:hAnsi="CambriaMath" w:cs="Times New Roman"/>
          <w:lang w:val="en-AU" w:eastAsia="en-GB"/>
        </w:rPr>
        <w:t xml:space="preserve">1 + </w:t>
      </w:r>
      <w:r w:rsidRPr="006C2889">
        <w:rPr>
          <w:rFonts w:ascii="Cambria Math" w:eastAsia="Times New Roman" w:hAnsi="Cambria Math" w:cs="Cambria Math"/>
          <w:lang w:val="en-AU" w:eastAsia="en-GB"/>
        </w:rPr>
        <w:t>𝑘</w:t>
      </w:r>
      <w:r w:rsidRPr="006C2889">
        <w:rPr>
          <w:rFonts w:ascii="CambriaMath" w:eastAsia="Times New Roman" w:hAnsi="CambriaMath" w:cs="Times New Roman"/>
          <w:lang w:val="en-AU" w:eastAsia="en-GB"/>
        </w:rPr>
        <w:t>)^5 = 1.115/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(</w:t>
      </w:r>
      <w:r w:rsidRPr="006C2889">
        <w:rPr>
          <w:rFonts w:ascii="CambriaMath" w:eastAsia="Times New Roman" w:hAnsi="CambriaMath" w:cs="Times New Roman"/>
          <w:lang w:val="en-AU" w:eastAsia="en-GB"/>
        </w:rPr>
        <w:t>1 + .11</w:t>
      </w:r>
      <w:r w:rsidRPr="006C2889">
        <w:rPr>
          <w:rFonts w:ascii="CambriaMath" w:eastAsia="Times New Roman" w:hAnsi="CambriaMath" w:cs="Times New Roman"/>
          <w:position w:val="2"/>
          <w:lang w:val="en-AU" w:eastAsia="en-GB"/>
        </w:rPr>
        <w:t>)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^5 = 0.662 </w:t>
      </w:r>
    </w:p>
    <w:p w14:paraId="2E4F0B86" w14:textId="77777777" w:rsidR="006C2889" w:rsidRPr="006C2889" w:rsidRDefault="006C2889" w:rsidP="006C2889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  <w:r w:rsidRPr="006C2889">
        <w:rPr>
          <w:rFonts w:ascii="ArialMT" w:eastAsia="Times New Roman" w:hAnsi="ArialMT" w:cs="Times New Roman"/>
          <w:lang w:val="en-AU" w:eastAsia="en-GB"/>
        </w:rPr>
        <w:t xml:space="preserve">Intrinsic value 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= </w:t>
      </w:r>
      <w:r w:rsidRPr="006C2889">
        <w:rPr>
          <w:rFonts w:ascii="Cambria Math" w:eastAsia="Times New Roman" w:hAnsi="Cambria Math" w:cs="Cambria Math"/>
          <w:lang w:val="en-AU" w:eastAsia="en-GB"/>
        </w:rPr>
        <w:t>𝑃𝑉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1 + </w:t>
      </w:r>
      <w:r w:rsidRPr="006C2889">
        <w:rPr>
          <w:rFonts w:ascii="Cambria Math" w:eastAsia="Times New Roman" w:hAnsi="Cambria Math" w:cs="Cambria Math"/>
          <w:lang w:val="en-AU" w:eastAsia="en-GB"/>
        </w:rPr>
        <w:t>𝑃𝑉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2 + </w:t>
      </w:r>
      <w:r w:rsidRPr="006C2889">
        <w:rPr>
          <w:rFonts w:ascii="Cambria Math" w:eastAsia="Times New Roman" w:hAnsi="Cambria Math" w:cs="Cambria Math"/>
          <w:lang w:val="en-AU" w:eastAsia="en-GB"/>
        </w:rPr>
        <w:t>𝑃𝑉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3 + </w:t>
      </w:r>
      <w:r w:rsidRPr="006C2889">
        <w:rPr>
          <w:rFonts w:ascii="Cambria Math" w:eastAsia="Times New Roman" w:hAnsi="Cambria Math" w:cs="Cambria Math"/>
          <w:lang w:val="en-AU" w:eastAsia="en-GB"/>
        </w:rPr>
        <w:t>𝑃𝑉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4 + </w:t>
      </w:r>
      <w:r w:rsidRPr="006C2889">
        <w:rPr>
          <w:rFonts w:ascii="Cambria Math" w:eastAsia="Times New Roman" w:hAnsi="Cambria Math" w:cs="Cambria Math"/>
          <w:lang w:val="en-AU" w:eastAsia="en-GB"/>
        </w:rPr>
        <w:t>𝑃𝑉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5 + </w:t>
      </w:r>
      <w:r w:rsidRPr="006C2889">
        <w:rPr>
          <w:rFonts w:ascii="Cambria Math" w:eastAsia="Times New Roman" w:hAnsi="Cambria Math" w:cs="Cambria Math"/>
          <w:lang w:val="en-AU" w:eastAsia="en-GB"/>
        </w:rPr>
        <w:t>𝑃𝑉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 </w:t>
      </w:r>
      <w:r w:rsidRPr="006C2889">
        <w:rPr>
          <w:rFonts w:ascii="Cambria Math" w:eastAsia="Times New Roman" w:hAnsi="Cambria Math" w:cs="Cambria Math"/>
          <w:lang w:val="en-AU" w:eastAsia="en-GB"/>
        </w:rPr>
        <w:t>𝑜𝑓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 </w:t>
      </w:r>
      <w:r w:rsidRPr="006C2889">
        <w:rPr>
          <w:rFonts w:ascii="Cambria Math" w:eastAsia="Times New Roman" w:hAnsi="Cambria Math" w:cs="Cambria Math"/>
          <w:lang w:val="en-AU" w:eastAsia="en-GB"/>
        </w:rPr>
        <w:t>𝑡𝑒𝑟𝑚𝑖𝑛𝑎𝑙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 </w:t>
      </w:r>
      <w:r w:rsidRPr="006C2889">
        <w:rPr>
          <w:rFonts w:ascii="Cambria Math" w:eastAsia="Times New Roman" w:hAnsi="Cambria Math" w:cs="Cambria Math"/>
          <w:lang w:val="en-AU" w:eastAsia="en-GB"/>
        </w:rPr>
        <w:t>𝑣𝑎𝑙𝑢𝑒</w:t>
      </w:r>
      <w:r w:rsidRPr="006C2889">
        <w:rPr>
          <w:rFonts w:ascii="CambriaMath" w:eastAsia="Times New Roman" w:hAnsi="CambriaMath" w:cs="Times New Roman"/>
          <w:lang w:val="en-AU" w:eastAsia="en-GB"/>
        </w:rPr>
        <w:t xml:space="preserve"> .069 + .066 + .064 + .061 + .058 + .662 = .981 </w:t>
      </w:r>
    </w:p>
    <w:p w14:paraId="17C7FAB7" w14:textId="77777777" w:rsidR="006C2889" w:rsidRPr="00160D76" w:rsidRDefault="006C2889" w:rsidP="00160D7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p w14:paraId="5B8E095E" w14:textId="1D374F2E" w:rsidR="00160D76" w:rsidRDefault="00160D76">
      <w:pPr>
        <w:pStyle w:val="Heading1"/>
        <w:ind w:left="1042"/>
        <w:rPr>
          <w:b w:val="0"/>
          <w:bCs w:val="0"/>
          <w:sz w:val="24"/>
          <w:szCs w:val="24"/>
          <w:u w:val="none"/>
        </w:rPr>
      </w:pPr>
    </w:p>
    <w:p w14:paraId="646A99EE" w14:textId="2A1B9A02" w:rsidR="009D10B7" w:rsidRDefault="009D10B7">
      <w:pPr>
        <w:pStyle w:val="Heading1"/>
        <w:ind w:left="1042"/>
        <w:rPr>
          <w:b w:val="0"/>
          <w:bCs w:val="0"/>
          <w:sz w:val="24"/>
          <w:szCs w:val="24"/>
          <w:u w:val="none"/>
        </w:rPr>
      </w:pPr>
    </w:p>
    <w:p w14:paraId="7FF003CF" w14:textId="77777777" w:rsidR="009D10B7" w:rsidRPr="009D10B7" w:rsidRDefault="009D10B7">
      <w:pPr>
        <w:pStyle w:val="Heading1"/>
        <w:ind w:left="1042"/>
        <w:rPr>
          <w:b w:val="0"/>
          <w:bCs w:val="0"/>
          <w:sz w:val="24"/>
          <w:szCs w:val="24"/>
          <w:u w:val="none"/>
        </w:rPr>
      </w:pPr>
    </w:p>
    <w:p w14:paraId="0E361656" w14:textId="77777777" w:rsidR="009D10B7" w:rsidRDefault="009D10B7">
      <w:pPr>
        <w:pStyle w:val="Heading1"/>
        <w:ind w:left="1042"/>
        <w:rPr>
          <w:u w:val="none"/>
        </w:rPr>
      </w:pPr>
    </w:p>
    <w:p w14:paraId="079C1C29" w14:textId="77777777" w:rsidR="009D10B7" w:rsidRDefault="009D10B7">
      <w:pPr>
        <w:pStyle w:val="Heading1"/>
        <w:ind w:left="1042"/>
        <w:rPr>
          <w:u w:val="none"/>
        </w:rPr>
      </w:pPr>
    </w:p>
    <w:p w14:paraId="442025AD" w14:textId="77777777" w:rsidR="00736B56" w:rsidRDefault="00736B56">
      <w:pPr>
        <w:pStyle w:val="BodyText"/>
        <w:rPr>
          <w:b/>
          <w:sz w:val="20"/>
          <w:u w:val="none"/>
        </w:rPr>
      </w:pPr>
    </w:p>
    <w:p w14:paraId="20523C42" w14:textId="77777777" w:rsidR="00736B56" w:rsidRDefault="00736B56">
      <w:pPr>
        <w:pStyle w:val="BodyText"/>
        <w:rPr>
          <w:b/>
          <w:sz w:val="20"/>
          <w:u w:val="none"/>
        </w:rPr>
      </w:pPr>
    </w:p>
    <w:p w14:paraId="0DDE84B9" w14:textId="77777777" w:rsidR="00736B56" w:rsidRDefault="00E8749C">
      <w:pPr>
        <w:spacing w:before="206"/>
        <w:ind w:left="1040"/>
        <w:rPr>
          <w:b/>
          <w:sz w:val="32"/>
        </w:rPr>
      </w:pPr>
      <w:bookmarkStart w:id="25" w:name="10.0_REFERENCES"/>
      <w:bookmarkStart w:id="26" w:name="_bookmark12"/>
      <w:bookmarkEnd w:id="25"/>
      <w:bookmarkEnd w:id="26"/>
      <w:r>
        <w:rPr>
          <w:b/>
          <w:color w:val="2D73B5"/>
          <w:sz w:val="32"/>
        </w:rPr>
        <w:t xml:space="preserve">10.0 </w:t>
      </w:r>
      <w:r>
        <w:rPr>
          <w:b/>
          <w:color w:val="2D73B5"/>
          <w:sz w:val="32"/>
          <w:u w:val="thick" w:color="2D73B5"/>
        </w:rPr>
        <w:t>REFERENCES</w:t>
      </w:r>
    </w:p>
    <w:sectPr w:rsidR="00736B56">
      <w:pgSz w:w="12240" w:h="15840"/>
      <w:pgMar w:top="1300" w:right="0" w:bottom="1200" w:left="7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ED322" w14:textId="77777777" w:rsidR="00E8749C" w:rsidRDefault="00E8749C">
      <w:r>
        <w:separator/>
      </w:r>
    </w:p>
  </w:endnote>
  <w:endnote w:type="continuationSeparator" w:id="0">
    <w:p w14:paraId="1EF7F683" w14:textId="77777777" w:rsidR="00E8749C" w:rsidRDefault="00E8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304C4" w14:textId="77777777" w:rsidR="00736B56" w:rsidRDefault="00E8749C">
    <w:pPr>
      <w:pStyle w:val="BodyText"/>
      <w:spacing w:line="14" w:lineRule="auto"/>
      <w:rPr>
        <w:sz w:val="20"/>
        <w:u w:val="none"/>
      </w:rPr>
    </w:pPr>
    <w:r>
      <w:pict w14:anchorId="750E84E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3.7pt;margin-top:730.9pt;width:11.6pt;height:13.0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69D9103" w14:textId="77777777" w:rsidR="00736B56" w:rsidRDefault="00E8749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38AC7" w14:textId="77777777" w:rsidR="00E8749C" w:rsidRDefault="00E8749C">
      <w:r>
        <w:separator/>
      </w:r>
    </w:p>
  </w:footnote>
  <w:footnote w:type="continuationSeparator" w:id="0">
    <w:p w14:paraId="35047380" w14:textId="77777777" w:rsidR="00E8749C" w:rsidRDefault="00E8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6847"/>
    <w:multiLevelType w:val="hybridMultilevel"/>
    <w:tmpl w:val="894823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w w:val="10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  <w:w w:val="100"/>
        <w:sz w:val="22"/>
        <w:szCs w:val="22"/>
      </w:rPr>
    </w:lvl>
    <w:lvl w:ilvl="2" w:tplc="B97ECED0">
      <w:numFmt w:val="bullet"/>
      <w:lvlText w:val="•"/>
      <w:lvlJc w:val="left"/>
      <w:pPr>
        <w:ind w:left="2229" w:hanging="137"/>
      </w:pPr>
      <w:rPr>
        <w:rFonts w:hint="default"/>
      </w:rPr>
    </w:lvl>
    <w:lvl w:ilvl="3" w:tplc="84FE7D0E">
      <w:numFmt w:val="bullet"/>
      <w:lvlText w:val="•"/>
      <w:lvlJc w:val="left"/>
      <w:pPr>
        <w:ind w:left="3139" w:hanging="137"/>
      </w:pPr>
      <w:rPr>
        <w:rFonts w:hint="default"/>
      </w:rPr>
    </w:lvl>
    <w:lvl w:ilvl="4" w:tplc="E5269DBA">
      <w:numFmt w:val="bullet"/>
      <w:lvlText w:val="•"/>
      <w:lvlJc w:val="left"/>
      <w:pPr>
        <w:ind w:left="4048" w:hanging="137"/>
      </w:pPr>
      <w:rPr>
        <w:rFonts w:hint="default"/>
      </w:rPr>
    </w:lvl>
    <w:lvl w:ilvl="5" w:tplc="504CFE1E">
      <w:numFmt w:val="bullet"/>
      <w:lvlText w:val="•"/>
      <w:lvlJc w:val="left"/>
      <w:pPr>
        <w:ind w:left="4958" w:hanging="137"/>
      </w:pPr>
      <w:rPr>
        <w:rFonts w:hint="default"/>
      </w:rPr>
    </w:lvl>
    <w:lvl w:ilvl="6" w:tplc="8FF651EA">
      <w:numFmt w:val="bullet"/>
      <w:lvlText w:val="•"/>
      <w:lvlJc w:val="left"/>
      <w:pPr>
        <w:ind w:left="5868" w:hanging="137"/>
      </w:pPr>
      <w:rPr>
        <w:rFonts w:hint="default"/>
      </w:rPr>
    </w:lvl>
    <w:lvl w:ilvl="7" w:tplc="F65485A2">
      <w:numFmt w:val="bullet"/>
      <w:lvlText w:val="•"/>
      <w:lvlJc w:val="left"/>
      <w:pPr>
        <w:ind w:left="6777" w:hanging="137"/>
      </w:pPr>
      <w:rPr>
        <w:rFonts w:hint="default"/>
      </w:rPr>
    </w:lvl>
    <w:lvl w:ilvl="8" w:tplc="00226C48">
      <w:numFmt w:val="bullet"/>
      <w:lvlText w:val="•"/>
      <w:lvlJc w:val="left"/>
      <w:pPr>
        <w:ind w:left="7687" w:hanging="137"/>
      </w:pPr>
      <w:rPr>
        <w:rFonts w:hint="default"/>
      </w:rPr>
    </w:lvl>
  </w:abstractNum>
  <w:abstractNum w:abstractNumId="1" w15:restartNumberingAfterBreak="0">
    <w:nsid w:val="0FDE72AE"/>
    <w:multiLevelType w:val="hybridMultilevel"/>
    <w:tmpl w:val="9F04F4A2"/>
    <w:lvl w:ilvl="0" w:tplc="72327EC6">
      <w:start w:val="1"/>
      <w:numFmt w:val="bullet"/>
      <w:lvlText w:val="è"/>
      <w:lvlJc w:val="left"/>
      <w:pPr>
        <w:ind w:left="982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998" w:hanging="360"/>
      </w:pPr>
      <w:rPr>
        <w:rFonts w:ascii="Wingdings" w:hAnsi="Wingdings" w:hint="default"/>
      </w:rPr>
    </w:lvl>
  </w:abstractNum>
  <w:abstractNum w:abstractNumId="2" w15:restartNumberingAfterBreak="0">
    <w:nsid w:val="1639337D"/>
    <w:multiLevelType w:val="hybridMultilevel"/>
    <w:tmpl w:val="F1B0736A"/>
    <w:lvl w:ilvl="0" w:tplc="0254C364">
      <w:start w:val="7"/>
      <w:numFmt w:val="decimal"/>
      <w:lvlText w:val="%1"/>
      <w:lvlJc w:val="left"/>
      <w:pPr>
        <w:ind w:left="1733" w:hanging="710"/>
        <w:jc w:val="left"/>
      </w:pPr>
      <w:rPr>
        <w:rFonts w:hint="default"/>
      </w:rPr>
    </w:lvl>
    <w:lvl w:ilvl="1" w:tplc="768E9668">
      <w:numFmt w:val="decimal"/>
      <w:lvlText w:val="%1.%2"/>
      <w:lvlJc w:val="left"/>
      <w:pPr>
        <w:ind w:left="1733" w:hanging="710"/>
        <w:jc w:val="left"/>
      </w:pPr>
      <w:rPr>
        <w:rFonts w:hint="default"/>
        <w:b/>
        <w:bCs/>
        <w:w w:val="99"/>
      </w:rPr>
    </w:lvl>
    <w:lvl w:ilvl="2" w:tplc="8DB4C8DE">
      <w:numFmt w:val="bullet"/>
      <w:lvlText w:val="•"/>
      <w:lvlJc w:val="left"/>
      <w:pPr>
        <w:ind w:left="3688" w:hanging="710"/>
      </w:pPr>
      <w:rPr>
        <w:rFonts w:hint="default"/>
      </w:rPr>
    </w:lvl>
    <w:lvl w:ilvl="3" w:tplc="92540E34">
      <w:numFmt w:val="bullet"/>
      <w:lvlText w:val="•"/>
      <w:lvlJc w:val="left"/>
      <w:pPr>
        <w:ind w:left="4662" w:hanging="710"/>
      </w:pPr>
      <w:rPr>
        <w:rFonts w:hint="default"/>
      </w:rPr>
    </w:lvl>
    <w:lvl w:ilvl="4" w:tplc="5612725E">
      <w:numFmt w:val="bullet"/>
      <w:lvlText w:val="•"/>
      <w:lvlJc w:val="left"/>
      <w:pPr>
        <w:ind w:left="5636" w:hanging="710"/>
      </w:pPr>
      <w:rPr>
        <w:rFonts w:hint="default"/>
      </w:rPr>
    </w:lvl>
    <w:lvl w:ilvl="5" w:tplc="0A7EEB5C">
      <w:numFmt w:val="bullet"/>
      <w:lvlText w:val="•"/>
      <w:lvlJc w:val="left"/>
      <w:pPr>
        <w:ind w:left="6610" w:hanging="710"/>
      </w:pPr>
      <w:rPr>
        <w:rFonts w:hint="default"/>
      </w:rPr>
    </w:lvl>
    <w:lvl w:ilvl="6" w:tplc="E2402FDE">
      <w:numFmt w:val="bullet"/>
      <w:lvlText w:val="•"/>
      <w:lvlJc w:val="left"/>
      <w:pPr>
        <w:ind w:left="7584" w:hanging="710"/>
      </w:pPr>
      <w:rPr>
        <w:rFonts w:hint="default"/>
      </w:rPr>
    </w:lvl>
    <w:lvl w:ilvl="7" w:tplc="A890116E">
      <w:numFmt w:val="bullet"/>
      <w:lvlText w:val="•"/>
      <w:lvlJc w:val="left"/>
      <w:pPr>
        <w:ind w:left="8558" w:hanging="710"/>
      </w:pPr>
      <w:rPr>
        <w:rFonts w:hint="default"/>
      </w:rPr>
    </w:lvl>
    <w:lvl w:ilvl="8" w:tplc="0B82CBEC">
      <w:numFmt w:val="bullet"/>
      <w:lvlText w:val="•"/>
      <w:lvlJc w:val="left"/>
      <w:pPr>
        <w:ind w:left="9532" w:hanging="710"/>
      </w:pPr>
      <w:rPr>
        <w:rFonts w:hint="default"/>
      </w:rPr>
    </w:lvl>
  </w:abstractNum>
  <w:abstractNum w:abstractNumId="3" w15:restartNumberingAfterBreak="0">
    <w:nsid w:val="17524984"/>
    <w:multiLevelType w:val="hybridMultilevel"/>
    <w:tmpl w:val="3C562468"/>
    <w:lvl w:ilvl="0" w:tplc="08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998" w:hanging="360"/>
      </w:pPr>
      <w:rPr>
        <w:rFonts w:ascii="Wingdings" w:hAnsi="Wingdings" w:hint="default"/>
      </w:rPr>
    </w:lvl>
  </w:abstractNum>
  <w:abstractNum w:abstractNumId="4" w15:restartNumberingAfterBreak="0">
    <w:nsid w:val="1C7269A7"/>
    <w:multiLevelType w:val="hybridMultilevel"/>
    <w:tmpl w:val="E44A7CF4"/>
    <w:lvl w:ilvl="0" w:tplc="0E82CF22">
      <w:start w:val="4"/>
      <w:numFmt w:val="decimal"/>
      <w:lvlText w:val="%1"/>
      <w:lvlJc w:val="left"/>
      <w:pPr>
        <w:ind w:left="1409" w:hanging="370"/>
        <w:jc w:val="left"/>
      </w:pPr>
      <w:rPr>
        <w:rFonts w:hint="default"/>
      </w:rPr>
    </w:lvl>
    <w:lvl w:ilvl="1" w:tplc="E6F27620">
      <w:numFmt w:val="decimal"/>
      <w:lvlText w:val="%1.%2"/>
      <w:lvlJc w:val="left"/>
      <w:pPr>
        <w:ind w:left="1409" w:hanging="370"/>
        <w:jc w:val="right"/>
      </w:pPr>
      <w:rPr>
        <w:rFonts w:hint="default"/>
        <w:b/>
        <w:bCs/>
        <w:spacing w:val="-1"/>
        <w:w w:val="100"/>
      </w:rPr>
    </w:lvl>
    <w:lvl w:ilvl="2" w:tplc="3E2442AA">
      <w:numFmt w:val="bullet"/>
      <w:lvlText w:val="•"/>
      <w:lvlJc w:val="left"/>
      <w:pPr>
        <w:ind w:left="3416" w:hanging="370"/>
      </w:pPr>
      <w:rPr>
        <w:rFonts w:hint="default"/>
      </w:rPr>
    </w:lvl>
    <w:lvl w:ilvl="3" w:tplc="066489E2">
      <w:numFmt w:val="bullet"/>
      <w:lvlText w:val="•"/>
      <w:lvlJc w:val="left"/>
      <w:pPr>
        <w:ind w:left="4424" w:hanging="370"/>
      </w:pPr>
      <w:rPr>
        <w:rFonts w:hint="default"/>
      </w:rPr>
    </w:lvl>
    <w:lvl w:ilvl="4" w:tplc="121C1E80">
      <w:numFmt w:val="bullet"/>
      <w:lvlText w:val="•"/>
      <w:lvlJc w:val="left"/>
      <w:pPr>
        <w:ind w:left="5432" w:hanging="370"/>
      </w:pPr>
      <w:rPr>
        <w:rFonts w:hint="default"/>
      </w:rPr>
    </w:lvl>
    <w:lvl w:ilvl="5" w:tplc="9BC2CB90">
      <w:numFmt w:val="bullet"/>
      <w:lvlText w:val="•"/>
      <w:lvlJc w:val="left"/>
      <w:pPr>
        <w:ind w:left="6440" w:hanging="370"/>
      </w:pPr>
      <w:rPr>
        <w:rFonts w:hint="default"/>
      </w:rPr>
    </w:lvl>
    <w:lvl w:ilvl="6" w:tplc="E3DC092A">
      <w:numFmt w:val="bullet"/>
      <w:lvlText w:val="•"/>
      <w:lvlJc w:val="left"/>
      <w:pPr>
        <w:ind w:left="7448" w:hanging="370"/>
      </w:pPr>
      <w:rPr>
        <w:rFonts w:hint="default"/>
      </w:rPr>
    </w:lvl>
    <w:lvl w:ilvl="7" w:tplc="F73ED1A2">
      <w:numFmt w:val="bullet"/>
      <w:lvlText w:val="•"/>
      <w:lvlJc w:val="left"/>
      <w:pPr>
        <w:ind w:left="8456" w:hanging="370"/>
      </w:pPr>
      <w:rPr>
        <w:rFonts w:hint="default"/>
      </w:rPr>
    </w:lvl>
    <w:lvl w:ilvl="8" w:tplc="D8142DD2">
      <w:numFmt w:val="bullet"/>
      <w:lvlText w:val="•"/>
      <w:lvlJc w:val="left"/>
      <w:pPr>
        <w:ind w:left="9464" w:hanging="370"/>
      </w:pPr>
      <w:rPr>
        <w:rFonts w:hint="default"/>
      </w:rPr>
    </w:lvl>
  </w:abstractNum>
  <w:abstractNum w:abstractNumId="5" w15:restartNumberingAfterBreak="0">
    <w:nsid w:val="268209AD"/>
    <w:multiLevelType w:val="multilevel"/>
    <w:tmpl w:val="D0FC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58314A"/>
    <w:multiLevelType w:val="hybridMultilevel"/>
    <w:tmpl w:val="3940A1D6"/>
    <w:lvl w:ilvl="0" w:tplc="72327EC6">
      <w:start w:val="1"/>
      <w:numFmt w:val="bullet"/>
      <w:lvlText w:val="è"/>
      <w:lvlJc w:val="left"/>
      <w:pPr>
        <w:ind w:left="14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0ED3F80"/>
    <w:multiLevelType w:val="hybridMultilevel"/>
    <w:tmpl w:val="97CE4C8C"/>
    <w:lvl w:ilvl="0" w:tplc="2856D9A2">
      <w:start w:val="7"/>
      <w:numFmt w:val="decimal"/>
      <w:lvlText w:val="%1"/>
      <w:lvlJc w:val="left"/>
      <w:pPr>
        <w:ind w:left="1410" w:hanging="370"/>
        <w:jc w:val="left"/>
      </w:pPr>
      <w:rPr>
        <w:rFonts w:hint="default"/>
      </w:rPr>
    </w:lvl>
    <w:lvl w:ilvl="1" w:tplc="B9EC309C">
      <w:numFmt w:val="decimal"/>
      <w:lvlText w:val="%1.%2"/>
      <w:lvlJc w:val="left"/>
      <w:pPr>
        <w:ind w:left="1410" w:hanging="370"/>
        <w:jc w:val="right"/>
      </w:pPr>
      <w:rPr>
        <w:rFonts w:hint="default"/>
        <w:b/>
        <w:bCs/>
        <w:spacing w:val="-1"/>
        <w:w w:val="100"/>
      </w:rPr>
    </w:lvl>
    <w:lvl w:ilvl="2" w:tplc="3F028880">
      <w:numFmt w:val="bullet"/>
      <w:lvlText w:val="•"/>
      <w:lvlJc w:val="left"/>
      <w:pPr>
        <w:ind w:left="3432" w:hanging="370"/>
      </w:pPr>
      <w:rPr>
        <w:rFonts w:hint="default"/>
      </w:rPr>
    </w:lvl>
    <w:lvl w:ilvl="3" w:tplc="2C006B9A">
      <w:numFmt w:val="bullet"/>
      <w:lvlText w:val="•"/>
      <w:lvlJc w:val="left"/>
      <w:pPr>
        <w:ind w:left="4438" w:hanging="370"/>
      </w:pPr>
      <w:rPr>
        <w:rFonts w:hint="default"/>
      </w:rPr>
    </w:lvl>
    <w:lvl w:ilvl="4" w:tplc="7AC8EFE2">
      <w:numFmt w:val="bullet"/>
      <w:lvlText w:val="•"/>
      <w:lvlJc w:val="left"/>
      <w:pPr>
        <w:ind w:left="5444" w:hanging="370"/>
      </w:pPr>
      <w:rPr>
        <w:rFonts w:hint="default"/>
      </w:rPr>
    </w:lvl>
    <w:lvl w:ilvl="5" w:tplc="50B0C738">
      <w:numFmt w:val="bullet"/>
      <w:lvlText w:val="•"/>
      <w:lvlJc w:val="left"/>
      <w:pPr>
        <w:ind w:left="6450" w:hanging="370"/>
      </w:pPr>
      <w:rPr>
        <w:rFonts w:hint="default"/>
      </w:rPr>
    </w:lvl>
    <w:lvl w:ilvl="6" w:tplc="26DC160C">
      <w:numFmt w:val="bullet"/>
      <w:lvlText w:val="•"/>
      <w:lvlJc w:val="left"/>
      <w:pPr>
        <w:ind w:left="7456" w:hanging="370"/>
      </w:pPr>
      <w:rPr>
        <w:rFonts w:hint="default"/>
      </w:rPr>
    </w:lvl>
    <w:lvl w:ilvl="7" w:tplc="1EA88DA6">
      <w:numFmt w:val="bullet"/>
      <w:lvlText w:val="•"/>
      <w:lvlJc w:val="left"/>
      <w:pPr>
        <w:ind w:left="8462" w:hanging="370"/>
      </w:pPr>
      <w:rPr>
        <w:rFonts w:hint="default"/>
      </w:rPr>
    </w:lvl>
    <w:lvl w:ilvl="8" w:tplc="9A2C091E">
      <w:numFmt w:val="bullet"/>
      <w:lvlText w:val="•"/>
      <w:lvlJc w:val="left"/>
      <w:pPr>
        <w:ind w:left="9468" w:hanging="370"/>
      </w:pPr>
      <w:rPr>
        <w:rFonts w:hint="default"/>
      </w:rPr>
    </w:lvl>
  </w:abstractNum>
  <w:abstractNum w:abstractNumId="8" w15:restartNumberingAfterBreak="0">
    <w:nsid w:val="39D42F19"/>
    <w:multiLevelType w:val="hybridMultilevel"/>
    <w:tmpl w:val="2384D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04D6A"/>
    <w:multiLevelType w:val="hybridMultilevel"/>
    <w:tmpl w:val="57E67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327EC6">
      <w:start w:val="1"/>
      <w:numFmt w:val="bullet"/>
      <w:lvlText w:val="è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F17DD"/>
    <w:multiLevelType w:val="hybridMultilevel"/>
    <w:tmpl w:val="FA5062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03E5D"/>
    <w:multiLevelType w:val="hybridMultilevel"/>
    <w:tmpl w:val="F712F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975A1"/>
    <w:multiLevelType w:val="hybridMultilevel"/>
    <w:tmpl w:val="E71A8D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A751E4"/>
    <w:multiLevelType w:val="hybridMultilevel"/>
    <w:tmpl w:val="D9A06BF0"/>
    <w:lvl w:ilvl="0" w:tplc="72327EC6">
      <w:start w:val="1"/>
      <w:numFmt w:val="bullet"/>
      <w:lvlText w:val="è"/>
      <w:lvlJc w:val="left"/>
      <w:pPr>
        <w:ind w:left="144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0D688F"/>
    <w:multiLevelType w:val="hybridMultilevel"/>
    <w:tmpl w:val="FD28A138"/>
    <w:lvl w:ilvl="0" w:tplc="63589D9C">
      <w:start w:val="4"/>
      <w:numFmt w:val="decimal"/>
      <w:lvlText w:val="%1"/>
      <w:lvlJc w:val="left"/>
      <w:pPr>
        <w:ind w:left="1572" w:hanging="533"/>
        <w:jc w:val="left"/>
      </w:pPr>
      <w:rPr>
        <w:rFonts w:hint="default"/>
      </w:rPr>
    </w:lvl>
    <w:lvl w:ilvl="1" w:tplc="F56AA89A">
      <w:numFmt w:val="decimal"/>
      <w:lvlText w:val="%1.%2"/>
      <w:lvlJc w:val="left"/>
      <w:pPr>
        <w:ind w:left="1572" w:hanging="533"/>
        <w:jc w:val="left"/>
      </w:pPr>
      <w:rPr>
        <w:rFonts w:hint="default"/>
        <w:b/>
        <w:bCs/>
        <w:w w:val="99"/>
      </w:rPr>
    </w:lvl>
    <w:lvl w:ilvl="2" w:tplc="8E4EB534">
      <w:numFmt w:val="bullet"/>
      <w:lvlText w:val="•"/>
      <w:lvlJc w:val="left"/>
      <w:pPr>
        <w:ind w:left="3560" w:hanging="533"/>
      </w:pPr>
      <w:rPr>
        <w:rFonts w:hint="default"/>
      </w:rPr>
    </w:lvl>
    <w:lvl w:ilvl="3" w:tplc="20A82B82">
      <w:numFmt w:val="bullet"/>
      <w:lvlText w:val="•"/>
      <w:lvlJc w:val="left"/>
      <w:pPr>
        <w:ind w:left="4550" w:hanging="533"/>
      </w:pPr>
      <w:rPr>
        <w:rFonts w:hint="default"/>
      </w:rPr>
    </w:lvl>
    <w:lvl w:ilvl="4" w:tplc="A25C0F20">
      <w:numFmt w:val="bullet"/>
      <w:lvlText w:val="•"/>
      <w:lvlJc w:val="left"/>
      <w:pPr>
        <w:ind w:left="5540" w:hanging="533"/>
      </w:pPr>
      <w:rPr>
        <w:rFonts w:hint="default"/>
      </w:rPr>
    </w:lvl>
    <w:lvl w:ilvl="5" w:tplc="97B80F1A">
      <w:numFmt w:val="bullet"/>
      <w:lvlText w:val="•"/>
      <w:lvlJc w:val="left"/>
      <w:pPr>
        <w:ind w:left="6530" w:hanging="533"/>
      </w:pPr>
      <w:rPr>
        <w:rFonts w:hint="default"/>
      </w:rPr>
    </w:lvl>
    <w:lvl w:ilvl="6" w:tplc="9F5E510C">
      <w:numFmt w:val="bullet"/>
      <w:lvlText w:val="•"/>
      <w:lvlJc w:val="left"/>
      <w:pPr>
        <w:ind w:left="7520" w:hanging="533"/>
      </w:pPr>
      <w:rPr>
        <w:rFonts w:hint="default"/>
      </w:rPr>
    </w:lvl>
    <w:lvl w:ilvl="7" w:tplc="9AC88E84">
      <w:numFmt w:val="bullet"/>
      <w:lvlText w:val="•"/>
      <w:lvlJc w:val="left"/>
      <w:pPr>
        <w:ind w:left="8510" w:hanging="533"/>
      </w:pPr>
      <w:rPr>
        <w:rFonts w:hint="default"/>
      </w:rPr>
    </w:lvl>
    <w:lvl w:ilvl="8" w:tplc="CD90C4BE">
      <w:numFmt w:val="bullet"/>
      <w:lvlText w:val="•"/>
      <w:lvlJc w:val="left"/>
      <w:pPr>
        <w:ind w:left="9500" w:hanging="533"/>
      </w:pPr>
      <w:rPr>
        <w:rFonts w:hint="default"/>
      </w:rPr>
    </w:lvl>
  </w:abstractNum>
  <w:abstractNum w:abstractNumId="15" w15:restartNumberingAfterBreak="0">
    <w:nsid w:val="69B50083"/>
    <w:multiLevelType w:val="hybridMultilevel"/>
    <w:tmpl w:val="B238BD20"/>
    <w:lvl w:ilvl="0" w:tplc="72327EC6">
      <w:start w:val="1"/>
      <w:numFmt w:val="bullet"/>
      <w:lvlText w:val="è"/>
      <w:lvlJc w:val="left"/>
      <w:pPr>
        <w:ind w:left="927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4"/>
  </w:num>
  <w:num w:numId="5">
    <w:abstractNumId w:val="12"/>
  </w:num>
  <w:num w:numId="6">
    <w:abstractNumId w:val="15"/>
  </w:num>
  <w:num w:numId="7">
    <w:abstractNumId w:val="13"/>
  </w:num>
  <w:num w:numId="8">
    <w:abstractNumId w:val="10"/>
  </w:num>
  <w:num w:numId="9">
    <w:abstractNumId w:val="11"/>
  </w:num>
  <w:num w:numId="10">
    <w:abstractNumId w:val="6"/>
  </w:num>
  <w:num w:numId="11">
    <w:abstractNumId w:val="3"/>
  </w:num>
  <w:num w:numId="12">
    <w:abstractNumId w:val="1"/>
  </w:num>
  <w:num w:numId="13">
    <w:abstractNumId w:val="8"/>
  </w:num>
  <w:num w:numId="14">
    <w:abstractNumId w:val="9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B56"/>
    <w:rsid w:val="00160D76"/>
    <w:rsid w:val="00276AC1"/>
    <w:rsid w:val="00411A25"/>
    <w:rsid w:val="00576232"/>
    <w:rsid w:val="006C2889"/>
    <w:rsid w:val="00736B56"/>
    <w:rsid w:val="00890519"/>
    <w:rsid w:val="009D10B7"/>
    <w:rsid w:val="00A46EA7"/>
    <w:rsid w:val="00AA086D"/>
    <w:rsid w:val="00B752C1"/>
    <w:rsid w:val="00E8749C"/>
    <w:rsid w:val="00F3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8E0776"/>
  <w15:docId w15:val="{CE5B26ED-9E98-3840-A65B-BD53BF43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4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1510" w:hanging="47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92"/>
      <w:ind w:left="1631" w:hanging="37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NormalWeb">
    <w:name w:val="Normal (Web)"/>
    <w:basedOn w:val="Normal"/>
    <w:uiPriority w:val="99"/>
    <w:semiHidden/>
    <w:unhideWhenUsed/>
    <w:rsid w:val="0089051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5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</vt:lpstr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</dc:title>
  <dc:creator>Thompson Nguyen</dc:creator>
  <cp:lastModifiedBy>Amandeep Kaur</cp:lastModifiedBy>
  <cp:revision>8</cp:revision>
  <dcterms:created xsi:type="dcterms:W3CDTF">2020-12-09T01:48:00Z</dcterms:created>
  <dcterms:modified xsi:type="dcterms:W3CDTF">2020-12-09T02:58:00Z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