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069"/>
        <w:gridCol w:w="1120"/>
        <w:gridCol w:w="1676"/>
        <w:gridCol w:w="4657"/>
      </w:tblGrid>
      <w:tr w:rsidR="00CF146A" w:rsidTr="00CF146A">
        <w:tc>
          <w:tcPr>
            <w:tcW w:w="959" w:type="dxa"/>
          </w:tcPr>
          <w:p w:rsidR="00CF146A" w:rsidRDefault="00771A7A">
            <w:r>
              <w:rPr>
                <w:rFonts w:hint="eastAsia"/>
              </w:rPr>
              <w:t>批准号</w:t>
            </w:r>
          </w:p>
        </w:tc>
        <w:tc>
          <w:tcPr>
            <w:tcW w:w="1134" w:type="dxa"/>
          </w:tcPr>
          <w:p w:rsidR="00CF146A" w:rsidRDefault="00CF146A">
            <w:r>
              <w:rPr>
                <w:rFonts w:hint="eastAsia"/>
              </w:rPr>
              <w:t>负责人</w:t>
            </w:r>
          </w:p>
        </w:tc>
        <w:tc>
          <w:tcPr>
            <w:tcW w:w="1701" w:type="dxa"/>
          </w:tcPr>
          <w:p w:rsidR="00CF146A" w:rsidRDefault="00CF146A">
            <w:r>
              <w:rPr>
                <w:rFonts w:hint="eastAsia"/>
              </w:rPr>
              <w:t>申请单位</w:t>
            </w:r>
          </w:p>
        </w:tc>
        <w:tc>
          <w:tcPr>
            <w:tcW w:w="4728" w:type="dxa"/>
          </w:tcPr>
          <w:p w:rsidR="00CF146A" w:rsidRDefault="00CF146A">
            <w:r>
              <w:rPr>
                <w:rFonts w:hint="eastAsia"/>
              </w:rPr>
              <w:t>项目名称</w:t>
            </w:r>
          </w:p>
        </w:tc>
      </w:tr>
      <w:tr w:rsidR="00CF146A" w:rsidTr="00CF146A">
        <w:tc>
          <w:tcPr>
            <w:tcW w:w="959" w:type="dxa"/>
          </w:tcPr>
          <w:p w:rsidR="00CF146A" w:rsidRDefault="00771A7A">
            <w:r>
              <w:rPr>
                <w:rFonts w:hint="eastAsia"/>
              </w:rPr>
              <w:t>31460518</w:t>
            </w:r>
          </w:p>
        </w:tc>
        <w:tc>
          <w:tcPr>
            <w:tcW w:w="1134" w:type="dxa"/>
          </w:tcPr>
          <w:p w:rsidR="00CF146A" w:rsidRDefault="00CF146A">
            <w:r>
              <w:rPr>
                <w:rFonts w:hint="eastAsia"/>
              </w:rPr>
              <w:t>徐秉良</w:t>
            </w:r>
          </w:p>
        </w:tc>
        <w:tc>
          <w:tcPr>
            <w:tcW w:w="1701" w:type="dxa"/>
          </w:tcPr>
          <w:p w:rsidR="00CF146A" w:rsidRDefault="00CF146A">
            <w:r>
              <w:rPr>
                <w:rFonts w:hint="eastAsia"/>
              </w:rPr>
              <w:t>甘肃农业大学</w:t>
            </w:r>
          </w:p>
        </w:tc>
        <w:tc>
          <w:tcPr>
            <w:tcW w:w="4728" w:type="dxa"/>
          </w:tcPr>
          <w:p w:rsidR="00CF146A" w:rsidRDefault="00CF146A">
            <w:proofErr w:type="gramStart"/>
            <w:r>
              <w:rPr>
                <w:rFonts w:hint="eastAsia"/>
              </w:rPr>
              <w:t>裸仁美洲南瓜</w:t>
            </w:r>
            <w:proofErr w:type="gramEnd"/>
            <w:r>
              <w:rPr>
                <w:rFonts w:hint="eastAsia"/>
              </w:rPr>
              <w:t>种皮发育</w:t>
            </w:r>
            <w:r>
              <w:rPr>
                <w:rFonts w:hint="eastAsia"/>
              </w:rPr>
              <w:t>PAL</w:t>
            </w:r>
            <w:r>
              <w:rPr>
                <w:rFonts w:hint="eastAsia"/>
              </w:rPr>
              <w:t>基因分子调控机理</w:t>
            </w:r>
          </w:p>
        </w:tc>
      </w:tr>
      <w:tr w:rsidR="00CF146A" w:rsidTr="00CF146A">
        <w:tc>
          <w:tcPr>
            <w:tcW w:w="959" w:type="dxa"/>
          </w:tcPr>
          <w:p w:rsidR="00CF146A" w:rsidRDefault="00771A7A">
            <w:r>
              <w:rPr>
                <w:rFonts w:hint="eastAsia"/>
              </w:rPr>
              <w:t>31460622</w:t>
            </w:r>
          </w:p>
        </w:tc>
        <w:tc>
          <w:tcPr>
            <w:tcW w:w="1134" w:type="dxa"/>
          </w:tcPr>
          <w:p w:rsidR="00CF146A" w:rsidRDefault="00CF146A">
            <w:r>
              <w:rPr>
                <w:rFonts w:hint="eastAsia"/>
              </w:rPr>
              <w:t>刘晓静</w:t>
            </w:r>
          </w:p>
        </w:tc>
        <w:tc>
          <w:tcPr>
            <w:tcW w:w="1701" w:type="dxa"/>
          </w:tcPr>
          <w:p w:rsidR="00CF146A" w:rsidRDefault="00CF146A">
            <w:r>
              <w:rPr>
                <w:rFonts w:hint="eastAsia"/>
              </w:rPr>
              <w:t>甘肃农业大学</w:t>
            </w:r>
          </w:p>
        </w:tc>
        <w:tc>
          <w:tcPr>
            <w:tcW w:w="4728" w:type="dxa"/>
          </w:tcPr>
          <w:p w:rsidR="00CF146A" w:rsidRDefault="00CF146A">
            <w:r>
              <w:rPr>
                <w:rFonts w:hint="eastAsia"/>
              </w:rPr>
              <w:t>外源氮调控对紫花苜蓿体内氮素构成及根瘤固氮的影响</w:t>
            </w:r>
          </w:p>
        </w:tc>
      </w:tr>
      <w:tr w:rsidR="00CF146A" w:rsidTr="00CF146A">
        <w:tc>
          <w:tcPr>
            <w:tcW w:w="959" w:type="dxa"/>
          </w:tcPr>
          <w:p w:rsidR="00CF146A" w:rsidRDefault="00771A7A">
            <w:r>
              <w:rPr>
                <w:rFonts w:hint="eastAsia"/>
              </w:rPr>
              <w:t>51565002</w:t>
            </w:r>
          </w:p>
        </w:tc>
        <w:tc>
          <w:tcPr>
            <w:tcW w:w="1134" w:type="dxa"/>
          </w:tcPr>
          <w:p w:rsidR="00CF146A" w:rsidRDefault="00CF146A">
            <w:r>
              <w:rPr>
                <w:rFonts w:hint="eastAsia"/>
              </w:rPr>
              <w:t>赵春花</w:t>
            </w:r>
          </w:p>
        </w:tc>
        <w:tc>
          <w:tcPr>
            <w:tcW w:w="1701" w:type="dxa"/>
          </w:tcPr>
          <w:p w:rsidR="00CF146A" w:rsidRDefault="00CF146A">
            <w:r>
              <w:rPr>
                <w:rFonts w:hint="eastAsia"/>
              </w:rPr>
              <w:t>甘肃农业大学</w:t>
            </w:r>
          </w:p>
        </w:tc>
        <w:tc>
          <w:tcPr>
            <w:tcW w:w="4728" w:type="dxa"/>
          </w:tcPr>
          <w:p w:rsidR="00CF146A" w:rsidRDefault="00CF146A">
            <w:r>
              <w:rPr>
                <w:rFonts w:hint="eastAsia"/>
              </w:rPr>
              <w:t>基于苜蓿草刈割期茎叶力学化学特性的机械化收获压扁机理研究</w:t>
            </w:r>
          </w:p>
        </w:tc>
      </w:tr>
      <w:tr w:rsidR="00CF146A" w:rsidTr="00CF146A">
        <w:tc>
          <w:tcPr>
            <w:tcW w:w="959" w:type="dxa"/>
          </w:tcPr>
          <w:p w:rsidR="00CF146A" w:rsidRDefault="00771A7A">
            <w:r>
              <w:rPr>
                <w:rFonts w:hint="eastAsia"/>
              </w:rPr>
              <w:t>31371869</w:t>
            </w:r>
          </w:p>
        </w:tc>
        <w:tc>
          <w:tcPr>
            <w:tcW w:w="1134" w:type="dxa"/>
          </w:tcPr>
          <w:p w:rsidR="00CF146A" w:rsidRDefault="00CF146A">
            <w:r>
              <w:rPr>
                <w:rFonts w:hint="eastAsia"/>
              </w:rPr>
              <w:t>毕阳</w:t>
            </w:r>
          </w:p>
        </w:tc>
        <w:tc>
          <w:tcPr>
            <w:tcW w:w="1701" w:type="dxa"/>
          </w:tcPr>
          <w:p w:rsidR="00CF146A" w:rsidRDefault="0060168A">
            <w:r>
              <w:rPr>
                <w:rFonts w:hint="eastAsia"/>
              </w:rPr>
              <w:t>甘肃农业大学</w:t>
            </w:r>
          </w:p>
        </w:tc>
        <w:tc>
          <w:tcPr>
            <w:tcW w:w="4728" w:type="dxa"/>
          </w:tcPr>
          <w:p w:rsidR="00CF146A" w:rsidRDefault="0060168A">
            <w:r>
              <w:rPr>
                <w:rFonts w:hint="eastAsia"/>
              </w:rPr>
              <w:t>能量代谢和线粒体活性氧在硅诱导甜瓜果实抗病反应中的作用机理研究</w:t>
            </w:r>
          </w:p>
        </w:tc>
      </w:tr>
      <w:tr w:rsidR="00CF146A" w:rsidTr="00CF146A">
        <w:tc>
          <w:tcPr>
            <w:tcW w:w="959" w:type="dxa"/>
          </w:tcPr>
          <w:p w:rsidR="00CF146A" w:rsidRDefault="00771A7A">
            <w:r>
              <w:rPr>
                <w:rFonts w:hint="eastAsia"/>
              </w:rPr>
              <w:t>31540046</w:t>
            </w:r>
          </w:p>
        </w:tc>
        <w:tc>
          <w:tcPr>
            <w:tcW w:w="1134" w:type="dxa"/>
          </w:tcPr>
          <w:p w:rsidR="00CF146A" w:rsidRDefault="0060168A">
            <w:r>
              <w:rPr>
                <w:rFonts w:hint="eastAsia"/>
              </w:rPr>
              <w:t>毕阳</w:t>
            </w:r>
          </w:p>
        </w:tc>
        <w:tc>
          <w:tcPr>
            <w:tcW w:w="1701" w:type="dxa"/>
          </w:tcPr>
          <w:p w:rsidR="00CF146A" w:rsidRDefault="0060168A">
            <w:r>
              <w:rPr>
                <w:rFonts w:hint="eastAsia"/>
              </w:rPr>
              <w:t>甘肃农业大学</w:t>
            </w:r>
          </w:p>
        </w:tc>
        <w:tc>
          <w:tcPr>
            <w:tcW w:w="4728" w:type="dxa"/>
          </w:tcPr>
          <w:p w:rsidR="00CF146A" w:rsidRDefault="0060168A">
            <w:r>
              <w:rPr>
                <w:rFonts w:hint="eastAsia"/>
              </w:rPr>
              <w:t>CDPK</w:t>
            </w:r>
            <w:r>
              <w:rPr>
                <w:rFonts w:hint="eastAsia"/>
              </w:rPr>
              <w:t>和</w:t>
            </w:r>
            <w:r>
              <w:rPr>
                <w:rFonts w:hint="eastAsia"/>
              </w:rPr>
              <w:t>NOX</w:t>
            </w:r>
            <w:r>
              <w:rPr>
                <w:rFonts w:hint="eastAsia"/>
              </w:rPr>
              <w:t>在</w:t>
            </w:r>
            <w:r>
              <w:rPr>
                <w:rFonts w:hint="eastAsia"/>
              </w:rPr>
              <w:t>ASM</w:t>
            </w:r>
            <w:r>
              <w:rPr>
                <w:rFonts w:hint="eastAsia"/>
              </w:rPr>
              <w:t>促进马铃薯块茎愈伤中的功能及其关系</w:t>
            </w:r>
          </w:p>
        </w:tc>
      </w:tr>
      <w:tr w:rsidR="00CF146A" w:rsidTr="00CF146A">
        <w:tc>
          <w:tcPr>
            <w:tcW w:w="959" w:type="dxa"/>
          </w:tcPr>
          <w:p w:rsidR="00CF146A" w:rsidRDefault="00771A7A">
            <w:r>
              <w:rPr>
                <w:rFonts w:hint="eastAsia"/>
              </w:rPr>
              <w:t>31772040</w:t>
            </w:r>
          </w:p>
        </w:tc>
        <w:tc>
          <w:tcPr>
            <w:tcW w:w="1134" w:type="dxa"/>
          </w:tcPr>
          <w:p w:rsidR="00CF146A" w:rsidRDefault="0060168A">
            <w:r>
              <w:rPr>
                <w:rFonts w:hint="eastAsia"/>
              </w:rPr>
              <w:t>毕阳</w:t>
            </w:r>
          </w:p>
        </w:tc>
        <w:tc>
          <w:tcPr>
            <w:tcW w:w="1701" w:type="dxa"/>
          </w:tcPr>
          <w:p w:rsidR="00CF146A" w:rsidRDefault="0060168A">
            <w:r>
              <w:rPr>
                <w:rFonts w:hint="eastAsia"/>
              </w:rPr>
              <w:t>甘肃农业大学</w:t>
            </w:r>
          </w:p>
        </w:tc>
        <w:tc>
          <w:tcPr>
            <w:tcW w:w="4728" w:type="dxa"/>
          </w:tcPr>
          <w:p w:rsidR="00CF146A" w:rsidRDefault="0060168A">
            <w:r>
              <w:rPr>
                <w:rFonts w:hint="eastAsia"/>
              </w:rPr>
              <w:t>StCDPK29</w:t>
            </w:r>
            <w:r>
              <w:rPr>
                <w:rFonts w:hint="eastAsia"/>
              </w:rPr>
              <w:t>和</w:t>
            </w:r>
            <w:proofErr w:type="spellStart"/>
            <w:r>
              <w:rPr>
                <w:rFonts w:hint="eastAsia"/>
              </w:rPr>
              <w:t>StNOXC</w:t>
            </w:r>
            <w:proofErr w:type="spellEnd"/>
            <w:r>
              <w:rPr>
                <w:rFonts w:hint="eastAsia"/>
              </w:rPr>
              <w:t>在</w:t>
            </w:r>
            <w:r>
              <w:rPr>
                <w:rFonts w:hint="eastAsia"/>
              </w:rPr>
              <w:t>ASM</w:t>
            </w:r>
            <w:r>
              <w:rPr>
                <w:rFonts w:hint="eastAsia"/>
              </w:rPr>
              <w:t>促进马铃薯块茎愈伤中的功能研究</w:t>
            </w:r>
          </w:p>
        </w:tc>
      </w:tr>
      <w:tr w:rsidR="00CF146A" w:rsidTr="00CF146A">
        <w:trPr>
          <w:trHeight w:val="104"/>
        </w:trPr>
        <w:tc>
          <w:tcPr>
            <w:tcW w:w="959" w:type="dxa"/>
          </w:tcPr>
          <w:p w:rsidR="00CF146A" w:rsidRDefault="00771A7A">
            <w:r>
              <w:rPr>
                <w:rFonts w:hint="eastAsia"/>
              </w:rPr>
              <w:t>31260433</w:t>
            </w:r>
          </w:p>
        </w:tc>
        <w:tc>
          <w:tcPr>
            <w:tcW w:w="1134" w:type="dxa"/>
          </w:tcPr>
          <w:p w:rsidR="00CF146A" w:rsidRDefault="0060168A">
            <w:r>
              <w:rPr>
                <w:rFonts w:hint="eastAsia"/>
              </w:rPr>
              <w:t>刘长仲</w:t>
            </w:r>
          </w:p>
        </w:tc>
        <w:tc>
          <w:tcPr>
            <w:tcW w:w="1701" w:type="dxa"/>
          </w:tcPr>
          <w:p w:rsidR="00CF146A" w:rsidRDefault="0060168A">
            <w:r>
              <w:rPr>
                <w:rFonts w:hint="eastAsia"/>
              </w:rPr>
              <w:t>甘肃农业大学</w:t>
            </w:r>
          </w:p>
        </w:tc>
        <w:tc>
          <w:tcPr>
            <w:tcW w:w="4728" w:type="dxa"/>
          </w:tcPr>
          <w:p w:rsidR="00CF146A" w:rsidRDefault="0060168A">
            <w:r>
              <w:rPr>
                <w:rFonts w:hint="eastAsia"/>
              </w:rPr>
              <w:t>红色型和绿色型豌豆</w:t>
            </w:r>
            <w:proofErr w:type="gramStart"/>
            <w:r>
              <w:rPr>
                <w:rFonts w:hint="eastAsia"/>
              </w:rPr>
              <w:t>蚜</w:t>
            </w:r>
            <w:proofErr w:type="gramEnd"/>
            <w:r>
              <w:rPr>
                <w:rFonts w:hint="eastAsia"/>
              </w:rPr>
              <w:t>种群演替的生态机制研究</w:t>
            </w:r>
          </w:p>
        </w:tc>
      </w:tr>
      <w:tr w:rsidR="0060168A" w:rsidTr="0060168A">
        <w:trPr>
          <w:trHeight w:val="24"/>
        </w:trPr>
        <w:tc>
          <w:tcPr>
            <w:tcW w:w="959" w:type="dxa"/>
          </w:tcPr>
          <w:p w:rsidR="0060168A" w:rsidRDefault="00771A7A">
            <w:r>
              <w:rPr>
                <w:rFonts w:hint="eastAsia"/>
              </w:rPr>
              <w:t>31660522</w:t>
            </w:r>
          </w:p>
        </w:tc>
        <w:tc>
          <w:tcPr>
            <w:tcW w:w="1134" w:type="dxa"/>
          </w:tcPr>
          <w:p w:rsidR="0060168A" w:rsidRDefault="0060168A">
            <w:r>
              <w:rPr>
                <w:rFonts w:hint="eastAsia"/>
              </w:rPr>
              <w:t>刘长仲</w:t>
            </w:r>
          </w:p>
        </w:tc>
        <w:tc>
          <w:tcPr>
            <w:tcW w:w="1701" w:type="dxa"/>
          </w:tcPr>
          <w:p w:rsidR="0060168A" w:rsidRDefault="0060168A">
            <w:r>
              <w:rPr>
                <w:rFonts w:hint="eastAsia"/>
              </w:rPr>
              <w:t>甘肃农</w:t>
            </w:r>
            <w:bookmarkStart w:id="0" w:name="_GoBack"/>
            <w:bookmarkEnd w:id="0"/>
            <w:r>
              <w:rPr>
                <w:rFonts w:hint="eastAsia"/>
              </w:rPr>
              <w:t>业大学</w:t>
            </w:r>
          </w:p>
        </w:tc>
        <w:tc>
          <w:tcPr>
            <w:tcW w:w="4728" w:type="dxa"/>
          </w:tcPr>
          <w:p w:rsidR="009D231F" w:rsidRDefault="009D231F">
            <w:r>
              <w:rPr>
                <w:rFonts w:hint="eastAsia"/>
              </w:rPr>
              <w:t>两种色型豌豆蚜虫种群演替对大气</w:t>
            </w:r>
            <w:r>
              <w:rPr>
                <w:rFonts w:hint="eastAsia"/>
              </w:rPr>
              <w:t>CO2</w:t>
            </w:r>
            <w:r>
              <w:rPr>
                <w:rFonts w:hint="eastAsia"/>
              </w:rPr>
              <w:t>浓度升高的响应机制</w:t>
            </w:r>
          </w:p>
        </w:tc>
      </w:tr>
      <w:tr w:rsidR="0060168A" w:rsidTr="00CF146A">
        <w:trPr>
          <w:trHeight w:val="23"/>
        </w:trPr>
        <w:tc>
          <w:tcPr>
            <w:tcW w:w="959" w:type="dxa"/>
          </w:tcPr>
          <w:p w:rsidR="0060168A" w:rsidRDefault="0060168A"/>
        </w:tc>
        <w:tc>
          <w:tcPr>
            <w:tcW w:w="1134" w:type="dxa"/>
          </w:tcPr>
          <w:p w:rsidR="0060168A" w:rsidRDefault="0060168A"/>
        </w:tc>
        <w:tc>
          <w:tcPr>
            <w:tcW w:w="1701" w:type="dxa"/>
          </w:tcPr>
          <w:p w:rsidR="0060168A" w:rsidRDefault="0060168A"/>
        </w:tc>
        <w:tc>
          <w:tcPr>
            <w:tcW w:w="4728" w:type="dxa"/>
          </w:tcPr>
          <w:p w:rsidR="0060168A" w:rsidRDefault="0060168A"/>
        </w:tc>
      </w:tr>
      <w:tr w:rsidR="0060168A" w:rsidTr="00CF146A">
        <w:trPr>
          <w:trHeight w:val="23"/>
        </w:trPr>
        <w:tc>
          <w:tcPr>
            <w:tcW w:w="959" w:type="dxa"/>
          </w:tcPr>
          <w:p w:rsidR="0060168A" w:rsidRDefault="0060168A"/>
        </w:tc>
        <w:tc>
          <w:tcPr>
            <w:tcW w:w="1134" w:type="dxa"/>
          </w:tcPr>
          <w:p w:rsidR="0060168A" w:rsidRDefault="0060168A"/>
        </w:tc>
        <w:tc>
          <w:tcPr>
            <w:tcW w:w="1701" w:type="dxa"/>
          </w:tcPr>
          <w:p w:rsidR="0060168A" w:rsidRDefault="0060168A"/>
        </w:tc>
        <w:tc>
          <w:tcPr>
            <w:tcW w:w="4728" w:type="dxa"/>
          </w:tcPr>
          <w:p w:rsidR="0060168A" w:rsidRDefault="0060168A"/>
        </w:tc>
      </w:tr>
      <w:tr w:rsidR="0060168A" w:rsidTr="00CF146A">
        <w:trPr>
          <w:trHeight w:val="23"/>
        </w:trPr>
        <w:tc>
          <w:tcPr>
            <w:tcW w:w="959" w:type="dxa"/>
          </w:tcPr>
          <w:p w:rsidR="0060168A" w:rsidRDefault="0060168A"/>
        </w:tc>
        <w:tc>
          <w:tcPr>
            <w:tcW w:w="1134" w:type="dxa"/>
          </w:tcPr>
          <w:p w:rsidR="0060168A" w:rsidRDefault="0060168A"/>
        </w:tc>
        <w:tc>
          <w:tcPr>
            <w:tcW w:w="1701" w:type="dxa"/>
          </w:tcPr>
          <w:p w:rsidR="0060168A" w:rsidRDefault="0060168A"/>
        </w:tc>
        <w:tc>
          <w:tcPr>
            <w:tcW w:w="4728" w:type="dxa"/>
          </w:tcPr>
          <w:p w:rsidR="0060168A" w:rsidRDefault="0060168A"/>
        </w:tc>
      </w:tr>
      <w:tr w:rsidR="0060168A" w:rsidTr="00CF146A">
        <w:trPr>
          <w:trHeight w:val="23"/>
        </w:trPr>
        <w:tc>
          <w:tcPr>
            <w:tcW w:w="959" w:type="dxa"/>
          </w:tcPr>
          <w:p w:rsidR="0060168A" w:rsidRDefault="0060168A"/>
        </w:tc>
        <w:tc>
          <w:tcPr>
            <w:tcW w:w="1134" w:type="dxa"/>
          </w:tcPr>
          <w:p w:rsidR="0060168A" w:rsidRDefault="0060168A"/>
        </w:tc>
        <w:tc>
          <w:tcPr>
            <w:tcW w:w="1701" w:type="dxa"/>
          </w:tcPr>
          <w:p w:rsidR="0060168A" w:rsidRDefault="0060168A"/>
        </w:tc>
        <w:tc>
          <w:tcPr>
            <w:tcW w:w="4728" w:type="dxa"/>
          </w:tcPr>
          <w:p w:rsidR="0060168A" w:rsidRDefault="0060168A"/>
        </w:tc>
      </w:tr>
      <w:tr w:rsidR="0060168A" w:rsidTr="00CF146A">
        <w:trPr>
          <w:trHeight w:val="23"/>
        </w:trPr>
        <w:tc>
          <w:tcPr>
            <w:tcW w:w="959" w:type="dxa"/>
          </w:tcPr>
          <w:p w:rsidR="0060168A" w:rsidRDefault="0060168A"/>
        </w:tc>
        <w:tc>
          <w:tcPr>
            <w:tcW w:w="1134" w:type="dxa"/>
          </w:tcPr>
          <w:p w:rsidR="0060168A" w:rsidRDefault="0060168A"/>
        </w:tc>
        <w:tc>
          <w:tcPr>
            <w:tcW w:w="1701" w:type="dxa"/>
          </w:tcPr>
          <w:p w:rsidR="0060168A" w:rsidRDefault="0060168A"/>
        </w:tc>
        <w:tc>
          <w:tcPr>
            <w:tcW w:w="4728" w:type="dxa"/>
          </w:tcPr>
          <w:p w:rsidR="0060168A" w:rsidRDefault="0060168A"/>
        </w:tc>
      </w:tr>
      <w:tr w:rsidR="0060168A" w:rsidTr="00CF146A">
        <w:trPr>
          <w:trHeight w:val="23"/>
        </w:trPr>
        <w:tc>
          <w:tcPr>
            <w:tcW w:w="959" w:type="dxa"/>
          </w:tcPr>
          <w:p w:rsidR="0060168A" w:rsidRDefault="0060168A"/>
        </w:tc>
        <w:tc>
          <w:tcPr>
            <w:tcW w:w="1134" w:type="dxa"/>
          </w:tcPr>
          <w:p w:rsidR="0060168A" w:rsidRDefault="0060168A"/>
        </w:tc>
        <w:tc>
          <w:tcPr>
            <w:tcW w:w="1701" w:type="dxa"/>
          </w:tcPr>
          <w:p w:rsidR="0060168A" w:rsidRDefault="0060168A"/>
        </w:tc>
        <w:tc>
          <w:tcPr>
            <w:tcW w:w="4728" w:type="dxa"/>
          </w:tcPr>
          <w:p w:rsidR="0060168A" w:rsidRDefault="0060168A"/>
        </w:tc>
      </w:tr>
      <w:tr w:rsidR="0060168A" w:rsidTr="00CF146A">
        <w:trPr>
          <w:trHeight w:val="23"/>
        </w:trPr>
        <w:tc>
          <w:tcPr>
            <w:tcW w:w="959" w:type="dxa"/>
          </w:tcPr>
          <w:p w:rsidR="0060168A" w:rsidRDefault="0060168A"/>
        </w:tc>
        <w:tc>
          <w:tcPr>
            <w:tcW w:w="1134" w:type="dxa"/>
          </w:tcPr>
          <w:p w:rsidR="0060168A" w:rsidRDefault="0060168A"/>
        </w:tc>
        <w:tc>
          <w:tcPr>
            <w:tcW w:w="1701" w:type="dxa"/>
          </w:tcPr>
          <w:p w:rsidR="0060168A" w:rsidRDefault="0060168A"/>
        </w:tc>
        <w:tc>
          <w:tcPr>
            <w:tcW w:w="4728" w:type="dxa"/>
          </w:tcPr>
          <w:p w:rsidR="0060168A" w:rsidRDefault="0060168A"/>
        </w:tc>
      </w:tr>
      <w:tr w:rsidR="0060168A" w:rsidTr="00CF146A">
        <w:trPr>
          <w:trHeight w:val="23"/>
        </w:trPr>
        <w:tc>
          <w:tcPr>
            <w:tcW w:w="959" w:type="dxa"/>
          </w:tcPr>
          <w:p w:rsidR="0060168A" w:rsidRDefault="0060168A"/>
        </w:tc>
        <w:tc>
          <w:tcPr>
            <w:tcW w:w="1134" w:type="dxa"/>
          </w:tcPr>
          <w:p w:rsidR="0060168A" w:rsidRDefault="0060168A"/>
        </w:tc>
        <w:tc>
          <w:tcPr>
            <w:tcW w:w="1701" w:type="dxa"/>
          </w:tcPr>
          <w:p w:rsidR="0060168A" w:rsidRDefault="0060168A"/>
        </w:tc>
        <w:tc>
          <w:tcPr>
            <w:tcW w:w="4728" w:type="dxa"/>
          </w:tcPr>
          <w:p w:rsidR="0060168A" w:rsidRDefault="0060168A"/>
        </w:tc>
      </w:tr>
    </w:tbl>
    <w:p w:rsidR="00564B76" w:rsidRDefault="00564B76"/>
    <w:sectPr w:rsidR="00564B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6A"/>
    <w:rsid w:val="00564B76"/>
    <w:rsid w:val="0060168A"/>
    <w:rsid w:val="00771A7A"/>
    <w:rsid w:val="009D231F"/>
    <w:rsid w:val="00CF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1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1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66</Words>
  <Characters>382</Characters>
  <Application>Microsoft Office Word</Application>
  <DocSecurity>0</DocSecurity>
  <Lines>3</Lines>
  <Paragraphs>1</Paragraphs>
  <ScaleCrop>false</ScaleCrop>
  <Company>微软中国</Company>
  <LinksUpToDate>false</LinksUpToDate>
  <CharactersWithSpaces>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2018-01-11T15:54:00Z</dcterms:created>
  <dcterms:modified xsi:type="dcterms:W3CDTF">2018-01-11T16:29:00Z</dcterms:modified>
</cp:coreProperties>
</file>