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D166" w14:textId="77777777" w:rsidR="001267E1" w:rsidRDefault="00000000">
      <w:pPr>
        <w:spacing w:before="720" w:after="160"/>
        <w:jc w:val="center"/>
      </w:pPr>
      <w:r>
        <w:rPr>
          <w:rFonts w:ascii="Calibri" w:hAnsi="Calibri"/>
          <w:b/>
          <w:color w:val="555555"/>
          <w:sz w:val="24"/>
        </w:rPr>
        <w:t>NATIONAL UNIVERSITY OF SINGAPORE</w:t>
      </w:r>
      <w:r>
        <w:rPr>
          <w:rFonts w:ascii="Calibri" w:hAnsi="Calibri"/>
          <w:b/>
          <w:color w:val="555555"/>
          <w:sz w:val="24"/>
        </w:rPr>
        <w:br/>
        <w:t>INSTITUTE OF SYSTEMS SCIENCE (NUS-ISS)</w:t>
      </w:r>
      <w:r>
        <w:rPr>
          <w:rFonts w:ascii="Calibri" w:hAnsi="Calibri"/>
          <w:b/>
          <w:color w:val="555555"/>
          <w:sz w:val="24"/>
        </w:rPr>
        <w:br/>
      </w:r>
      <w:r>
        <w:rPr>
          <w:rFonts w:ascii="Calibri" w:hAnsi="Calibri"/>
          <w:b/>
          <w:color w:val="457B9D"/>
          <w:sz w:val="26"/>
        </w:rPr>
        <w:t>Graduate Certificate in Intelligent Reasoning Systems (GC1)</w:t>
      </w:r>
      <w:r>
        <w:rPr>
          <w:rFonts w:ascii="Calibri" w:hAnsi="Calibri"/>
          <w:b/>
          <w:color w:val="457B9D"/>
          <w:sz w:val="26"/>
        </w:rPr>
        <w:br/>
        <w:t>Practice Module: Intelligent Reasoning Systems (IRS-PM)</w:t>
      </w:r>
      <w:r>
        <w:rPr>
          <w:rFonts w:ascii="Calibri" w:hAnsi="Calibri"/>
          <w:b/>
          <w:color w:val="457B9D"/>
          <w:sz w:val="26"/>
        </w:rPr>
        <w:br/>
      </w:r>
    </w:p>
    <w:tbl>
      <w:tblPr>
        <w:tblW w:w="0" w:type="auto"/>
        <w:jc w:val="center"/>
        <w:tblLook w:val="04A0" w:firstRow="1" w:lastRow="0" w:firstColumn="1" w:lastColumn="0" w:noHBand="0" w:noVBand="1"/>
      </w:tblPr>
      <w:tblGrid>
        <w:gridCol w:w="9360"/>
      </w:tblGrid>
      <w:tr w:rsidR="001267E1" w14:paraId="6908F683" w14:textId="77777777">
        <w:trPr>
          <w:jc w:val="center"/>
        </w:trPr>
        <w:tc>
          <w:tcPr>
            <w:tcW w:w="9360" w:type="dxa"/>
            <w:shd w:val="clear" w:color="auto" w:fill="1B365D"/>
            <w:tcMar>
              <w:top w:w="280" w:type="dxa"/>
              <w:left w:w="240" w:type="dxa"/>
              <w:bottom w:w="280" w:type="dxa"/>
              <w:right w:w="240" w:type="dxa"/>
            </w:tcMar>
          </w:tcPr>
          <w:p w14:paraId="6F0334AE" w14:textId="77777777" w:rsidR="001267E1" w:rsidRDefault="00000000">
            <w:pPr>
              <w:jc w:val="center"/>
            </w:pPr>
            <w:r>
              <w:rPr>
                <w:rFonts w:ascii="Calibri" w:hAnsi="Calibri"/>
                <w:b/>
                <w:color w:val="FFFFFF"/>
                <w:sz w:val="52"/>
              </w:rPr>
              <w:t>MARKETSENSE AI</w:t>
            </w:r>
            <w:r>
              <w:rPr>
                <w:rFonts w:ascii="Calibri" w:hAnsi="Calibri"/>
                <w:b/>
                <w:color w:val="FFFFFF"/>
                <w:sz w:val="52"/>
              </w:rPr>
              <w:br/>
            </w:r>
            <w:r>
              <w:rPr>
                <w:rFonts w:ascii="Calibri" w:hAnsi="Calibri"/>
                <w:color w:val="D4AF37"/>
                <w:sz w:val="26"/>
              </w:rPr>
              <w:t>A Neuro-Symbolic Intelligent Reasoning Simulator for Macroeconomic Shocks &amp; Portfolio Adaptability</w:t>
            </w:r>
            <w:r>
              <w:rPr>
                <w:rFonts w:ascii="Calibri" w:hAnsi="Calibri"/>
                <w:color w:val="D4AF37"/>
                <w:sz w:val="26"/>
              </w:rPr>
              <w:br/>
            </w:r>
            <w:r>
              <w:rPr>
                <w:rFonts w:ascii="Calibri" w:hAnsi="Calibri"/>
                <w:color w:val="D4AF37"/>
                <w:sz w:val="26"/>
              </w:rPr>
              <w:br/>
              <w:t>FINAL GROUP PROJECT REPORT</w:t>
            </w:r>
          </w:p>
        </w:tc>
      </w:tr>
    </w:tbl>
    <w:p w14:paraId="17E5F0CF" w14:textId="77777777" w:rsidR="001267E1" w:rsidRDefault="001267E1">
      <w:pPr>
        <w:spacing w:after="480"/>
      </w:pP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68"/>
        <w:gridCol w:w="6192"/>
      </w:tblGrid>
      <w:tr w:rsidR="001267E1" w14:paraId="42342A16" w14:textId="77777777">
        <w:trPr>
          <w:jc w:val="center"/>
        </w:trPr>
        <w:tc>
          <w:tcPr>
            <w:tcW w:w="3168" w:type="dxa"/>
            <w:shd w:val="clear" w:color="auto" w:fill="FFFFFF"/>
            <w:tcMar>
              <w:top w:w="80" w:type="dxa"/>
              <w:left w:w="140" w:type="dxa"/>
              <w:bottom w:w="80" w:type="dxa"/>
              <w:right w:w="140" w:type="dxa"/>
            </w:tcMar>
            <w:vAlign w:val="center"/>
          </w:tcPr>
          <w:p w14:paraId="6B53FA48" w14:textId="77777777" w:rsidR="001267E1" w:rsidRDefault="00000000">
            <w:r>
              <w:rPr>
                <w:rFonts w:ascii="Calibri" w:hAnsi="Calibri"/>
                <w:b/>
                <w:color w:val="1B365D"/>
                <w:sz w:val="18"/>
              </w:rPr>
              <w:t>Group / Team Name:</w:t>
            </w:r>
          </w:p>
        </w:tc>
        <w:tc>
          <w:tcPr>
            <w:tcW w:w="6192" w:type="dxa"/>
            <w:shd w:val="clear" w:color="auto" w:fill="FFFFFF"/>
            <w:tcMar>
              <w:top w:w="80" w:type="dxa"/>
              <w:left w:w="140" w:type="dxa"/>
              <w:bottom w:w="80" w:type="dxa"/>
              <w:right w:w="140" w:type="dxa"/>
            </w:tcMar>
            <w:vAlign w:val="center"/>
          </w:tcPr>
          <w:p w14:paraId="0FB58822" w14:textId="77777777" w:rsidR="001267E1" w:rsidRDefault="00000000">
            <w:r>
              <w:rPr>
                <w:rFonts w:ascii="Calibri" w:hAnsi="Calibri"/>
                <w:color w:val="222222"/>
                <w:sz w:val="18"/>
              </w:rPr>
              <w:t>TeamChamp</w:t>
            </w:r>
          </w:p>
        </w:tc>
      </w:tr>
      <w:tr w:rsidR="001267E1" w14:paraId="64AB2461" w14:textId="77777777">
        <w:trPr>
          <w:jc w:val="center"/>
        </w:trPr>
        <w:tc>
          <w:tcPr>
            <w:tcW w:w="3168" w:type="dxa"/>
            <w:shd w:val="clear" w:color="auto" w:fill="F4F6F9"/>
            <w:tcMar>
              <w:top w:w="80" w:type="dxa"/>
              <w:left w:w="140" w:type="dxa"/>
              <w:bottom w:w="80" w:type="dxa"/>
              <w:right w:w="140" w:type="dxa"/>
            </w:tcMar>
            <w:vAlign w:val="center"/>
          </w:tcPr>
          <w:p w14:paraId="663F6E7F" w14:textId="77777777" w:rsidR="001267E1" w:rsidRDefault="00000000">
            <w:r>
              <w:rPr>
                <w:rFonts w:ascii="Calibri" w:hAnsi="Calibri"/>
                <w:b/>
                <w:color w:val="1B365D"/>
                <w:sz w:val="18"/>
              </w:rPr>
              <w:t>Group Number:</w:t>
            </w:r>
          </w:p>
        </w:tc>
        <w:tc>
          <w:tcPr>
            <w:tcW w:w="6192" w:type="dxa"/>
            <w:shd w:val="clear" w:color="auto" w:fill="F4F6F9"/>
            <w:tcMar>
              <w:top w:w="80" w:type="dxa"/>
              <w:left w:w="140" w:type="dxa"/>
              <w:bottom w:w="80" w:type="dxa"/>
              <w:right w:w="140" w:type="dxa"/>
            </w:tcMar>
            <w:vAlign w:val="center"/>
          </w:tcPr>
          <w:p w14:paraId="2A7EFC8B" w14:textId="77777777" w:rsidR="001267E1" w:rsidRDefault="00000000">
            <w:r>
              <w:rPr>
                <w:rFonts w:ascii="Calibri" w:hAnsi="Calibri"/>
                <w:color w:val="222222"/>
                <w:sz w:val="18"/>
              </w:rPr>
              <w:t>Group 26</w:t>
            </w:r>
          </w:p>
        </w:tc>
      </w:tr>
      <w:tr w:rsidR="001267E1" w14:paraId="69A2C3DE" w14:textId="77777777">
        <w:trPr>
          <w:jc w:val="center"/>
        </w:trPr>
        <w:tc>
          <w:tcPr>
            <w:tcW w:w="3168" w:type="dxa"/>
            <w:shd w:val="clear" w:color="auto" w:fill="FFFFFF"/>
            <w:tcMar>
              <w:top w:w="80" w:type="dxa"/>
              <w:left w:w="140" w:type="dxa"/>
              <w:bottom w:w="80" w:type="dxa"/>
              <w:right w:w="140" w:type="dxa"/>
            </w:tcMar>
            <w:vAlign w:val="center"/>
          </w:tcPr>
          <w:p w14:paraId="149F8CCF" w14:textId="77777777" w:rsidR="001267E1" w:rsidRDefault="00000000">
            <w:r>
              <w:rPr>
                <w:rFonts w:ascii="Calibri" w:hAnsi="Calibri"/>
                <w:b/>
                <w:color w:val="1B365D"/>
                <w:sz w:val="18"/>
              </w:rPr>
              <w:t>Student Full Name:</w:t>
            </w:r>
          </w:p>
        </w:tc>
        <w:tc>
          <w:tcPr>
            <w:tcW w:w="6192" w:type="dxa"/>
            <w:shd w:val="clear" w:color="auto" w:fill="FFFFFF"/>
            <w:tcMar>
              <w:top w:w="80" w:type="dxa"/>
              <w:left w:w="140" w:type="dxa"/>
              <w:bottom w:w="80" w:type="dxa"/>
              <w:right w:w="140" w:type="dxa"/>
            </w:tcMar>
            <w:vAlign w:val="center"/>
          </w:tcPr>
          <w:p w14:paraId="47E9A66F" w14:textId="77777777" w:rsidR="001267E1" w:rsidRDefault="00000000">
            <w:r>
              <w:rPr>
                <w:rFonts w:ascii="Calibri" w:hAnsi="Calibri"/>
                <w:color w:val="222222"/>
                <w:sz w:val="18"/>
              </w:rPr>
              <w:t>Gupta Swaraj</w:t>
            </w:r>
          </w:p>
        </w:tc>
      </w:tr>
      <w:tr w:rsidR="001267E1" w14:paraId="17DFAD64" w14:textId="77777777">
        <w:trPr>
          <w:jc w:val="center"/>
        </w:trPr>
        <w:tc>
          <w:tcPr>
            <w:tcW w:w="3168" w:type="dxa"/>
            <w:shd w:val="clear" w:color="auto" w:fill="F4F6F9"/>
            <w:tcMar>
              <w:top w:w="80" w:type="dxa"/>
              <w:left w:w="140" w:type="dxa"/>
              <w:bottom w:w="80" w:type="dxa"/>
              <w:right w:w="140" w:type="dxa"/>
            </w:tcMar>
            <w:vAlign w:val="center"/>
          </w:tcPr>
          <w:p w14:paraId="244109CC" w14:textId="77777777" w:rsidR="001267E1" w:rsidRDefault="00000000">
            <w:r>
              <w:rPr>
                <w:rFonts w:ascii="Calibri" w:hAnsi="Calibri"/>
                <w:b/>
                <w:color w:val="1B365D"/>
                <w:sz w:val="18"/>
              </w:rPr>
              <w:t>Student Matriculation ID:</w:t>
            </w:r>
          </w:p>
        </w:tc>
        <w:tc>
          <w:tcPr>
            <w:tcW w:w="6192" w:type="dxa"/>
            <w:shd w:val="clear" w:color="auto" w:fill="F4F6F9"/>
            <w:tcMar>
              <w:top w:w="80" w:type="dxa"/>
              <w:left w:w="140" w:type="dxa"/>
              <w:bottom w:w="80" w:type="dxa"/>
              <w:right w:w="140" w:type="dxa"/>
            </w:tcMar>
            <w:vAlign w:val="center"/>
          </w:tcPr>
          <w:p w14:paraId="6E218B08" w14:textId="77777777" w:rsidR="001267E1" w:rsidRDefault="00000000">
            <w:r>
              <w:rPr>
                <w:rFonts w:ascii="Calibri" w:hAnsi="Calibri"/>
                <w:color w:val="222222"/>
                <w:sz w:val="18"/>
              </w:rPr>
              <w:t>A0357457N</w:t>
            </w:r>
          </w:p>
        </w:tc>
      </w:tr>
      <w:tr w:rsidR="001267E1" w14:paraId="5DFDD985" w14:textId="77777777">
        <w:trPr>
          <w:jc w:val="center"/>
        </w:trPr>
        <w:tc>
          <w:tcPr>
            <w:tcW w:w="3168" w:type="dxa"/>
            <w:shd w:val="clear" w:color="auto" w:fill="FFFFFF"/>
            <w:tcMar>
              <w:top w:w="80" w:type="dxa"/>
              <w:left w:w="140" w:type="dxa"/>
              <w:bottom w:w="80" w:type="dxa"/>
              <w:right w:w="140" w:type="dxa"/>
            </w:tcMar>
            <w:vAlign w:val="center"/>
          </w:tcPr>
          <w:p w14:paraId="7B0B95FD" w14:textId="77777777" w:rsidR="001267E1" w:rsidRDefault="00000000">
            <w:r>
              <w:rPr>
                <w:rFonts w:ascii="Calibri" w:hAnsi="Calibri"/>
                <w:b/>
                <w:color w:val="1B365D"/>
                <w:sz w:val="18"/>
              </w:rPr>
              <w:t>GitHub Project Repository:</w:t>
            </w:r>
          </w:p>
        </w:tc>
        <w:tc>
          <w:tcPr>
            <w:tcW w:w="6192" w:type="dxa"/>
            <w:shd w:val="clear" w:color="auto" w:fill="FFFFFF"/>
            <w:tcMar>
              <w:top w:w="80" w:type="dxa"/>
              <w:left w:w="140" w:type="dxa"/>
              <w:bottom w:w="80" w:type="dxa"/>
              <w:right w:w="140" w:type="dxa"/>
            </w:tcMar>
            <w:vAlign w:val="center"/>
          </w:tcPr>
          <w:p w14:paraId="068601C0" w14:textId="77777777" w:rsidR="001267E1" w:rsidRDefault="00000000">
            <w:r>
              <w:rPr>
                <w:rFonts w:ascii="Calibri" w:hAnsi="Calibri"/>
                <w:color w:val="222222"/>
                <w:sz w:val="18"/>
              </w:rPr>
              <w:t>https://github.com/s3arajgupta/MarketSense/tree/main</w:t>
            </w:r>
          </w:p>
        </w:tc>
      </w:tr>
      <w:tr w:rsidR="001267E1" w14:paraId="566B83BB" w14:textId="77777777">
        <w:trPr>
          <w:jc w:val="center"/>
        </w:trPr>
        <w:tc>
          <w:tcPr>
            <w:tcW w:w="3168" w:type="dxa"/>
            <w:shd w:val="clear" w:color="auto" w:fill="F4F6F9"/>
            <w:tcMar>
              <w:top w:w="80" w:type="dxa"/>
              <w:left w:w="140" w:type="dxa"/>
              <w:bottom w:w="80" w:type="dxa"/>
              <w:right w:w="140" w:type="dxa"/>
            </w:tcMar>
            <w:vAlign w:val="center"/>
          </w:tcPr>
          <w:p w14:paraId="6E8EBB0D" w14:textId="77777777" w:rsidR="001267E1" w:rsidRDefault="00000000">
            <w:r>
              <w:rPr>
                <w:rFonts w:ascii="Calibri" w:hAnsi="Calibri"/>
                <w:b/>
                <w:color w:val="1B365D"/>
                <w:sz w:val="18"/>
              </w:rPr>
              <w:t>Submission Date / Term:</w:t>
            </w:r>
          </w:p>
        </w:tc>
        <w:tc>
          <w:tcPr>
            <w:tcW w:w="6192" w:type="dxa"/>
            <w:shd w:val="clear" w:color="auto" w:fill="F4F6F9"/>
            <w:tcMar>
              <w:top w:w="80" w:type="dxa"/>
              <w:left w:w="140" w:type="dxa"/>
              <w:bottom w:w="80" w:type="dxa"/>
              <w:right w:w="140" w:type="dxa"/>
            </w:tcMar>
            <w:vAlign w:val="center"/>
          </w:tcPr>
          <w:p w14:paraId="74AAC599" w14:textId="69257071" w:rsidR="001267E1" w:rsidRDefault="00000000">
            <w:r>
              <w:rPr>
                <w:rFonts w:ascii="Calibri" w:hAnsi="Calibri"/>
                <w:color w:val="222222"/>
                <w:sz w:val="18"/>
              </w:rPr>
              <w:t>2</w:t>
            </w:r>
            <w:r w:rsidR="008879FB">
              <w:rPr>
                <w:rFonts w:ascii="Calibri" w:hAnsi="Calibri"/>
                <w:color w:val="222222"/>
                <w:sz w:val="18"/>
              </w:rPr>
              <w:t>5</w:t>
            </w:r>
            <w:r>
              <w:rPr>
                <w:rFonts w:ascii="Calibri" w:hAnsi="Calibri"/>
                <w:color w:val="222222"/>
                <w:sz w:val="18"/>
              </w:rPr>
              <w:t xml:space="preserve"> October 2026 | Academic Year 2026/2027</w:t>
            </w:r>
          </w:p>
        </w:tc>
      </w:tr>
    </w:tbl>
    <w:p w14:paraId="75A96E3A" w14:textId="77777777" w:rsidR="001267E1" w:rsidRDefault="00000000">
      <w:r>
        <w:br w:type="page"/>
      </w:r>
    </w:p>
    <w:p w14:paraId="7FF6AA57" w14:textId="77777777" w:rsidR="001267E1" w:rsidRDefault="00000000">
      <w:pPr>
        <w:pStyle w:val="Heading1"/>
        <w:spacing w:before="360" w:after="120"/>
      </w:pPr>
      <w:r>
        <w:rPr>
          <w:rFonts w:ascii="Calibri" w:hAnsi="Calibri"/>
          <w:color w:val="1B365D"/>
          <w:sz w:val="32"/>
        </w:rPr>
        <w:lastRenderedPageBreak/>
        <w:t>Executive Summary</w:t>
      </w:r>
    </w:p>
    <w:p w14:paraId="34F1D4CD" w14:textId="77777777" w:rsidR="001267E1" w:rsidRDefault="00000000">
      <w:pPr>
        <w:spacing w:after="120"/>
      </w:pPr>
      <w:r>
        <w:rPr>
          <w:rFonts w:ascii="Calibri" w:hAnsi="Calibri"/>
          <w:color w:val="222222"/>
          <w:sz w:val="20"/>
        </w:rPr>
        <w:t>Over 80% of retail investors experience severe, unrecoverable capital drawdowns during macroeconomic and policy crises—such as sudden central bank tightening cycles, commodity blockades, stagflationary pressures, and banking contagion. While the theoretical knowledge to survive these shocks exists within decades of empirical literature (e.g., Ray Dalio's debt cycle frameworks, Benjamin Graham's margin of safety, and Howard Marks' second-level thinking), novice investors are unable to safely acquire operational muscle memory without risking real-world capital. Existing fintech solutions either treat financial markets as black-box predictive games, or gamify hyper-trading, leading to destructive transaction friction and tax drag.</w:t>
      </w:r>
    </w:p>
    <w:p w14:paraId="3C7D866D" w14:textId="77777777" w:rsidR="001267E1" w:rsidRDefault="00000000">
      <w:pPr>
        <w:spacing w:after="120"/>
      </w:pPr>
      <w:r>
        <w:rPr>
          <w:rFonts w:ascii="Calibri" w:hAnsi="Calibri"/>
          <w:color w:val="222222"/>
          <w:sz w:val="20"/>
        </w:rPr>
        <w:t>MarketSense AI bridges this divide as an institutional-grade Portfolio Flight Simulator powered by a hybrid neuro-symbolic intelligent reasoning architecture. Trainees manage an initial endowment of S$100,000 across 24 granular instruments spanning six equity sectors (divided into large, mid, and small capitalizations), sovereign fixed income, physical precious metals, cash equivalents, and digital benchmarks. Over a multi-decade horizon (up to 120 quarterly steps / 30 years), trainees encounter 22 historically grounded crisis scenarios and learn to navigate dynamic inflation, liquidity freezes, and capital preservation hurdles.</w:t>
      </w:r>
    </w:p>
    <w:tbl>
      <w:tblPr>
        <w:tblW w:w="0" w:type="auto"/>
        <w:jc w:val="center"/>
        <w:tblLayout w:type="fixed"/>
        <w:tblLook w:val="04A0" w:firstRow="1" w:lastRow="0" w:firstColumn="1" w:lastColumn="0" w:noHBand="0" w:noVBand="1"/>
      </w:tblPr>
      <w:tblGrid>
        <w:gridCol w:w="9360"/>
      </w:tblGrid>
      <w:tr w:rsidR="001267E1" w14:paraId="6FC8F0DD" w14:textId="77777777">
        <w:trPr>
          <w:jc w:val="center"/>
        </w:trPr>
        <w:tc>
          <w:tcPr>
            <w:tcW w:w="9360" w:type="dxa"/>
            <w:tcBorders>
              <w:left w:val="single" w:sz="24" w:space="0" w:color="1B365D"/>
            </w:tcBorders>
            <w:shd w:val="clear" w:color="auto" w:fill="F8FAFC"/>
            <w:tcMar>
              <w:top w:w="140" w:type="dxa"/>
              <w:left w:w="200" w:type="dxa"/>
              <w:bottom w:w="140" w:type="dxa"/>
              <w:right w:w="180" w:type="dxa"/>
            </w:tcMar>
          </w:tcPr>
          <w:p w14:paraId="369AE827" w14:textId="77777777" w:rsidR="001267E1" w:rsidRDefault="00000000">
            <w:pPr>
              <w:spacing w:after="60"/>
            </w:pPr>
            <w:r>
              <w:rPr>
                <w:rFonts w:ascii="Calibri" w:hAnsi="Calibri"/>
                <w:b/>
                <w:color w:val="1B365D"/>
                <w:sz w:val="20"/>
              </w:rPr>
              <w:t>■  CORE NEURO-SYMBOLIC DESIGN INVARIANT</w:t>
            </w:r>
            <w:r>
              <w:rPr>
                <w:rFonts w:ascii="Calibri" w:hAnsi="Calibri"/>
                <w:b/>
                <w:color w:val="1B365D"/>
                <w:sz w:val="20"/>
              </w:rPr>
              <w:br/>
            </w:r>
            <w:r>
              <w:rPr>
                <w:rFonts w:ascii="Calibri" w:hAnsi="Calibri"/>
                <w:i/>
                <w:color w:val="222222"/>
                <w:sz w:val="19"/>
              </w:rPr>
              <w:t>"The Large Language Model is strictly prohibited from generating asset prices. Mathematics handles numerical computation; AI handles causal reasoning, literature grounding, and Socratic debriefing."</w:t>
            </w:r>
          </w:p>
        </w:tc>
      </w:tr>
    </w:tbl>
    <w:p w14:paraId="0ACD402E" w14:textId="77777777" w:rsidR="001267E1" w:rsidRDefault="001267E1">
      <w:pPr>
        <w:spacing w:after="80"/>
      </w:pPr>
    </w:p>
    <w:p w14:paraId="7F23DBC8" w14:textId="77777777" w:rsidR="001267E1" w:rsidRDefault="00000000">
      <w:pPr>
        <w:spacing w:after="120"/>
      </w:pPr>
      <w:r>
        <w:rPr>
          <w:rFonts w:ascii="Calibri" w:hAnsi="Calibri"/>
          <w:color w:val="222222"/>
          <w:sz w:val="20"/>
        </w:rPr>
        <w:t>The technological advancement of MarketSense AI lies in the tight coupling of four intelligent subsystems: (1) A deterministic closed-form pricing engine modeling sector beta, corporate debt distress, cash resilience, and strict Constraint Satisfaction Problem (CSP) safety bounds; (2) A 36-node, 48-edge directed macroeconomic Causal Knowledge Graph (NetworkX) with resistance-weighted shortest path extraction and cumulative sign polarity tracking; (3) A persistent ChromaDB RAG v2 vector store indexing 52 curated literature and historical crisis twin chunks; and (4) A Socratic AI Mentor orchestrated across dual runtimes (Cloud Google Gemini 2.5 Flash and local air-gapped Ollama) delivering auditable, citation-backed post-event explanations and counterfactual 'What-If' performance attribution.</w:t>
      </w:r>
    </w:p>
    <w:p w14:paraId="1DB374E7" w14:textId="77777777" w:rsidR="001267E1" w:rsidRDefault="00000000">
      <w:pPr>
        <w:pStyle w:val="Heading2"/>
        <w:spacing w:before="280" w:after="80"/>
      </w:pPr>
      <w:r>
        <w:rPr>
          <w:rFonts w:ascii="Calibri" w:hAnsi="Calibri"/>
          <w:color w:val="457B9D"/>
        </w:rPr>
        <w:t>Table of Contents</w:t>
      </w:r>
    </w:p>
    <w:p w14:paraId="08989577" w14:textId="77777777" w:rsidR="001267E1" w:rsidRDefault="00000000">
      <w:pPr>
        <w:spacing w:after="40" w:line="252" w:lineRule="auto"/>
      </w:pPr>
      <w:r>
        <w:rPr>
          <w:b/>
          <w:color w:val="1B365D"/>
        </w:rPr>
        <w:t xml:space="preserve">1. </w:t>
      </w:r>
      <w:r>
        <w:rPr>
          <w:color w:val="222222"/>
        </w:rPr>
        <w:t>Introduction &amp; Background</w:t>
      </w:r>
    </w:p>
    <w:p w14:paraId="60AABE03" w14:textId="77777777" w:rsidR="001267E1" w:rsidRDefault="00000000">
      <w:pPr>
        <w:spacing w:after="40" w:line="252" w:lineRule="auto"/>
      </w:pPr>
      <w:r>
        <w:rPr>
          <w:b/>
          <w:color w:val="1B365D"/>
        </w:rPr>
        <w:t xml:space="preserve">2. </w:t>
      </w:r>
      <w:r>
        <w:rPr>
          <w:color w:val="222222"/>
        </w:rPr>
        <w:t>Problem Statement &amp; Retail Investor Crisis</w:t>
      </w:r>
    </w:p>
    <w:p w14:paraId="11485362" w14:textId="77777777" w:rsidR="001267E1" w:rsidRDefault="00000000">
      <w:pPr>
        <w:spacing w:after="40" w:line="252" w:lineRule="auto"/>
      </w:pPr>
      <w:r>
        <w:rPr>
          <w:b/>
          <w:color w:val="1B365D"/>
        </w:rPr>
        <w:t xml:space="preserve">3. </w:t>
      </w:r>
      <w:r>
        <w:rPr>
          <w:color w:val="222222"/>
        </w:rPr>
        <w:t>Business &amp; Pedagogical Objectives</w:t>
      </w:r>
    </w:p>
    <w:p w14:paraId="1EB3855C" w14:textId="77777777" w:rsidR="001267E1" w:rsidRDefault="00000000">
      <w:pPr>
        <w:spacing w:after="40" w:line="252" w:lineRule="auto"/>
      </w:pPr>
      <w:r>
        <w:rPr>
          <w:b/>
          <w:color w:val="1B365D"/>
        </w:rPr>
        <w:t xml:space="preserve">4. </w:t>
      </w:r>
      <w:r>
        <w:rPr>
          <w:color w:val="222222"/>
        </w:rPr>
        <w:t>Technical Objectives &amp; Architectural Separation</w:t>
      </w:r>
    </w:p>
    <w:p w14:paraId="680FDB15" w14:textId="77777777" w:rsidR="001267E1" w:rsidRDefault="00000000">
      <w:pPr>
        <w:spacing w:after="40" w:line="252" w:lineRule="auto"/>
      </w:pPr>
      <w:r>
        <w:rPr>
          <w:b/>
          <w:color w:val="1B365D"/>
        </w:rPr>
        <w:t xml:space="preserve">5. </w:t>
      </w:r>
      <w:r>
        <w:rPr>
          <w:color w:val="222222"/>
        </w:rPr>
        <w:t>System Design &amp; Neuro-Symbolic Architecture</w:t>
      </w:r>
    </w:p>
    <w:p w14:paraId="4354AB77" w14:textId="77777777" w:rsidR="001267E1" w:rsidRDefault="00000000">
      <w:pPr>
        <w:spacing w:after="40" w:line="252" w:lineRule="auto"/>
      </w:pPr>
      <w:r>
        <w:rPr>
          <w:b/>
          <w:color w:val="1B365D"/>
        </w:rPr>
        <w:t xml:space="preserve">6. </w:t>
      </w:r>
      <w:r>
        <w:rPr>
          <w:color w:val="222222"/>
        </w:rPr>
        <w:t>Scope of Work &amp; Multi-Asset Financial Universe</w:t>
      </w:r>
    </w:p>
    <w:p w14:paraId="2242D138" w14:textId="77777777" w:rsidR="001267E1" w:rsidRDefault="00000000">
      <w:pPr>
        <w:spacing w:after="40" w:line="252" w:lineRule="auto"/>
      </w:pPr>
      <w:r>
        <w:rPr>
          <w:b/>
          <w:color w:val="1B365D"/>
        </w:rPr>
        <w:t xml:space="preserve">7. </w:t>
      </w:r>
      <w:r>
        <w:rPr>
          <w:color w:val="222222"/>
        </w:rPr>
        <w:t>Macroeconomic Crisis &amp; Dual-Event Engine</w:t>
      </w:r>
    </w:p>
    <w:p w14:paraId="786114C7" w14:textId="77777777" w:rsidR="001267E1" w:rsidRDefault="00000000">
      <w:pPr>
        <w:spacing w:after="40" w:line="252" w:lineRule="auto"/>
      </w:pPr>
      <w:r>
        <w:rPr>
          <w:b/>
          <w:color w:val="1B365D"/>
        </w:rPr>
        <w:t xml:space="preserve">8. </w:t>
      </w:r>
      <w:r>
        <w:rPr>
          <w:color w:val="222222"/>
        </w:rPr>
        <w:t>Data Sets Used &amp; Knowledge Engineering Pipeline</w:t>
      </w:r>
    </w:p>
    <w:p w14:paraId="3F67026A" w14:textId="77777777" w:rsidR="001267E1" w:rsidRDefault="00000000">
      <w:pPr>
        <w:spacing w:after="40" w:line="252" w:lineRule="auto"/>
      </w:pPr>
      <w:r>
        <w:rPr>
          <w:b/>
          <w:color w:val="1B365D"/>
        </w:rPr>
        <w:t xml:space="preserve">9. </w:t>
      </w:r>
      <w:r>
        <w:rPr>
          <w:color w:val="222222"/>
        </w:rPr>
        <w:t>Modelling Performed &amp; Intelligent Reasoning Methodologies</w:t>
      </w:r>
    </w:p>
    <w:p w14:paraId="6DD47A8A" w14:textId="77777777" w:rsidR="001267E1" w:rsidRDefault="00000000">
      <w:pPr>
        <w:spacing w:after="40" w:line="252" w:lineRule="auto"/>
      </w:pPr>
      <w:r>
        <w:rPr>
          <w:b/>
          <w:color w:val="1B365D"/>
        </w:rPr>
        <w:t xml:space="preserve">10. </w:t>
      </w:r>
      <w:r>
        <w:rPr>
          <w:color w:val="222222"/>
        </w:rPr>
        <w:t>Key Deliverables &amp; Technological Advancements</w:t>
      </w:r>
    </w:p>
    <w:p w14:paraId="0B6DFEC4" w14:textId="77777777" w:rsidR="001267E1" w:rsidRDefault="00000000">
      <w:pPr>
        <w:spacing w:after="40" w:line="252" w:lineRule="auto"/>
      </w:pPr>
      <w:r>
        <w:rPr>
          <w:b/>
          <w:color w:val="1B365D"/>
        </w:rPr>
        <w:t xml:space="preserve">11. </w:t>
      </w:r>
      <w:r>
        <w:rPr>
          <w:color w:val="222222"/>
        </w:rPr>
        <w:t>Results of Models, Verification &amp; Quantitative Evaluation</w:t>
      </w:r>
    </w:p>
    <w:p w14:paraId="15D357C8" w14:textId="77777777" w:rsidR="001267E1" w:rsidRDefault="00000000">
      <w:pPr>
        <w:spacing w:after="40" w:line="252" w:lineRule="auto"/>
      </w:pPr>
      <w:r>
        <w:rPr>
          <w:b/>
          <w:color w:val="1B365D"/>
        </w:rPr>
        <w:t xml:space="preserve">12. </w:t>
      </w:r>
      <w:r>
        <w:rPr>
          <w:color w:val="222222"/>
        </w:rPr>
        <w:t>Outcome Discussions, Financial Friction &amp; Pedagogical Impact</w:t>
      </w:r>
    </w:p>
    <w:p w14:paraId="67DB5E6F" w14:textId="77777777" w:rsidR="001267E1" w:rsidRDefault="00000000">
      <w:pPr>
        <w:spacing w:after="40" w:line="252" w:lineRule="auto"/>
      </w:pPr>
      <w:r>
        <w:rPr>
          <w:b/>
          <w:color w:val="1B365D"/>
        </w:rPr>
        <w:t xml:space="preserve">13. </w:t>
      </w:r>
      <w:r>
        <w:rPr>
          <w:color w:val="222222"/>
        </w:rPr>
        <w:t>Project Conclusions</w:t>
      </w:r>
    </w:p>
    <w:p w14:paraId="65C2ACCD" w14:textId="77777777" w:rsidR="001267E1" w:rsidRDefault="00000000">
      <w:pPr>
        <w:spacing w:after="40" w:line="252" w:lineRule="auto"/>
      </w:pPr>
      <w:r>
        <w:rPr>
          <w:b/>
          <w:color w:val="1B365D"/>
        </w:rPr>
        <w:lastRenderedPageBreak/>
        <w:t xml:space="preserve">14. </w:t>
      </w:r>
      <w:r>
        <w:rPr>
          <w:color w:val="222222"/>
        </w:rPr>
        <w:t>Future Recommendations &amp; Phase 4 Roadmap</w:t>
      </w:r>
    </w:p>
    <w:p w14:paraId="786C2490" w14:textId="77777777" w:rsidR="001267E1" w:rsidRDefault="00000000">
      <w:pPr>
        <w:spacing w:after="40" w:line="252" w:lineRule="auto"/>
      </w:pPr>
      <w:r>
        <w:rPr>
          <w:b/>
          <w:color w:val="1B365D"/>
        </w:rPr>
        <w:t xml:space="preserve">15. </w:t>
      </w:r>
      <w:r>
        <w:rPr>
          <w:color w:val="222222"/>
        </w:rPr>
        <w:t>Timeline, Effort Estimates &amp; Gantt Milestones</w:t>
      </w:r>
    </w:p>
    <w:p w14:paraId="67C39E53" w14:textId="77777777" w:rsidR="001267E1" w:rsidRDefault="00000000">
      <w:pPr>
        <w:spacing w:after="40" w:line="252" w:lineRule="auto"/>
      </w:pPr>
      <w:r>
        <w:rPr>
          <w:b/>
          <w:color w:val="1B365D"/>
        </w:rPr>
        <w:t xml:space="preserve">16. </w:t>
      </w:r>
      <w:r>
        <w:rPr>
          <w:color w:val="222222"/>
        </w:rPr>
        <w:t>Acknowledgements</w:t>
      </w:r>
    </w:p>
    <w:p w14:paraId="569DB34A" w14:textId="77777777" w:rsidR="001267E1" w:rsidRDefault="00000000">
      <w:pPr>
        <w:spacing w:after="40" w:line="252" w:lineRule="auto"/>
      </w:pPr>
      <w:r>
        <w:rPr>
          <w:b/>
          <w:color w:val="1B365D"/>
        </w:rPr>
        <w:t xml:space="preserve">17. </w:t>
      </w:r>
      <w:r>
        <w:rPr>
          <w:color w:val="222222"/>
        </w:rPr>
        <w:t>References</w:t>
      </w:r>
    </w:p>
    <w:p w14:paraId="7AF3EF40" w14:textId="77777777" w:rsidR="001267E1" w:rsidRDefault="00000000">
      <w:pPr>
        <w:spacing w:after="40" w:line="252" w:lineRule="auto"/>
      </w:pPr>
      <w:r>
        <w:rPr>
          <w:b/>
          <w:color w:val="1B365D"/>
        </w:rPr>
        <w:t xml:space="preserve">• </w:t>
      </w:r>
      <w:r>
        <w:rPr>
          <w:color w:val="222222"/>
        </w:rPr>
        <w:t>Appendix A: Project Proposal Baseline</w:t>
      </w:r>
    </w:p>
    <w:p w14:paraId="7B2E747D" w14:textId="77777777" w:rsidR="001267E1" w:rsidRDefault="00000000">
      <w:pPr>
        <w:spacing w:after="40" w:line="252" w:lineRule="auto"/>
      </w:pPr>
      <w:r>
        <w:rPr>
          <w:b/>
          <w:color w:val="1B365D"/>
        </w:rPr>
        <w:t xml:space="preserve">• </w:t>
      </w:r>
      <w:r>
        <w:rPr>
          <w:color w:val="222222"/>
        </w:rPr>
        <w:t>Appendix B: System Functionalities Mapped to Modular Courses (MR, RS, CGS)</w:t>
      </w:r>
    </w:p>
    <w:p w14:paraId="4037E48F" w14:textId="77777777" w:rsidR="001267E1" w:rsidRDefault="00000000">
      <w:pPr>
        <w:spacing w:after="40" w:line="252" w:lineRule="auto"/>
      </w:pPr>
      <w:r>
        <w:rPr>
          <w:b/>
          <w:color w:val="1B365D"/>
        </w:rPr>
        <w:t xml:space="preserve">• </w:t>
      </w:r>
      <w:r>
        <w:rPr>
          <w:color w:val="222222"/>
        </w:rPr>
        <w:t>Appendix C: Institutional Installation &amp; User Guide</w:t>
      </w:r>
    </w:p>
    <w:p w14:paraId="3B48133F" w14:textId="77777777" w:rsidR="001267E1" w:rsidRDefault="00000000">
      <w:pPr>
        <w:pStyle w:val="Heading2"/>
        <w:spacing w:before="280" w:after="80"/>
      </w:pPr>
      <w:r>
        <w:rPr>
          <w:rFonts w:ascii="Calibri" w:hAnsi="Calibri"/>
          <w:color w:val="457B9D"/>
        </w:rPr>
        <w:t>List of Figures</w:t>
      </w:r>
    </w:p>
    <w:p w14:paraId="571734CC" w14:textId="77777777" w:rsidR="001267E1" w:rsidRDefault="00000000">
      <w:pPr>
        <w:spacing w:after="40"/>
      </w:pPr>
      <w:r>
        <w:rPr>
          <w:b/>
          <w:color w:val="1B365D"/>
        </w:rPr>
        <w:t xml:space="preserve">Figure 1: </w:t>
      </w:r>
      <w:r>
        <w:t>MarketSense AI End-to-End System Architecture (Four-Tier Neuro-Symbolic Pipeline) (Section 5)</w:t>
      </w:r>
    </w:p>
    <w:p w14:paraId="305158F1" w14:textId="77777777" w:rsidR="001267E1" w:rsidRDefault="00000000">
      <w:pPr>
        <w:pStyle w:val="Heading2"/>
        <w:spacing w:before="280" w:after="80"/>
      </w:pPr>
      <w:r>
        <w:rPr>
          <w:rFonts w:ascii="Calibri" w:hAnsi="Calibri"/>
          <w:color w:val="457B9D"/>
        </w:rPr>
        <w:t>List of Tables</w:t>
      </w:r>
    </w:p>
    <w:p w14:paraId="3BCDDF6E" w14:textId="77777777" w:rsidR="001267E1" w:rsidRDefault="00000000">
      <w:pPr>
        <w:spacing w:after="40"/>
      </w:pPr>
      <w:r>
        <w:rPr>
          <w:b/>
          <w:color w:val="1B365D"/>
        </w:rPr>
        <w:t xml:space="preserve">Table 1: </w:t>
      </w:r>
      <w:r>
        <w:t>Project Metadata &amp; TeamChamp Submission Profile (Cover Page)</w:t>
      </w:r>
    </w:p>
    <w:p w14:paraId="64015C8B" w14:textId="77777777" w:rsidR="001267E1" w:rsidRDefault="00000000">
      <w:pPr>
        <w:spacing w:after="40"/>
      </w:pPr>
      <w:r>
        <w:rPr>
          <w:b/>
          <w:color w:val="1B365D"/>
        </w:rPr>
        <w:t xml:space="preserve">Table 2: </w:t>
      </w:r>
      <w:r>
        <w:t>Strategic Business &amp; Pedagogical Objectives (Section 3)</w:t>
      </w:r>
    </w:p>
    <w:p w14:paraId="23483BAE" w14:textId="77777777" w:rsidR="001267E1" w:rsidRDefault="00000000">
      <w:pPr>
        <w:spacing w:after="40"/>
      </w:pPr>
      <w:r>
        <w:rPr>
          <w:b/>
          <w:color w:val="1B365D"/>
        </w:rPr>
        <w:t xml:space="preserve">Table 3: </w:t>
      </w:r>
      <w:r>
        <w:t>Four-Tier Neuro-Symbolic System Architecture (Section 5)</w:t>
      </w:r>
    </w:p>
    <w:p w14:paraId="25264D5E" w14:textId="77777777" w:rsidR="001267E1" w:rsidRDefault="00000000">
      <w:pPr>
        <w:spacing w:after="40"/>
      </w:pPr>
      <w:r>
        <w:rPr>
          <w:b/>
          <w:color w:val="1B365D"/>
        </w:rPr>
        <w:t xml:space="preserve">Table 4: </w:t>
      </w:r>
      <w:r>
        <w:t>Multi-Asset Financial Universe &amp; Sector Beta Profiles (Section 6)</w:t>
      </w:r>
    </w:p>
    <w:p w14:paraId="4972C9BE" w14:textId="77777777" w:rsidR="001267E1" w:rsidRDefault="00000000">
      <w:pPr>
        <w:spacing w:after="40"/>
      </w:pPr>
      <w:r>
        <w:rPr>
          <w:b/>
          <w:color w:val="1B365D"/>
        </w:rPr>
        <w:t xml:space="preserve">Table 5: </w:t>
      </w:r>
      <w:r>
        <w:t>Historical Crisis Scenarios &amp; Multi-Asset Transmission Profiles (Section 7)</w:t>
      </w:r>
    </w:p>
    <w:p w14:paraId="53B25983" w14:textId="77777777" w:rsidR="001267E1" w:rsidRDefault="00000000">
      <w:pPr>
        <w:spacing w:after="40"/>
      </w:pPr>
      <w:r>
        <w:rPr>
          <w:b/>
          <w:color w:val="1B365D"/>
        </w:rPr>
        <w:t xml:space="preserve">Table 6: </w:t>
      </w:r>
      <w:r>
        <w:t>Automated Verification &amp; Unit Test Suite Coverage Matrix (Section 11)</w:t>
      </w:r>
    </w:p>
    <w:p w14:paraId="7C20C81C" w14:textId="77777777" w:rsidR="001267E1" w:rsidRDefault="00000000">
      <w:pPr>
        <w:spacing w:after="40"/>
      </w:pPr>
      <w:r>
        <w:rPr>
          <w:b/>
          <w:color w:val="1B365D"/>
        </w:rPr>
        <w:t xml:space="preserve">Table 7: </w:t>
      </w:r>
      <w:r>
        <w:t>Project Work Breakdown Structure (WBS) &amp; Effort Estimates (Section 15)</w:t>
      </w:r>
    </w:p>
    <w:p w14:paraId="10A9CBFE" w14:textId="77777777" w:rsidR="001267E1" w:rsidRDefault="00000000">
      <w:pPr>
        <w:spacing w:after="40"/>
      </w:pPr>
      <w:r>
        <w:rPr>
          <w:b/>
          <w:color w:val="1B365D"/>
        </w:rPr>
        <w:t xml:space="preserve">Table 8: </w:t>
      </w:r>
      <w:r>
        <w:t>System Functionalities Mapped to Modular Courses (MR, RS, CGS) (Appendix B)</w:t>
      </w:r>
    </w:p>
    <w:p w14:paraId="5D037F73" w14:textId="77777777" w:rsidR="001267E1" w:rsidRDefault="00000000">
      <w:r>
        <w:br w:type="page"/>
      </w:r>
    </w:p>
    <w:p w14:paraId="6A3D571C" w14:textId="77777777" w:rsidR="001267E1" w:rsidRDefault="00000000">
      <w:pPr>
        <w:pStyle w:val="Heading1"/>
        <w:spacing w:before="360" w:after="120"/>
      </w:pPr>
      <w:r>
        <w:rPr>
          <w:rFonts w:ascii="Calibri" w:hAnsi="Calibri"/>
          <w:color w:val="1B365D"/>
          <w:sz w:val="32"/>
        </w:rPr>
        <w:lastRenderedPageBreak/>
        <w:t>1. Introduction &amp; Background</w:t>
      </w:r>
    </w:p>
    <w:p w14:paraId="4E43C26F" w14:textId="77777777" w:rsidR="001267E1" w:rsidRDefault="00000000">
      <w:pPr>
        <w:spacing w:after="120"/>
      </w:pPr>
      <w:r>
        <w:rPr>
          <w:rFonts w:ascii="Calibri" w:hAnsi="Calibri"/>
          <w:color w:val="222222"/>
          <w:sz w:val="20"/>
        </w:rPr>
        <w:t>Financial markets are complex, non-linear adaptive networks where exogenous shocks—such as monetary policy shifts, geopolitical blockades, banking liquidity evaporation, and regulatory overhauls—ripple across economic sectors with intricate lag effects. Despite the prevalence of sophisticated algorithmic tools in institutional settings, the retail and student investor landscape remains severely disadvantaged. When crisis strikes, ordinary investors lack the experiential repertoire to comprehend transmission channels, succumbing to panic-selling at market bottoms or chasing speculative bubbles.</w:t>
      </w:r>
    </w:p>
    <w:p w14:paraId="1887006E" w14:textId="77777777" w:rsidR="001267E1" w:rsidRDefault="00000000">
      <w:pPr>
        <w:spacing w:after="120"/>
      </w:pPr>
      <w:r>
        <w:rPr>
          <w:rFonts w:ascii="Calibri" w:hAnsi="Calibri"/>
          <w:color w:val="222222"/>
          <w:sz w:val="20"/>
        </w:rPr>
        <w:t>Traditional educational paradigms suffer from structural deficiencies. University lecture courses provide rich theoretical exposition of Modern Portfolio Theory (MPT), Capital Asset Pricing Models (CAPM), and macroeconomic cycles, but offer zero hands-on environment to test emotional stamina under volatile drawdowns. Conversely, retail brokerage paper-trading accounts provide live price feeds but act merely as passive numerical mirrors; they provide no contextual explanation of why an asset lost value, nor do they penalize hyper-trading behavior. MarketSense AI was conceived to bridge this structural gap.</w:t>
      </w:r>
    </w:p>
    <w:p w14:paraId="0E284937" w14:textId="77777777" w:rsidR="001267E1" w:rsidRDefault="00000000">
      <w:pPr>
        <w:pStyle w:val="Heading1"/>
        <w:spacing w:before="360" w:after="120"/>
      </w:pPr>
      <w:r>
        <w:rPr>
          <w:rFonts w:ascii="Calibri" w:hAnsi="Calibri"/>
          <w:color w:val="1B365D"/>
          <w:sz w:val="32"/>
        </w:rPr>
        <w:t>2. Problem Statement: The Retail Investor Tragedy</w:t>
      </w:r>
    </w:p>
    <w:p w14:paraId="3A8D80DF" w14:textId="77777777" w:rsidR="001267E1" w:rsidRDefault="00000000">
      <w:pPr>
        <w:spacing w:after="120"/>
      </w:pPr>
      <w:r>
        <w:rPr>
          <w:rFonts w:ascii="Calibri" w:hAnsi="Calibri"/>
          <w:color w:val="222222"/>
          <w:sz w:val="20"/>
        </w:rPr>
        <w:t>The project directly addresses three systemic failure points in contemporary retail investing and financial education:</w:t>
      </w:r>
    </w:p>
    <w:p w14:paraId="6195C633" w14:textId="77777777" w:rsidR="001267E1" w:rsidRDefault="00000000">
      <w:pPr>
        <w:spacing w:after="120"/>
      </w:pPr>
      <w:r>
        <w:rPr>
          <w:rFonts w:ascii="Calibri" w:hAnsi="Calibri"/>
          <w:b/>
          <w:color w:val="1B365D"/>
          <w:sz w:val="20"/>
        </w:rPr>
        <w:t xml:space="preserve">• </w:t>
      </w:r>
      <w:r>
        <w:rPr>
          <w:rFonts w:ascii="Calibri" w:hAnsi="Calibri"/>
          <w:color w:val="222222"/>
          <w:sz w:val="20"/>
        </w:rPr>
        <w:t>1. The Black-Box Skepticism Trap: Modern robo-advisory platforms and machine learning forecasting models operate as uninterpretable black boxes. When models generate trade recommendations without transparent causal lineage, users either blindly trust them until an unexpected regime shift causes catastrophic losses, or reject them entirely due to justifiable distrust.</w:t>
      </w:r>
    </w:p>
    <w:p w14:paraId="49E16E8A" w14:textId="77777777" w:rsidR="001267E1" w:rsidRDefault="00000000">
      <w:pPr>
        <w:spacing w:after="120"/>
      </w:pPr>
      <w:r>
        <w:rPr>
          <w:rFonts w:ascii="Calibri" w:hAnsi="Calibri"/>
          <w:b/>
          <w:color w:val="1B365D"/>
          <w:sz w:val="20"/>
        </w:rPr>
        <w:t xml:space="preserve">• </w:t>
      </w:r>
      <w:r>
        <w:rPr>
          <w:rFonts w:ascii="Calibri" w:hAnsi="Calibri"/>
          <w:color w:val="222222"/>
          <w:sz w:val="20"/>
        </w:rPr>
        <w:t>2. The Gamified Churning Trap: Commercial trading applications employ psychological gamification—push notifications, visual celebrations, and frictionless interfaces—that incentivize rapid portfolio turnover. In real financial markets, frequent trading triggers severe brokerage friction and punitive short-term capital gains tax drag, eroding long-term compounding.</w:t>
      </w:r>
    </w:p>
    <w:p w14:paraId="685A8011" w14:textId="77777777" w:rsidR="001267E1" w:rsidRDefault="00000000">
      <w:pPr>
        <w:spacing w:after="120"/>
      </w:pPr>
      <w:r>
        <w:rPr>
          <w:rFonts w:ascii="Calibri" w:hAnsi="Calibri"/>
          <w:b/>
          <w:color w:val="1B365D"/>
          <w:sz w:val="20"/>
        </w:rPr>
        <w:t xml:space="preserve">• </w:t>
      </w:r>
      <w:r>
        <w:rPr>
          <w:rFonts w:ascii="Calibri" w:hAnsi="Calibri"/>
          <w:color w:val="222222"/>
          <w:sz w:val="20"/>
        </w:rPr>
        <w:t>3. Absence of Safe Crisis Flight Simulation: Professional airline pilots do not learn emergency recovery procedures while flying a plane full of passengers; they spend hundreds of hours in flight simulators navigating engine failures and crosswinds. Investors, however, are expected to learn crisis management using real savings, leading to preventable financial ruin.</w:t>
      </w:r>
    </w:p>
    <w:p w14:paraId="72F00781" w14:textId="77777777" w:rsidR="001267E1" w:rsidRDefault="00000000">
      <w:pPr>
        <w:pStyle w:val="Heading1"/>
        <w:spacing w:before="360" w:after="120"/>
      </w:pPr>
      <w:r>
        <w:rPr>
          <w:rFonts w:ascii="Calibri" w:hAnsi="Calibri"/>
          <w:color w:val="1B365D"/>
          <w:sz w:val="32"/>
        </w:rPr>
        <w:t>3. Business &amp; Pedagogical Objectives</w:t>
      </w:r>
    </w:p>
    <w:p w14:paraId="7D5CDF50" w14:textId="77777777" w:rsidR="001267E1" w:rsidRDefault="00000000">
      <w:pPr>
        <w:spacing w:after="120"/>
      </w:pPr>
      <w:r>
        <w:rPr>
          <w:rFonts w:ascii="Calibri" w:hAnsi="Calibri"/>
          <w:color w:val="222222"/>
          <w:sz w:val="20"/>
        </w:rPr>
        <w:t>The overarching mission of MarketSense AI is to democratize institutional-grade macroeconomic literacy through experience. The primary business and pedagogical objectives include: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880"/>
        <w:gridCol w:w="6480"/>
      </w:tblGrid>
      <w:tr w:rsidR="001267E1" w14:paraId="1F5C0BBE" w14:textId="77777777">
        <w:trPr>
          <w:jc w:val="center"/>
        </w:trPr>
        <w:tc>
          <w:tcPr>
            <w:tcW w:w="2880" w:type="dxa"/>
            <w:shd w:val="clear" w:color="auto" w:fill="1B365D"/>
            <w:tcMar>
              <w:top w:w="120" w:type="dxa"/>
              <w:left w:w="140" w:type="dxa"/>
              <w:bottom w:w="120" w:type="dxa"/>
              <w:right w:w="140" w:type="dxa"/>
            </w:tcMar>
            <w:vAlign w:val="center"/>
          </w:tcPr>
          <w:p w14:paraId="6EEFFF37" w14:textId="77777777" w:rsidR="001267E1" w:rsidRDefault="00000000">
            <w:r>
              <w:rPr>
                <w:rFonts w:ascii="Calibri" w:hAnsi="Calibri"/>
                <w:b/>
                <w:color w:val="FFFFFF"/>
                <w:sz w:val="19"/>
              </w:rPr>
              <w:t>Objective Pillar</w:t>
            </w:r>
          </w:p>
        </w:tc>
        <w:tc>
          <w:tcPr>
            <w:tcW w:w="6480" w:type="dxa"/>
            <w:shd w:val="clear" w:color="auto" w:fill="1B365D"/>
            <w:tcMar>
              <w:top w:w="120" w:type="dxa"/>
              <w:left w:w="140" w:type="dxa"/>
              <w:bottom w:w="120" w:type="dxa"/>
              <w:right w:w="140" w:type="dxa"/>
            </w:tcMar>
            <w:vAlign w:val="center"/>
          </w:tcPr>
          <w:p w14:paraId="081EC444" w14:textId="77777777" w:rsidR="001267E1" w:rsidRDefault="00000000">
            <w:r>
              <w:rPr>
                <w:rFonts w:ascii="Calibri" w:hAnsi="Calibri"/>
                <w:b/>
                <w:color w:val="FFFFFF"/>
                <w:sz w:val="19"/>
              </w:rPr>
              <w:t>Description &amp; Pedagogical Target</w:t>
            </w:r>
          </w:p>
        </w:tc>
      </w:tr>
      <w:tr w:rsidR="001267E1" w14:paraId="584BA2D7" w14:textId="77777777">
        <w:trPr>
          <w:jc w:val="center"/>
        </w:trPr>
        <w:tc>
          <w:tcPr>
            <w:tcW w:w="2880" w:type="dxa"/>
            <w:shd w:val="clear" w:color="auto" w:fill="FFFFFF"/>
            <w:tcMar>
              <w:top w:w="80" w:type="dxa"/>
              <w:left w:w="140" w:type="dxa"/>
              <w:bottom w:w="80" w:type="dxa"/>
              <w:right w:w="140" w:type="dxa"/>
            </w:tcMar>
            <w:vAlign w:val="center"/>
          </w:tcPr>
          <w:p w14:paraId="293B43DA" w14:textId="77777777" w:rsidR="001267E1" w:rsidRDefault="00000000">
            <w:r>
              <w:rPr>
                <w:rFonts w:ascii="Calibri" w:hAnsi="Calibri"/>
                <w:b/>
                <w:color w:val="222222"/>
                <w:sz w:val="18"/>
              </w:rPr>
              <w:t>Causal Literacy</w:t>
            </w:r>
          </w:p>
        </w:tc>
        <w:tc>
          <w:tcPr>
            <w:tcW w:w="6480" w:type="dxa"/>
            <w:shd w:val="clear" w:color="auto" w:fill="FFFFFF"/>
            <w:tcMar>
              <w:top w:w="80" w:type="dxa"/>
              <w:left w:w="140" w:type="dxa"/>
              <w:bottom w:w="80" w:type="dxa"/>
              <w:right w:w="140" w:type="dxa"/>
            </w:tcMar>
            <w:vAlign w:val="center"/>
          </w:tcPr>
          <w:p w14:paraId="61A6D524" w14:textId="77777777" w:rsidR="001267E1" w:rsidRDefault="00000000">
            <w:r>
              <w:rPr>
                <w:rFonts w:ascii="Calibri" w:hAnsi="Calibri"/>
                <w:color w:val="222222"/>
                <w:sz w:val="18"/>
              </w:rPr>
              <w:t>Train learners to trace macro events through economic channels to sector fundamentals, rather than guessing price movements based on superficial news sentiment.</w:t>
            </w:r>
          </w:p>
        </w:tc>
      </w:tr>
      <w:tr w:rsidR="001267E1" w14:paraId="77E82B18" w14:textId="77777777">
        <w:trPr>
          <w:jc w:val="center"/>
        </w:trPr>
        <w:tc>
          <w:tcPr>
            <w:tcW w:w="2880" w:type="dxa"/>
            <w:shd w:val="clear" w:color="auto" w:fill="F4F6F9"/>
            <w:tcMar>
              <w:top w:w="80" w:type="dxa"/>
              <w:left w:w="140" w:type="dxa"/>
              <w:bottom w:w="80" w:type="dxa"/>
              <w:right w:w="140" w:type="dxa"/>
            </w:tcMar>
            <w:vAlign w:val="center"/>
          </w:tcPr>
          <w:p w14:paraId="68B2E6FF" w14:textId="77777777" w:rsidR="001267E1" w:rsidRDefault="00000000">
            <w:r>
              <w:rPr>
                <w:rFonts w:ascii="Calibri" w:hAnsi="Calibri"/>
                <w:b/>
                <w:color w:val="222222"/>
                <w:sz w:val="18"/>
              </w:rPr>
              <w:lastRenderedPageBreak/>
              <w:t>Behavioral Discipline</w:t>
            </w:r>
          </w:p>
        </w:tc>
        <w:tc>
          <w:tcPr>
            <w:tcW w:w="6480" w:type="dxa"/>
            <w:shd w:val="clear" w:color="auto" w:fill="F4F6F9"/>
            <w:tcMar>
              <w:top w:w="80" w:type="dxa"/>
              <w:left w:w="140" w:type="dxa"/>
              <w:bottom w:w="80" w:type="dxa"/>
              <w:right w:w="140" w:type="dxa"/>
            </w:tcMar>
            <w:vAlign w:val="center"/>
          </w:tcPr>
          <w:p w14:paraId="3254BD1F" w14:textId="77777777" w:rsidR="001267E1" w:rsidRDefault="00000000">
            <w:r>
              <w:rPr>
                <w:rFonts w:ascii="Calibri" w:hAnsi="Calibri"/>
                <w:color w:val="222222"/>
                <w:sz w:val="18"/>
              </w:rPr>
              <w:t>Cultivate emotional stamina during crashes using institutional circuit breakers and real-time purchasing power hurdle comparisons (Fisher real return).</w:t>
            </w:r>
          </w:p>
        </w:tc>
      </w:tr>
      <w:tr w:rsidR="001267E1" w14:paraId="566A9BF5" w14:textId="77777777">
        <w:trPr>
          <w:jc w:val="center"/>
        </w:trPr>
        <w:tc>
          <w:tcPr>
            <w:tcW w:w="2880" w:type="dxa"/>
            <w:shd w:val="clear" w:color="auto" w:fill="FFFFFF"/>
            <w:tcMar>
              <w:top w:w="80" w:type="dxa"/>
              <w:left w:w="140" w:type="dxa"/>
              <w:bottom w:w="80" w:type="dxa"/>
              <w:right w:w="140" w:type="dxa"/>
            </w:tcMar>
            <w:vAlign w:val="center"/>
          </w:tcPr>
          <w:p w14:paraId="20CA39F2" w14:textId="77777777" w:rsidR="001267E1" w:rsidRDefault="00000000">
            <w:r>
              <w:rPr>
                <w:rFonts w:ascii="Calibri" w:hAnsi="Calibri"/>
                <w:b/>
                <w:color w:val="222222"/>
                <w:sz w:val="18"/>
              </w:rPr>
              <w:t>Friction Awareness</w:t>
            </w:r>
          </w:p>
        </w:tc>
        <w:tc>
          <w:tcPr>
            <w:tcW w:w="6480" w:type="dxa"/>
            <w:shd w:val="clear" w:color="auto" w:fill="FFFFFF"/>
            <w:tcMar>
              <w:top w:w="80" w:type="dxa"/>
              <w:left w:w="140" w:type="dxa"/>
              <w:bottom w:w="80" w:type="dxa"/>
              <w:right w:w="140" w:type="dxa"/>
            </w:tcMar>
            <w:vAlign w:val="center"/>
          </w:tcPr>
          <w:p w14:paraId="091DC711" w14:textId="77777777" w:rsidR="001267E1" w:rsidRDefault="00000000">
            <w:r>
              <w:rPr>
                <w:rFonts w:ascii="Calibri" w:hAnsi="Calibri"/>
                <w:color w:val="222222"/>
                <w:sz w:val="18"/>
              </w:rPr>
              <w:t>Penalize reckless portfolio churning by tracking differential Short-Term Capital Gains (STCG @ 25%) vs Long-Term Capital Gains (LTCG @ 10%) and brokerage drag.</w:t>
            </w:r>
          </w:p>
        </w:tc>
      </w:tr>
      <w:tr w:rsidR="001267E1" w14:paraId="5815C7B3" w14:textId="77777777">
        <w:trPr>
          <w:jc w:val="center"/>
        </w:trPr>
        <w:tc>
          <w:tcPr>
            <w:tcW w:w="2880" w:type="dxa"/>
            <w:shd w:val="clear" w:color="auto" w:fill="F4F6F9"/>
            <w:tcMar>
              <w:top w:w="80" w:type="dxa"/>
              <w:left w:w="140" w:type="dxa"/>
              <w:bottom w:w="80" w:type="dxa"/>
              <w:right w:w="140" w:type="dxa"/>
            </w:tcMar>
            <w:vAlign w:val="center"/>
          </w:tcPr>
          <w:p w14:paraId="52EDFC77" w14:textId="77777777" w:rsidR="001267E1" w:rsidRDefault="00000000">
            <w:r>
              <w:rPr>
                <w:rFonts w:ascii="Calibri" w:hAnsi="Calibri"/>
                <w:b/>
                <w:color w:val="222222"/>
                <w:sz w:val="18"/>
              </w:rPr>
              <w:t>Normative Benchmarking</w:t>
            </w:r>
          </w:p>
        </w:tc>
        <w:tc>
          <w:tcPr>
            <w:tcW w:w="6480" w:type="dxa"/>
            <w:shd w:val="clear" w:color="auto" w:fill="F4F6F9"/>
            <w:tcMar>
              <w:top w:w="80" w:type="dxa"/>
              <w:left w:w="140" w:type="dxa"/>
              <w:bottom w:w="80" w:type="dxa"/>
              <w:right w:w="140" w:type="dxa"/>
            </w:tcMar>
            <w:vAlign w:val="center"/>
          </w:tcPr>
          <w:p w14:paraId="0EFB41BE" w14:textId="77777777" w:rsidR="001267E1" w:rsidRDefault="00000000">
            <w:r>
              <w:rPr>
                <w:rFonts w:ascii="Calibri" w:hAnsi="Calibri"/>
                <w:color w:val="222222"/>
                <w:sz w:val="18"/>
              </w:rPr>
              <w:t>Evaluate user decisions continuously against passive institutional baselines (Ray Dalio All-Weather, Classic 60/40, and 100% Equity).</w:t>
            </w:r>
          </w:p>
        </w:tc>
      </w:tr>
    </w:tbl>
    <w:p w14:paraId="569B0846" w14:textId="77777777" w:rsidR="001267E1" w:rsidRDefault="001267E1">
      <w:pPr>
        <w:spacing w:after="120"/>
      </w:pPr>
    </w:p>
    <w:p w14:paraId="14995500" w14:textId="77777777" w:rsidR="001267E1" w:rsidRDefault="00000000">
      <w:pPr>
        <w:pStyle w:val="Heading1"/>
        <w:spacing w:before="360" w:after="120"/>
      </w:pPr>
      <w:r>
        <w:rPr>
          <w:rFonts w:ascii="Calibri" w:hAnsi="Calibri"/>
          <w:color w:val="1B365D"/>
          <w:sz w:val="32"/>
        </w:rPr>
        <w:t>4. Technical Objectives &amp; Architectural Separation</w:t>
      </w:r>
    </w:p>
    <w:p w14:paraId="595EA63C" w14:textId="77777777" w:rsidR="001267E1" w:rsidRDefault="00000000">
      <w:pPr>
        <w:spacing w:after="120"/>
      </w:pPr>
      <w:r>
        <w:rPr>
          <w:rFonts w:ascii="Calibri" w:hAnsi="Calibri"/>
          <w:color w:val="222222"/>
          <w:sz w:val="20"/>
        </w:rPr>
        <w:t>From an engineering perspective, the project set out to demonstrate a complete neuro-symbolic cognitive architecture. Existing generative AI models (LLMs) suffer from severe mathematical hallucinations when tasked with financial pricing. Conversely, purely symbolic expert systems lack conversational nuance and cannot generalize across diverse user queries. MarketSense achieves technical novelty by enforcing a strict separation of concerns:</w:t>
      </w:r>
    </w:p>
    <w:p w14:paraId="1F1C1F58" w14:textId="77777777" w:rsidR="001267E1" w:rsidRDefault="00000000">
      <w:pPr>
        <w:spacing w:after="120"/>
      </w:pPr>
      <w:r>
        <w:rPr>
          <w:rFonts w:ascii="Calibri" w:hAnsi="Calibri"/>
          <w:color w:val="222222"/>
          <w:sz w:val="20"/>
        </w:rPr>
        <w:t>• Symbolic Determinism: Closed-form valuation formulas, NetworkX causal graphs, and tax ledgers guarantee mathematical correctness and seed-based reproducibility.</w:t>
      </w:r>
    </w:p>
    <w:p w14:paraId="14EB3AC1" w14:textId="77777777" w:rsidR="001267E1" w:rsidRDefault="00000000">
      <w:pPr>
        <w:spacing w:after="120"/>
      </w:pPr>
      <w:r>
        <w:rPr>
          <w:rFonts w:ascii="Calibri" w:hAnsi="Calibri"/>
          <w:color w:val="222222"/>
          <w:sz w:val="20"/>
        </w:rPr>
        <w:t>• Cognitive Grounding: Dense vector retrieval (RAG) and LLM prompt engineering provide natural language explanations that are strictly anchored to verified graph nodes and cited investment literature.</w:t>
      </w:r>
    </w:p>
    <w:p w14:paraId="1F39B20A" w14:textId="77777777" w:rsidR="001267E1" w:rsidRDefault="00000000">
      <w:pPr>
        <w:pStyle w:val="Heading1"/>
        <w:spacing w:before="360" w:after="120"/>
      </w:pPr>
      <w:r>
        <w:rPr>
          <w:rFonts w:ascii="Calibri" w:hAnsi="Calibri"/>
          <w:color w:val="1B365D"/>
          <w:sz w:val="32"/>
        </w:rPr>
        <w:t>5. System Design &amp; Neuro-Symbolic Architecture</w:t>
      </w:r>
    </w:p>
    <w:p w14:paraId="036FFEC1" w14:textId="77777777" w:rsidR="001267E1" w:rsidRDefault="00000000">
      <w:pPr>
        <w:spacing w:after="120"/>
      </w:pPr>
      <w:r>
        <w:rPr>
          <w:rFonts w:ascii="Calibri" w:hAnsi="Calibri"/>
          <w:color w:val="222222"/>
          <w:sz w:val="20"/>
        </w:rPr>
        <w:t>MarketSense AI is structured into five cohesive, decoupled architectural tiers, as illustrated in Figure 1 below:</w:t>
      </w:r>
    </w:p>
    <w:p w14:paraId="7A8CF2C6" w14:textId="77777777" w:rsidR="001267E1" w:rsidRDefault="001267E1">
      <w:pPr>
        <w:spacing w:after="80"/>
      </w:pPr>
    </w:p>
    <w:p w14:paraId="0C4A8CC5" w14:textId="77777777" w:rsidR="001267E1" w:rsidRDefault="00000000">
      <w:r>
        <w:rPr>
          <w:noProof/>
        </w:rPr>
        <w:lastRenderedPageBreak/>
        <w:drawing>
          <wp:inline distT="0" distB="0" distL="0" distR="0" wp14:anchorId="3F635B69" wp14:editId="61B6B132">
            <wp:extent cx="5669280" cy="316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669280" cy="3164249"/>
                    </a:xfrm>
                    <a:prstGeom prst="rect">
                      <a:avLst/>
                    </a:prstGeom>
                  </pic:spPr>
                </pic:pic>
              </a:graphicData>
            </a:graphic>
          </wp:inline>
        </w:drawing>
      </w:r>
    </w:p>
    <w:p w14:paraId="23071857" w14:textId="77777777" w:rsidR="001267E1" w:rsidRDefault="00000000">
      <w:pPr>
        <w:jc w:val="center"/>
      </w:pPr>
      <w:r>
        <w:rPr>
          <w:rFonts w:ascii="Calibri" w:hAnsi="Calibri"/>
          <w:i/>
          <w:color w:val="555555"/>
          <w:sz w:val="17"/>
        </w:rPr>
        <w:t>Figure 1: MarketSense AI Neuro-Symbolic Layered System Architecture</w:t>
      </w:r>
    </w:p>
    <w:p w14:paraId="623D92FA" w14:textId="77777777" w:rsidR="001267E1" w:rsidRDefault="001267E1">
      <w:pPr>
        <w:spacing w:after="120"/>
      </w:pP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4608"/>
      </w:tblGrid>
      <w:tr w:rsidR="001267E1" w14:paraId="086C0426" w14:textId="77777777">
        <w:trPr>
          <w:jc w:val="center"/>
        </w:trPr>
        <w:tc>
          <w:tcPr>
            <w:tcW w:w="2160" w:type="dxa"/>
            <w:shd w:val="clear" w:color="auto" w:fill="1B365D"/>
            <w:tcMar>
              <w:top w:w="120" w:type="dxa"/>
              <w:left w:w="140" w:type="dxa"/>
              <w:bottom w:w="120" w:type="dxa"/>
              <w:right w:w="140" w:type="dxa"/>
            </w:tcMar>
            <w:vAlign w:val="center"/>
          </w:tcPr>
          <w:p w14:paraId="6F3C64B2" w14:textId="77777777" w:rsidR="001267E1" w:rsidRDefault="00000000">
            <w:r>
              <w:rPr>
                <w:rFonts w:ascii="Calibri" w:hAnsi="Calibri"/>
                <w:b/>
                <w:color w:val="FFFFFF"/>
                <w:sz w:val="19"/>
              </w:rPr>
              <w:t>Layer</w:t>
            </w:r>
          </w:p>
        </w:tc>
        <w:tc>
          <w:tcPr>
            <w:tcW w:w="2592" w:type="dxa"/>
            <w:shd w:val="clear" w:color="auto" w:fill="1B365D"/>
            <w:tcMar>
              <w:top w:w="120" w:type="dxa"/>
              <w:left w:w="140" w:type="dxa"/>
              <w:bottom w:w="120" w:type="dxa"/>
              <w:right w:w="140" w:type="dxa"/>
            </w:tcMar>
            <w:vAlign w:val="center"/>
          </w:tcPr>
          <w:p w14:paraId="7AF005BC" w14:textId="77777777" w:rsidR="001267E1" w:rsidRDefault="00000000">
            <w:r>
              <w:rPr>
                <w:rFonts w:ascii="Calibri" w:hAnsi="Calibri"/>
                <w:b/>
                <w:color w:val="FFFFFF"/>
                <w:sz w:val="19"/>
              </w:rPr>
              <w:t>Core Technology</w:t>
            </w:r>
          </w:p>
        </w:tc>
        <w:tc>
          <w:tcPr>
            <w:tcW w:w="4608" w:type="dxa"/>
            <w:shd w:val="clear" w:color="auto" w:fill="1B365D"/>
            <w:tcMar>
              <w:top w:w="120" w:type="dxa"/>
              <w:left w:w="140" w:type="dxa"/>
              <w:bottom w:w="120" w:type="dxa"/>
              <w:right w:w="140" w:type="dxa"/>
            </w:tcMar>
            <w:vAlign w:val="center"/>
          </w:tcPr>
          <w:p w14:paraId="6518EDEA" w14:textId="77777777" w:rsidR="001267E1" w:rsidRDefault="00000000">
            <w:r>
              <w:rPr>
                <w:rFonts w:ascii="Calibri" w:hAnsi="Calibri"/>
                <w:b/>
                <w:color w:val="FFFFFF"/>
                <w:sz w:val="19"/>
              </w:rPr>
              <w:t>Functional Responsibility</w:t>
            </w:r>
          </w:p>
        </w:tc>
      </w:tr>
      <w:tr w:rsidR="001267E1" w14:paraId="50331F55" w14:textId="77777777">
        <w:trPr>
          <w:jc w:val="center"/>
        </w:trPr>
        <w:tc>
          <w:tcPr>
            <w:tcW w:w="2160" w:type="dxa"/>
            <w:shd w:val="clear" w:color="auto" w:fill="FFFFFF"/>
            <w:tcMar>
              <w:top w:w="80" w:type="dxa"/>
              <w:left w:w="140" w:type="dxa"/>
              <w:bottom w:w="80" w:type="dxa"/>
              <w:right w:w="140" w:type="dxa"/>
            </w:tcMar>
            <w:vAlign w:val="center"/>
          </w:tcPr>
          <w:p w14:paraId="32E7ECFD" w14:textId="77777777" w:rsidR="001267E1" w:rsidRDefault="00000000">
            <w:r>
              <w:rPr>
                <w:rFonts w:ascii="Calibri" w:hAnsi="Calibri"/>
                <w:b/>
                <w:color w:val="222222"/>
                <w:sz w:val="18"/>
              </w:rPr>
              <w:t>Presentation</w:t>
            </w:r>
          </w:p>
        </w:tc>
        <w:tc>
          <w:tcPr>
            <w:tcW w:w="2592" w:type="dxa"/>
            <w:shd w:val="clear" w:color="auto" w:fill="FFFFFF"/>
            <w:tcMar>
              <w:top w:w="80" w:type="dxa"/>
              <w:left w:w="140" w:type="dxa"/>
              <w:bottom w:w="80" w:type="dxa"/>
              <w:right w:w="140" w:type="dxa"/>
            </w:tcMar>
            <w:vAlign w:val="center"/>
          </w:tcPr>
          <w:p w14:paraId="067B6ED2" w14:textId="77777777" w:rsidR="001267E1" w:rsidRDefault="00000000">
            <w:r>
              <w:rPr>
                <w:rFonts w:ascii="Calibri" w:hAnsi="Calibri"/>
                <w:color w:val="222222"/>
                <w:sz w:val="18"/>
              </w:rPr>
              <w:t>Streamlit, Plotly, Pyvis</w:t>
            </w:r>
          </w:p>
        </w:tc>
        <w:tc>
          <w:tcPr>
            <w:tcW w:w="4608" w:type="dxa"/>
            <w:shd w:val="clear" w:color="auto" w:fill="FFFFFF"/>
            <w:tcMar>
              <w:top w:w="80" w:type="dxa"/>
              <w:left w:w="140" w:type="dxa"/>
              <w:bottom w:w="80" w:type="dxa"/>
              <w:right w:w="140" w:type="dxa"/>
            </w:tcMar>
            <w:vAlign w:val="center"/>
          </w:tcPr>
          <w:p w14:paraId="485717A6" w14:textId="77777777" w:rsidR="001267E1" w:rsidRDefault="00000000">
            <w:r>
              <w:rPr>
                <w:rFonts w:ascii="Calibri" w:hAnsi="Calibri"/>
                <w:color w:val="222222"/>
                <w:sz w:val="18"/>
              </w:rPr>
              <w:t>Interactive flight simulator console, benchmark charts, physics graph visualizer, and trading desk.</w:t>
            </w:r>
          </w:p>
        </w:tc>
      </w:tr>
      <w:tr w:rsidR="001267E1" w14:paraId="5C1CDF16" w14:textId="77777777">
        <w:trPr>
          <w:jc w:val="center"/>
        </w:trPr>
        <w:tc>
          <w:tcPr>
            <w:tcW w:w="2160" w:type="dxa"/>
            <w:shd w:val="clear" w:color="auto" w:fill="F4F6F9"/>
            <w:tcMar>
              <w:top w:w="80" w:type="dxa"/>
              <w:left w:w="140" w:type="dxa"/>
              <w:bottom w:w="80" w:type="dxa"/>
              <w:right w:w="140" w:type="dxa"/>
            </w:tcMar>
            <w:vAlign w:val="center"/>
          </w:tcPr>
          <w:p w14:paraId="5445EC86" w14:textId="77777777" w:rsidR="001267E1" w:rsidRDefault="00000000">
            <w:r>
              <w:rPr>
                <w:rFonts w:ascii="Calibri" w:hAnsi="Calibri"/>
                <w:b/>
                <w:color w:val="222222"/>
                <w:sz w:val="18"/>
              </w:rPr>
              <w:t>Simulation Engine</w:t>
            </w:r>
          </w:p>
        </w:tc>
        <w:tc>
          <w:tcPr>
            <w:tcW w:w="2592" w:type="dxa"/>
            <w:shd w:val="clear" w:color="auto" w:fill="F4F6F9"/>
            <w:tcMar>
              <w:top w:w="80" w:type="dxa"/>
              <w:left w:w="140" w:type="dxa"/>
              <w:bottom w:w="80" w:type="dxa"/>
              <w:right w:w="140" w:type="dxa"/>
            </w:tcMar>
            <w:vAlign w:val="center"/>
          </w:tcPr>
          <w:p w14:paraId="198FB90F" w14:textId="77777777" w:rsidR="001267E1" w:rsidRDefault="00000000">
            <w:r>
              <w:rPr>
                <w:rFonts w:ascii="Calibri" w:hAnsi="Calibri"/>
                <w:color w:val="222222"/>
                <w:sz w:val="18"/>
              </w:rPr>
              <w:t>Pure Python (engine/)</w:t>
            </w:r>
          </w:p>
        </w:tc>
        <w:tc>
          <w:tcPr>
            <w:tcW w:w="4608" w:type="dxa"/>
            <w:shd w:val="clear" w:color="auto" w:fill="F4F6F9"/>
            <w:tcMar>
              <w:top w:w="80" w:type="dxa"/>
              <w:left w:w="140" w:type="dxa"/>
              <w:bottom w:w="80" w:type="dxa"/>
              <w:right w:w="140" w:type="dxa"/>
            </w:tcMar>
            <w:vAlign w:val="center"/>
          </w:tcPr>
          <w:p w14:paraId="39BB28E6" w14:textId="77777777" w:rsidR="001267E1" w:rsidRDefault="00000000">
            <w:r>
              <w:rPr>
                <w:rFonts w:ascii="Calibri" w:hAnsi="Calibri"/>
                <w:color w:val="222222"/>
                <w:sz w:val="18"/>
              </w:rPr>
              <w:t>Deterministic asset pricing, portfolio ledger, tax drag, circuit breaker rules, and time travel runner.</w:t>
            </w:r>
          </w:p>
        </w:tc>
      </w:tr>
      <w:tr w:rsidR="001267E1" w14:paraId="3E395D33" w14:textId="77777777">
        <w:trPr>
          <w:jc w:val="center"/>
        </w:trPr>
        <w:tc>
          <w:tcPr>
            <w:tcW w:w="2160" w:type="dxa"/>
            <w:shd w:val="clear" w:color="auto" w:fill="FFFFFF"/>
            <w:tcMar>
              <w:top w:w="80" w:type="dxa"/>
              <w:left w:w="140" w:type="dxa"/>
              <w:bottom w:w="80" w:type="dxa"/>
              <w:right w:w="140" w:type="dxa"/>
            </w:tcMar>
            <w:vAlign w:val="center"/>
          </w:tcPr>
          <w:p w14:paraId="5AA73F88" w14:textId="77777777" w:rsidR="001267E1" w:rsidRDefault="00000000">
            <w:r>
              <w:rPr>
                <w:rFonts w:ascii="Calibri" w:hAnsi="Calibri"/>
                <w:b/>
                <w:color w:val="222222"/>
                <w:sz w:val="18"/>
              </w:rPr>
              <w:t>Causal Graph Layer</w:t>
            </w:r>
          </w:p>
        </w:tc>
        <w:tc>
          <w:tcPr>
            <w:tcW w:w="2592" w:type="dxa"/>
            <w:shd w:val="clear" w:color="auto" w:fill="FFFFFF"/>
            <w:tcMar>
              <w:top w:w="80" w:type="dxa"/>
              <w:left w:w="140" w:type="dxa"/>
              <w:bottom w:w="80" w:type="dxa"/>
              <w:right w:w="140" w:type="dxa"/>
            </w:tcMar>
            <w:vAlign w:val="center"/>
          </w:tcPr>
          <w:p w14:paraId="5D3D3DDD" w14:textId="77777777" w:rsidR="001267E1" w:rsidRDefault="00000000">
            <w:r>
              <w:rPr>
                <w:rFonts w:ascii="Calibri" w:hAnsi="Calibri"/>
                <w:color w:val="222222"/>
                <w:sz w:val="18"/>
              </w:rPr>
              <w:t>NetworkX (DiGraph)</w:t>
            </w:r>
          </w:p>
        </w:tc>
        <w:tc>
          <w:tcPr>
            <w:tcW w:w="4608" w:type="dxa"/>
            <w:shd w:val="clear" w:color="auto" w:fill="FFFFFF"/>
            <w:tcMar>
              <w:top w:w="80" w:type="dxa"/>
              <w:left w:w="140" w:type="dxa"/>
              <w:bottom w:w="80" w:type="dxa"/>
              <w:right w:w="140" w:type="dxa"/>
            </w:tcMar>
            <w:vAlign w:val="center"/>
          </w:tcPr>
          <w:p w14:paraId="117B31FC" w14:textId="77777777" w:rsidR="001267E1" w:rsidRDefault="00000000">
            <w:r>
              <w:rPr>
                <w:rFonts w:ascii="Calibri" w:hAnsi="Calibri"/>
                <w:color w:val="222222"/>
                <w:sz w:val="18"/>
              </w:rPr>
              <w:t>36-node macroeconomic causal graph, Dijkstra resistance path extraction, and sign polarity tracking.</w:t>
            </w:r>
          </w:p>
        </w:tc>
      </w:tr>
      <w:tr w:rsidR="001267E1" w14:paraId="3E4DED94" w14:textId="77777777">
        <w:trPr>
          <w:jc w:val="center"/>
        </w:trPr>
        <w:tc>
          <w:tcPr>
            <w:tcW w:w="2160" w:type="dxa"/>
            <w:shd w:val="clear" w:color="auto" w:fill="F4F6F9"/>
            <w:tcMar>
              <w:top w:w="80" w:type="dxa"/>
              <w:left w:w="140" w:type="dxa"/>
              <w:bottom w:w="80" w:type="dxa"/>
              <w:right w:w="140" w:type="dxa"/>
            </w:tcMar>
            <w:vAlign w:val="center"/>
          </w:tcPr>
          <w:p w14:paraId="39B94066" w14:textId="77777777" w:rsidR="001267E1" w:rsidRDefault="00000000">
            <w:r>
              <w:rPr>
                <w:rFonts w:ascii="Calibri" w:hAnsi="Calibri"/>
                <w:b/>
                <w:color w:val="222222"/>
                <w:sz w:val="18"/>
              </w:rPr>
              <w:t>Knowledge &amp; RAG</w:t>
            </w:r>
          </w:p>
        </w:tc>
        <w:tc>
          <w:tcPr>
            <w:tcW w:w="2592" w:type="dxa"/>
            <w:shd w:val="clear" w:color="auto" w:fill="F4F6F9"/>
            <w:tcMar>
              <w:top w:w="80" w:type="dxa"/>
              <w:left w:w="140" w:type="dxa"/>
              <w:bottom w:w="80" w:type="dxa"/>
              <w:right w:w="140" w:type="dxa"/>
            </w:tcMar>
            <w:vAlign w:val="center"/>
          </w:tcPr>
          <w:p w14:paraId="12E85EDA" w14:textId="77777777" w:rsidR="001267E1" w:rsidRDefault="00000000">
            <w:r>
              <w:rPr>
                <w:rFonts w:ascii="Calibri" w:hAnsi="Calibri"/>
                <w:color w:val="222222"/>
                <w:sz w:val="18"/>
              </w:rPr>
              <w:t>ChromaDB, all-MiniLM-L6-v2</w:t>
            </w:r>
          </w:p>
        </w:tc>
        <w:tc>
          <w:tcPr>
            <w:tcW w:w="4608" w:type="dxa"/>
            <w:shd w:val="clear" w:color="auto" w:fill="F4F6F9"/>
            <w:tcMar>
              <w:top w:w="80" w:type="dxa"/>
              <w:left w:w="140" w:type="dxa"/>
              <w:bottom w:w="80" w:type="dxa"/>
              <w:right w:w="140" w:type="dxa"/>
            </w:tcMar>
            <w:vAlign w:val="center"/>
          </w:tcPr>
          <w:p w14:paraId="778B83D8" w14:textId="77777777" w:rsidR="001267E1" w:rsidRDefault="00000000">
            <w:r>
              <w:rPr>
                <w:rFonts w:ascii="Calibri" w:hAnsi="Calibri"/>
                <w:color w:val="222222"/>
                <w:sz w:val="18"/>
              </w:rPr>
              <w:t>Persistent vector store indexing 52 curated wisdom chunks across 6 masters and 22 crisis twins.</w:t>
            </w:r>
          </w:p>
        </w:tc>
      </w:tr>
      <w:tr w:rsidR="001267E1" w14:paraId="3EC3888C" w14:textId="77777777">
        <w:trPr>
          <w:jc w:val="center"/>
        </w:trPr>
        <w:tc>
          <w:tcPr>
            <w:tcW w:w="2160" w:type="dxa"/>
            <w:shd w:val="clear" w:color="auto" w:fill="FFFFFF"/>
            <w:tcMar>
              <w:top w:w="80" w:type="dxa"/>
              <w:left w:w="140" w:type="dxa"/>
              <w:bottom w:w="80" w:type="dxa"/>
              <w:right w:w="140" w:type="dxa"/>
            </w:tcMar>
            <w:vAlign w:val="center"/>
          </w:tcPr>
          <w:p w14:paraId="4EA02733" w14:textId="77777777" w:rsidR="001267E1" w:rsidRDefault="00000000">
            <w:r>
              <w:rPr>
                <w:rFonts w:ascii="Calibri" w:hAnsi="Calibri"/>
                <w:b/>
                <w:color w:val="222222"/>
                <w:sz w:val="18"/>
              </w:rPr>
              <w:t>AI Mentor Core</w:t>
            </w:r>
          </w:p>
        </w:tc>
        <w:tc>
          <w:tcPr>
            <w:tcW w:w="2592" w:type="dxa"/>
            <w:shd w:val="clear" w:color="auto" w:fill="FFFFFF"/>
            <w:tcMar>
              <w:top w:w="80" w:type="dxa"/>
              <w:left w:w="140" w:type="dxa"/>
              <w:bottom w:w="80" w:type="dxa"/>
              <w:right w:w="140" w:type="dxa"/>
            </w:tcMar>
            <w:vAlign w:val="center"/>
          </w:tcPr>
          <w:p w14:paraId="710CA099" w14:textId="77777777" w:rsidR="001267E1" w:rsidRDefault="00000000">
            <w:r>
              <w:rPr>
                <w:rFonts w:ascii="Calibri" w:hAnsi="Calibri"/>
                <w:color w:val="222222"/>
                <w:sz w:val="18"/>
              </w:rPr>
              <w:t>Google Gemini / Ollama</w:t>
            </w:r>
          </w:p>
        </w:tc>
        <w:tc>
          <w:tcPr>
            <w:tcW w:w="4608" w:type="dxa"/>
            <w:shd w:val="clear" w:color="auto" w:fill="FFFFFF"/>
            <w:tcMar>
              <w:top w:w="80" w:type="dxa"/>
              <w:left w:w="140" w:type="dxa"/>
              <w:bottom w:w="80" w:type="dxa"/>
              <w:right w:w="140" w:type="dxa"/>
            </w:tcMar>
            <w:vAlign w:val="center"/>
          </w:tcPr>
          <w:p w14:paraId="0C79FBF4" w14:textId="77777777" w:rsidR="001267E1" w:rsidRDefault="00000000">
            <w:r>
              <w:rPr>
                <w:rFonts w:ascii="Calibri" w:hAnsi="Calibri"/>
                <w:color w:val="222222"/>
                <w:sz w:val="18"/>
              </w:rPr>
              <w:t>Dual-runtime LLM orchestrator streaming Socratic debriefs, pre-trade previews, and 30-year retrospectives.</w:t>
            </w:r>
          </w:p>
        </w:tc>
      </w:tr>
    </w:tbl>
    <w:p w14:paraId="6E5A3295" w14:textId="77777777" w:rsidR="001267E1" w:rsidRDefault="00000000">
      <w:r>
        <w:br w:type="page"/>
      </w:r>
    </w:p>
    <w:p w14:paraId="15536229" w14:textId="77777777" w:rsidR="001267E1" w:rsidRDefault="00000000">
      <w:pPr>
        <w:pStyle w:val="Heading1"/>
        <w:spacing w:before="360" w:after="120"/>
      </w:pPr>
      <w:r>
        <w:rPr>
          <w:rFonts w:ascii="Calibri" w:hAnsi="Calibri"/>
          <w:color w:val="1B365D"/>
          <w:sz w:val="32"/>
        </w:rPr>
        <w:lastRenderedPageBreak/>
        <w:t>6. Scope of Work &amp; Multi-Asset Financial Universe</w:t>
      </w:r>
    </w:p>
    <w:p w14:paraId="3AE98541" w14:textId="77777777" w:rsidR="001267E1" w:rsidRDefault="00000000">
      <w:pPr>
        <w:spacing w:after="120"/>
      </w:pPr>
      <w:r>
        <w:rPr>
          <w:rFonts w:ascii="Calibri" w:hAnsi="Calibri"/>
          <w:color w:val="222222"/>
          <w:sz w:val="20"/>
        </w:rPr>
        <w:t>MarketSense models a comprehensive multi-asset investment universe comprising 24 distinct instruments across five asset classes. Unlike single-stock simulators that encourage speculative stock picking, MarketSense structures equities into six economic sectors and three market capitalization tiers, reflecting institutional macroeconomic exposure: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2016"/>
        <w:gridCol w:w="2592"/>
      </w:tblGrid>
      <w:tr w:rsidR="001267E1" w14:paraId="77B47760" w14:textId="77777777">
        <w:trPr>
          <w:jc w:val="center"/>
        </w:trPr>
        <w:tc>
          <w:tcPr>
            <w:tcW w:w="2160" w:type="dxa"/>
            <w:shd w:val="clear" w:color="auto" w:fill="1B365D"/>
            <w:tcMar>
              <w:top w:w="120" w:type="dxa"/>
              <w:left w:w="140" w:type="dxa"/>
              <w:bottom w:w="120" w:type="dxa"/>
              <w:right w:w="140" w:type="dxa"/>
            </w:tcMar>
            <w:vAlign w:val="center"/>
          </w:tcPr>
          <w:p w14:paraId="2BA9D798" w14:textId="77777777" w:rsidR="001267E1" w:rsidRDefault="00000000">
            <w:r>
              <w:rPr>
                <w:rFonts w:ascii="Calibri" w:hAnsi="Calibri"/>
                <w:b/>
                <w:color w:val="FFFFFF"/>
                <w:sz w:val="19"/>
              </w:rPr>
              <w:t>Asset Class</w:t>
            </w:r>
          </w:p>
        </w:tc>
        <w:tc>
          <w:tcPr>
            <w:tcW w:w="2592" w:type="dxa"/>
            <w:shd w:val="clear" w:color="auto" w:fill="1B365D"/>
            <w:tcMar>
              <w:top w:w="120" w:type="dxa"/>
              <w:left w:w="140" w:type="dxa"/>
              <w:bottom w:w="120" w:type="dxa"/>
              <w:right w:w="140" w:type="dxa"/>
            </w:tcMar>
            <w:vAlign w:val="center"/>
          </w:tcPr>
          <w:p w14:paraId="2DC0B8EA" w14:textId="77777777" w:rsidR="001267E1" w:rsidRDefault="00000000">
            <w:r>
              <w:rPr>
                <w:rFonts w:ascii="Calibri" w:hAnsi="Calibri"/>
                <w:b/>
                <w:color w:val="FFFFFF"/>
                <w:sz w:val="19"/>
              </w:rPr>
              <w:t>Instruments / Sectors</w:t>
            </w:r>
          </w:p>
        </w:tc>
        <w:tc>
          <w:tcPr>
            <w:tcW w:w="2016" w:type="dxa"/>
            <w:shd w:val="clear" w:color="auto" w:fill="1B365D"/>
            <w:tcMar>
              <w:top w:w="120" w:type="dxa"/>
              <w:left w:w="140" w:type="dxa"/>
              <w:bottom w:w="120" w:type="dxa"/>
              <w:right w:w="140" w:type="dxa"/>
            </w:tcMar>
            <w:vAlign w:val="center"/>
          </w:tcPr>
          <w:p w14:paraId="5582A28D" w14:textId="77777777" w:rsidR="001267E1" w:rsidRDefault="00000000">
            <w:r>
              <w:rPr>
                <w:rFonts w:ascii="Calibri" w:hAnsi="Calibri"/>
                <w:b/>
                <w:color w:val="FFFFFF"/>
                <w:sz w:val="19"/>
              </w:rPr>
              <w:t>Market Caps</w:t>
            </w:r>
          </w:p>
        </w:tc>
        <w:tc>
          <w:tcPr>
            <w:tcW w:w="2592" w:type="dxa"/>
            <w:shd w:val="clear" w:color="auto" w:fill="1B365D"/>
            <w:tcMar>
              <w:top w:w="120" w:type="dxa"/>
              <w:left w:w="140" w:type="dxa"/>
              <w:bottom w:w="120" w:type="dxa"/>
              <w:right w:w="140" w:type="dxa"/>
            </w:tcMar>
            <w:vAlign w:val="center"/>
          </w:tcPr>
          <w:p w14:paraId="0FA2E83F" w14:textId="77777777" w:rsidR="001267E1" w:rsidRDefault="00000000">
            <w:r>
              <w:rPr>
                <w:rFonts w:ascii="Calibri" w:hAnsi="Calibri"/>
                <w:b/>
                <w:color w:val="FFFFFF"/>
                <w:sz w:val="19"/>
              </w:rPr>
              <w:t>Fundamental Parameters</w:t>
            </w:r>
          </w:p>
        </w:tc>
      </w:tr>
      <w:tr w:rsidR="001267E1" w14:paraId="0933658F" w14:textId="77777777">
        <w:trPr>
          <w:jc w:val="center"/>
        </w:trPr>
        <w:tc>
          <w:tcPr>
            <w:tcW w:w="2160" w:type="dxa"/>
            <w:shd w:val="clear" w:color="auto" w:fill="FFFFFF"/>
            <w:tcMar>
              <w:top w:w="80" w:type="dxa"/>
              <w:left w:w="140" w:type="dxa"/>
              <w:bottom w:w="80" w:type="dxa"/>
              <w:right w:w="140" w:type="dxa"/>
            </w:tcMar>
            <w:vAlign w:val="center"/>
          </w:tcPr>
          <w:p w14:paraId="61548A72" w14:textId="77777777" w:rsidR="001267E1" w:rsidRDefault="00000000">
            <w:r>
              <w:rPr>
                <w:rFonts w:ascii="Calibri" w:hAnsi="Calibri"/>
                <w:b/>
                <w:color w:val="222222"/>
                <w:sz w:val="18"/>
              </w:rPr>
              <w:t>Equities (18 Assets)</w:t>
            </w:r>
          </w:p>
        </w:tc>
        <w:tc>
          <w:tcPr>
            <w:tcW w:w="2592" w:type="dxa"/>
            <w:shd w:val="clear" w:color="auto" w:fill="FFFFFF"/>
            <w:tcMar>
              <w:top w:w="80" w:type="dxa"/>
              <w:left w:w="140" w:type="dxa"/>
              <w:bottom w:w="80" w:type="dxa"/>
              <w:right w:w="140" w:type="dxa"/>
            </w:tcMar>
            <w:vAlign w:val="center"/>
          </w:tcPr>
          <w:p w14:paraId="035018E6" w14:textId="77777777" w:rsidR="001267E1" w:rsidRDefault="00000000">
            <w:r>
              <w:rPr>
                <w:rFonts w:ascii="Calibri" w:hAnsi="Calibri"/>
                <w:color w:val="222222"/>
                <w:sz w:val="18"/>
              </w:rPr>
              <w:t>IT, Banking, Energy, FMCG, Healthcare, Real Estate</w:t>
            </w:r>
          </w:p>
        </w:tc>
        <w:tc>
          <w:tcPr>
            <w:tcW w:w="2016" w:type="dxa"/>
            <w:shd w:val="clear" w:color="auto" w:fill="FFFFFF"/>
            <w:tcMar>
              <w:top w:w="80" w:type="dxa"/>
              <w:left w:w="140" w:type="dxa"/>
              <w:bottom w:w="80" w:type="dxa"/>
              <w:right w:w="140" w:type="dxa"/>
            </w:tcMar>
            <w:vAlign w:val="center"/>
          </w:tcPr>
          <w:p w14:paraId="32D7EF18" w14:textId="77777777" w:rsidR="001267E1" w:rsidRDefault="00000000">
            <w:r>
              <w:rPr>
                <w:rFonts w:ascii="Calibri" w:hAnsi="Calibri"/>
                <w:color w:val="222222"/>
                <w:sz w:val="18"/>
              </w:rPr>
              <w:t>Large, Mid, Small Cap</w:t>
            </w:r>
          </w:p>
        </w:tc>
        <w:tc>
          <w:tcPr>
            <w:tcW w:w="2592" w:type="dxa"/>
            <w:shd w:val="clear" w:color="auto" w:fill="FFFFFF"/>
            <w:tcMar>
              <w:top w:w="80" w:type="dxa"/>
              <w:left w:w="140" w:type="dxa"/>
              <w:bottom w:w="80" w:type="dxa"/>
              <w:right w:w="140" w:type="dxa"/>
            </w:tcMar>
            <w:vAlign w:val="center"/>
          </w:tcPr>
          <w:p w14:paraId="20FC46C3" w14:textId="77777777" w:rsidR="001267E1" w:rsidRDefault="00000000">
            <w:r>
              <w:rPr>
                <w:rFonts w:ascii="Calibri" w:hAnsi="Calibri"/>
                <w:color w:val="222222"/>
                <w:sz w:val="18"/>
              </w:rPr>
              <w:t>Beta (0.75–1.45), Debt Ratio (0.15–0.55), Cash Resilience (0.15–0.45)</w:t>
            </w:r>
          </w:p>
        </w:tc>
      </w:tr>
      <w:tr w:rsidR="001267E1" w14:paraId="783341F5" w14:textId="77777777">
        <w:trPr>
          <w:jc w:val="center"/>
        </w:trPr>
        <w:tc>
          <w:tcPr>
            <w:tcW w:w="2160" w:type="dxa"/>
            <w:shd w:val="clear" w:color="auto" w:fill="F4F6F9"/>
            <w:tcMar>
              <w:top w:w="80" w:type="dxa"/>
              <w:left w:w="140" w:type="dxa"/>
              <w:bottom w:w="80" w:type="dxa"/>
              <w:right w:w="140" w:type="dxa"/>
            </w:tcMar>
            <w:vAlign w:val="center"/>
          </w:tcPr>
          <w:p w14:paraId="13CBD3B4" w14:textId="77777777" w:rsidR="001267E1" w:rsidRDefault="00000000">
            <w:r>
              <w:rPr>
                <w:rFonts w:ascii="Calibri" w:hAnsi="Calibri"/>
                <w:b/>
                <w:color w:val="222222"/>
                <w:sz w:val="18"/>
              </w:rPr>
              <w:t>Precious Metals</w:t>
            </w:r>
          </w:p>
        </w:tc>
        <w:tc>
          <w:tcPr>
            <w:tcW w:w="2592" w:type="dxa"/>
            <w:shd w:val="clear" w:color="auto" w:fill="F4F6F9"/>
            <w:tcMar>
              <w:top w:w="80" w:type="dxa"/>
              <w:left w:w="140" w:type="dxa"/>
              <w:bottom w:w="80" w:type="dxa"/>
              <w:right w:w="140" w:type="dxa"/>
            </w:tcMar>
            <w:vAlign w:val="center"/>
          </w:tcPr>
          <w:p w14:paraId="0D854F13" w14:textId="77777777" w:rsidR="001267E1" w:rsidRDefault="00000000">
            <w:r>
              <w:rPr>
                <w:rFonts w:ascii="Calibri" w:hAnsi="Calibri"/>
                <w:color w:val="222222"/>
                <w:sz w:val="18"/>
              </w:rPr>
              <w:t>Physical Gold Trust, Silver &amp; Industrial Metals</w:t>
            </w:r>
          </w:p>
        </w:tc>
        <w:tc>
          <w:tcPr>
            <w:tcW w:w="2016" w:type="dxa"/>
            <w:shd w:val="clear" w:color="auto" w:fill="F4F6F9"/>
            <w:tcMar>
              <w:top w:w="80" w:type="dxa"/>
              <w:left w:w="140" w:type="dxa"/>
              <w:bottom w:w="80" w:type="dxa"/>
              <w:right w:w="140" w:type="dxa"/>
            </w:tcMar>
            <w:vAlign w:val="center"/>
          </w:tcPr>
          <w:p w14:paraId="4E374599" w14:textId="77777777" w:rsidR="001267E1" w:rsidRDefault="00000000">
            <w:r>
              <w:rPr>
                <w:rFonts w:ascii="Calibri" w:hAnsi="Calibri"/>
                <w:color w:val="222222"/>
                <w:sz w:val="18"/>
              </w:rPr>
              <w:t>Commodity</w:t>
            </w:r>
          </w:p>
        </w:tc>
        <w:tc>
          <w:tcPr>
            <w:tcW w:w="2592" w:type="dxa"/>
            <w:shd w:val="clear" w:color="auto" w:fill="F4F6F9"/>
            <w:tcMar>
              <w:top w:w="80" w:type="dxa"/>
              <w:left w:w="140" w:type="dxa"/>
              <w:bottom w:w="80" w:type="dxa"/>
              <w:right w:w="140" w:type="dxa"/>
            </w:tcMar>
            <w:vAlign w:val="center"/>
          </w:tcPr>
          <w:p w14:paraId="3975D32D" w14:textId="77777777" w:rsidR="001267E1" w:rsidRDefault="00000000">
            <w:r>
              <w:rPr>
                <w:rFonts w:ascii="Calibri" w:hAnsi="Calibri"/>
                <w:color w:val="222222"/>
                <w:sz w:val="18"/>
              </w:rPr>
              <w:t>Zero debt, crisis safe-haven beta, inflation hedge sensitivity</w:t>
            </w:r>
          </w:p>
        </w:tc>
      </w:tr>
      <w:tr w:rsidR="001267E1" w14:paraId="63E8B02E" w14:textId="77777777">
        <w:trPr>
          <w:jc w:val="center"/>
        </w:trPr>
        <w:tc>
          <w:tcPr>
            <w:tcW w:w="2160" w:type="dxa"/>
            <w:shd w:val="clear" w:color="auto" w:fill="FFFFFF"/>
            <w:tcMar>
              <w:top w:w="80" w:type="dxa"/>
              <w:left w:w="140" w:type="dxa"/>
              <w:bottom w:w="80" w:type="dxa"/>
              <w:right w:w="140" w:type="dxa"/>
            </w:tcMar>
            <w:vAlign w:val="center"/>
          </w:tcPr>
          <w:p w14:paraId="61764153" w14:textId="77777777" w:rsidR="001267E1" w:rsidRDefault="00000000">
            <w:r>
              <w:rPr>
                <w:rFonts w:ascii="Calibri" w:hAnsi="Calibri"/>
                <w:b/>
                <w:color w:val="222222"/>
                <w:sz w:val="18"/>
              </w:rPr>
              <w:t>Fixed Income</w:t>
            </w:r>
          </w:p>
        </w:tc>
        <w:tc>
          <w:tcPr>
            <w:tcW w:w="2592" w:type="dxa"/>
            <w:shd w:val="clear" w:color="auto" w:fill="FFFFFF"/>
            <w:tcMar>
              <w:top w:w="80" w:type="dxa"/>
              <w:left w:w="140" w:type="dxa"/>
              <w:bottom w:w="80" w:type="dxa"/>
              <w:right w:w="140" w:type="dxa"/>
            </w:tcMar>
            <w:vAlign w:val="center"/>
          </w:tcPr>
          <w:p w14:paraId="10B4E798" w14:textId="77777777" w:rsidR="001267E1" w:rsidRDefault="00000000">
            <w:r>
              <w:rPr>
                <w:rFonts w:ascii="Calibri" w:hAnsi="Calibri"/>
                <w:color w:val="222222"/>
                <w:sz w:val="18"/>
              </w:rPr>
              <w:t>Short Sovereign T-Bills, 10-Year Sovereign Bonds</w:t>
            </w:r>
          </w:p>
        </w:tc>
        <w:tc>
          <w:tcPr>
            <w:tcW w:w="2016" w:type="dxa"/>
            <w:shd w:val="clear" w:color="auto" w:fill="FFFFFF"/>
            <w:tcMar>
              <w:top w:w="80" w:type="dxa"/>
              <w:left w:w="140" w:type="dxa"/>
              <w:bottom w:w="80" w:type="dxa"/>
              <w:right w:w="140" w:type="dxa"/>
            </w:tcMar>
            <w:vAlign w:val="center"/>
          </w:tcPr>
          <w:p w14:paraId="07256EEA" w14:textId="77777777" w:rsidR="001267E1" w:rsidRDefault="00000000">
            <w:r>
              <w:rPr>
                <w:rFonts w:ascii="Calibri" w:hAnsi="Calibri"/>
                <w:color w:val="222222"/>
                <w:sz w:val="18"/>
              </w:rPr>
              <w:t>Short/Long Duration</w:t>
            </w:r>
          </w:p>
        </w:tc>
        <w:tc>
          <w:tcPr>
            <w:tcW w:w="2592" w:type="dxa"/>
            <w:shd w:val="clear" w:color="auto" w:fill="FFFFFF"/>
            <w:tcMar>
              <w:top w:w="80" w:type="dxa"/>
              <w:left w:w="140" w:type="dxa"/>
              <w:bottom w:w="80" w:type="dxa"/>
              <w:right w:w="140" w:type="dxa"/>
            </w:tcMar>
            <w:vAlign w:val="center"/>
          </w:tcPr>
          <w:p w14:paraId="421CBF6E" w14:textId="77777777" w:rsidR="001267E1" w:rsidRDefault="00000000">
            <w:r>
              <w:rPr>
                <w:rFonts w:ascii="Calibri" w:hAnsi="Calibri"/>
                <w:color w:val="222222"/>
                <w:sz w:val="18"/>
              </w:rPr>
              <w:t>Duration risk, rate sensitivity, sovereign safety guarantee</w:t>
            </w:r>
          </w:p>
        </w:tc>
      </w:tr>
      <w:tr w:rsidR="001267E1" w14:paraId="427B3C34" w14:textId="77777777">
        <w:trPr>
          <w:jc w:val="center"/>
        </w:trPr>
        <w:tc>
          <w:tcPr>
            <w:tcW w:w="2160" w:type="dxa"/>
            <w:shd w:val="clear" w:color="auto" w:fill="F4F6F9"/>
            <w:tcMar>
              <w:top w:w="80" w:type="dxa"/>
              <w:left w:w="140" w:type="dxa"/>
              <w:bottom w:w="80" w:type="dxa"/>
              <w:right w:w="140" w:type="dxa"/>
            </w:tcMar>
            <w:vAlign w:val="center"/>
          </w:tcPr>
          <w:p w14:paraId="70BBD104" w14:textId="77777777" w:rsidR="001267E1" w:rsidRDefault="00000000">
            <w:r>
              <w:rPr>
                <w:rFonts w:ascii="Calibri" w:hAnsi="Calibri"/>
                <w:b/>
                <w:color w:val="222222"/>
                <w:sz w:val="18"/>
              </w:rPr>
              <w:t>Cash Equivalent</w:t>
            </w:r>
          </w:p>
        </w:tc>
        <w:tc>
          <w:tcPr>
            <w:tcW w:w="2592" w:type="dxa"/>
            <w:shd w:val="clear" w:color="auto" w:fill="F4F6F9"/>
            <w:tcMar>
              <w:top w:w="80" w:type="dxa"/>
              <w:left w:w="140" w:type="dxa"/>
              <w:bottom w:w="80" w:type="dxa"/>
              <w:right w:w="140" w:type="dxa"/>
            </w:tcMar>
            <w:vAlign w:val="center"/>
          </w:tcPr>
          <w:p w14:paraId="704E6D67" w14:textId="77777777" w:rsidR="001267E1" w:rsidRDefault="00000000">
            <w:r>
              <w:rPr>
                <w:rFonts w:ascii="Calibri" w:hAnsi="Calibri"/>
                <w:color w:val="222222"/>
                <w:sz w:val="18"/>
              </w:rPr>
              <w:t>SGD High-Yield Money Market Fund (CASH_MMF)</w:t>
            </w:r>
          </w:p>
        </w:tc>
        <w:tc>
          <w:tcPr>
            <w:tcW w:w="2016" w:type="dxa"/>
            <w:shd w:val="clear" w:color="auto" w:fill="F4F6F9"/>
            <w:tcMar>
              <w:top w:w="80" w:type="dxa"/>
              <w:left w:w="140" w:type="dxa"/>
              <w:bottom w:w="80" w:type="dxa"/>
              <w:right w:w="140" w:type="dxa"/>
            </w:tcMar>
            <w:vAlign w:val="center"/>
          </w:tcPr>
          <w:p w14:paraId="0BC7F870" w14:textId="77777777" w:rsidR="001267E1" w:rsidRDefault="00000000">
            <w:r>
              <w:rPr>
                <w:rFonts w:ascii="Calibri" w:hAnsi="Calibri"/>
                <w:color w:val="222222"/>
                <w:sz w:val="18"/>
              </w:rPr>
              <w:t>Liquid Reserve</w:t>
            </w:r>
          </w:p>
        </w:tc>
        <w:tc>
          <w:tcPr>
            <w:tcW w:w="2592" w:type="dxa"/>
            <w:shd w:val="clear" w:color="auto" w:fill="F4F6F9"/>
            <w:tcMar>
              <w:top w:w="80" w:type="dxa"/>
              <w:left w:w="140" w:type="dxa"/>
              <w:bottom w:w="80" w:type="dxa"/>
              <w:right w:w="140" w:type="dxa"/>
            </w:tcMar>
            <w:vAlign w:val="center"/>
          </w:tcPr>
          <w:p w14:paraId="1192A972" w14:textId="77777777" w:rsidR="001267E1" w:rsidRDefault="00000000">
            <w:r>
              <w:rPr>
                <w:rFonts w:ascii="Calibri" w:hAnsi="Calibri"/>
                <w:color w:val="222222"/>
                <w:sz w:val="18"/>
              </w:rPr>
              <w:t>Guaranteed principal non-negativity, quarterly interest accrual</w:t>
            </w:r>
          </w:p>
        </w:tc>
      </w:tr>
      <w:tr w:rsidR="001267E1" w14:paraId="785FAC15" w14:textId="77777777">
        <w:trPr>
          <w:jc w:val="center"/>
        </w:trPr>
        <w:tc>
          <w:tcPr>
            <w:tcW w:w="2160" w:type="dxa"/>
            <w:shd w:val="clear" w:color="auto" w:fill="FFFFFF"/>
            <w:tcMar>
              <w:top w:w="80" w:type="dxa"/>
              <w:left w:w="140" w:type="dxa"/>
              <w:bottom w:w="80" w:type="dxa"/>
              <w:right w:w="140" w:type="dxa"/>
            </w:tcMar>
            <w:vAlign w:val="center"/>
          </w:tcPr>
          <w:p w14:paraId="0CC15CCD" w14:textId="77777777" w:rsidR="001267E1" w:rsidRDefault="00000000">
            <w:r>
              <w:rPr>
                <w:rFonts w:ascii="Calibri" w:hAnsi="Calibri"/>
                <w:b/>
                <w:color w:val="222222"/>
                <w:sz w:val="18"/>
              </w:rPr>
              <w:t>Digital Assets</w:t>
            </w:r>
          </w:p>
        </w:tc>
        <w:tc>
          <w:tcPr>
            <w:tcW w:w="2592" w:type="dxa"/>
            <w:shd w:val="clear" w:color="auto" w:fill="FFFFFF"/>
            <w:tcMar>
              <w:top w:w="80" w:type="dxa"/>
              <w:left w:w="140" w:type="dxa"/>
              <w:bottom w:w="80" w:type="dxa"/>
              <w:right w:w="140" w:type="dxa"/>
            </w:tcMar>
            <w:vAlign w:val="center"/>
          </w:tcPr>
          <w:p w14:paraId="7111EA01" w14:textId="77777777" w:rsidR="001267E1" w:rsidRDefault="00000000">
            <w:r>
              <w:rPr>
                <w:rFonts w:ascii="Calibri" w:hAnsi="Calibri"/>
                <w:color w:val="222222"/>
                <w:sz w:val="18"/>
              </w:rPr>
              <w:t>Digital Asset Benchmark ETF (CRYPTO_BENCH)</w:t>
            </w:r>
          </w:p>
        </w:tc>
        <w:tc>
          <w:tcPr>
            <w:tcW w:w="2016" w:type="dxa"/>
            <w:shd w:val="clear" w:color="auto" w:fill="FFFFFF"/>
            <w:tcMar>
              <w:top w:w="80" w:type="dxa"/>
              <w:left w:w="140" w:type="dxa"/>
              <w:bottom w:w="80" w:type="dxa"/>
              <w:right w:w="140" w:type="dxa"/>
            </w:tcMar>
            <w:vAlign w:val="center"/>
          </w:tcPr>
          <w:p w14:paraId="574B17C8" w14:textId="77777777" w:rsidR="001267E1" w:rsidRDefault="00000000">
            <w:r>
              <w:rPr>
                <w:rFonts w:ascii="Calibri" w:hAnsi="Calibri"/>
                <w:color w:val="222222"/>
                <w:sz w:val="18"/>
              </w:rPr>
              <w:t>Alternative Tech</w:t>
            </w:r>
          </w:p>
        </w:tc>
        <w:tc>
          <w:tcPr>
            <w:tcW w:w="2592" w:type="dxa"/>
            <w:shd w:val="clear" w:color="auto" w:fill="FFFFFF"/>
            <w:tcMar>
              <w:top w:w="80" w:type="dxa"/>
              <w:left w:w="140" w:type="dxa"/>
              <w:bottom w:w="80" w:type="dxa"/>
              <w:right w:w="140" w:type="dxa"/>
            </w:tcMar>
            <w:vAlign w:val="center"/>
          </w:tcPr>
          <w:p w14:paraId="76DC3163" w14:textId="77777777" w:rsidR="001267E1" w:rsidRDefault="00000000">
            <w:r>
              <w:rPr>
                <w:rFonts w:ascii="Calibri" w:hAnsi="Calibri"/>
                <w:color w:val="222222"/>
                <w:sz w:val="18"/>
              </w:rPr>
              <w:t>High systematic beta (2.20), extreme speculative sensitivity</w:t>
            </w:r>
          </w:p>
        </w:tc>
      </w:tr>
      <w:tr w:rsidR="001267E1" w14:paraId="140AB0A0" w14:textId="77777777">
        <w:trPr>
          <w:jc w:val="center"/>
        </w:trPr>
        <w:tc>
          <w:tcPr>
            <w:tcW w:w="2160" w:type="dxa"/>
            <w:shd w:val="clear" w:color="auto" w:fill="F4F6F9"/>
            <w:tcMar>
              <w:top w:w="80" w:type="dxa"/>
              <w:left w:w="140" w:type="dxa"/>
              <w:bottom w:w="80" w:type="dxa"/>
              <w:right w:w="140" w:type="dxa"/>
            </w:tcMar>
            <w:vAlign w:val="center"/>
          </w:tcPr>
          <w:p w14:paraId="09598B0F" w14:textId="77777777" w:rsidR="001267E1" w:rsidRDefault="00000000">
            <w:r>
              <w:rPr>
                <w:rFonts w:ascii="Calibri" w:hAnsi="Calibri"/>
                <w:b/>
                <w:color w:val="222222"/>
                <w:sz w:val="18"/>
              </w:rPr>
              <w:t>Passive Benchmarks</w:t>
            </w:r>
          </w:p>
        </w:tc>
        <w:tc>
          <w:tcPr>
            <w:tcW w:w="2592" w:type="dxa"/>
            <w:shd w:val="clear" w:color="auto" w:fill="F4F6F9"/>
            <w:tcMar>
              <w:top w:w="80" w:type="dxa"/>
              <w:left w:w="140" w:type="dxa"/>
              <w:bottom w:w="80" w:type="dxa"/>
              <w:right w:w="140" w:type="dxa"/>
            </w:tcMar>
            <w:vAlign w:val="center"/>
          </w:tcPr>
          <w:p w14:paraId="4B386171" w14:textId="77777777" w:rsidR="001267E1" w:rsidRDefault="00000000">
            <w:r>
              <w:rPr>
                <w:rFonts w:ascii="Calibri" w:hAnsi="Calibri"/>
                <w:color w:val="222222"/>
                <w:sz w:val="18"/>
              </w:rPr>
              <w:t>All-Weather, Classic 60/40, 100% Equity, CPI Hurdle</w:t>
            </w:r>
          </w:p>
        </w:tc>
        <w:tc>
          <w:tcPr>
            <w:tcW w:w="2016" w:type="dxa"/>
            <w:shd w:val="clear" w:color="auto" w:fill="F4F6F9"/>
            <w:tcMar>
              <w:top w:w="80" w:type="dxa"/>
              <w:left w:w="140" w:type="dxa"/>
              <w:bottom w:w="80" w:type="dxa"/>
              <w:right w:w="140" w:type="dxa"/>
            </w:tcMar>
            <w:vAlign w:val="center"/>
          </w:tcPr>
          <w:p w14:paraId="4CFEFF39" w14:textId="77777777" w:rsidR="001267E1" w:rsidRDefault="00000000">
            <w:r>
              <w:rPr>
                <w:rFonts w:ascii="Calibri" w:hAnsi="Calibri"/>
                <w:color w:val="222222"/>
                <w:sz w:val="18"/>
              </w:rPr>
              <w:t>Institutional</w:t>
            </w:r>
          </w:p>
        </w:tc>
        <w:tc>
          <w:tcPr>
            <w:tcW w:w="2592" w:type="dxa"/>
            <w:shd w:val="clear" w:color="auto" w:fill="F4F6F9"/>
            <w:tcMar>
              <w:top w:w="80" w:type="dxa"/>
              <w:left w:w="140" w:type="dxa"/>
              <w:bottom w:w="80" w:type="dxa"/>
              <w:right w:w="140" w:type="dxa"/>
            </w:tcMar>
            <w:vAlign w:val="center"/>
          </w:tcPr>
          <w:p w14:paraId="6D91F902" w14:textId="77777777" w:rsidR="001267E1" w:rsidRDefault="00000000">
            <w:r>
              <w:rPr>
                <w:rFonts w:ascii="Calibri" w:hAnsi="Calibri"/>
                <w:color w:val="222222"/>
                <w:sz w:val="18"/>
              </w:rPr>
              <w:t>Dynamic quarterly tracking for direct alpha measurement</w:t>
            </w:r>
          </w:p>
        </w:tc>
      </w:tr>
    </w:tbl>
    <w:p w14:paraId="79269701" w14:textId="77777777" w:rsidR="001267E1" w:rsidRDefault="001267E1">
      <w:pPr>
        <w:spacing w:after="120"/>
      </w:pPr>
    </w:p>
    <w:p w14:paraId="587BF9FF" w14:textId="77777777" w:rsidR="001267E1" w:rsidRDefault="00000000">
      <w:pPr>
        <w:pStyle w:val="Heading1"/>
        <w:spacing w:before="360" w:after="120"/>
      </w:pPr>
      <w:r>
        <w:rPr>
          <w:rFonts w:ascii="Calibri" w:hAnsi="Calibri"/>
          <w:color w:val="1B365D"/>
          <w:sz w:val="32"/>
        </w:rPr>
        <w:t>7. Macroeconomic Crisis &amp; Dual-Event Engine</w:t>
      </w:r>
    </w:p>
    <w:p w14:paraId="27329690" w14:textId="77777777" w:rsidR="001267E1" w:rsidRDefault="00000000">
      <w:pPr>
        <w:spacing w:after="120"/>
      </w:pPr>
      <w:r>
        <w:rPr>
          <w:rFonts w:ascii="Calibri" w:hAnsi="Calibri"/>
          <w:color w:val="222222"/>
          <w:sz w:val="20"/>
        </w:rPr>
        <w:t>The simulation lifecycle is driven by 22 curated historical crisis cards spanning monetary tightening, stagflation, banking panics, asset bubbles, supply chain embargoes, and technological disruption. MarketSense introduces a novel two-phase event taxonomy that requires distinct cognitive strategies from the trainee:</w:t>
      </w:r>
    </w:p>
    <w:p w14:paraId="5AC6CD81" w14:textId="77777777" w:rsidR="001267E1" w:rsidRDefault="00000000">
      <w:pPr>
        <w:spacing w:after="120"/>
      </w:pPr>
      <w:r>
        <w:rPr>
          <w:rFonts w:ascii="Calibri" w:hAnsi="Calibri"/>
          <w:color w:val="222222"/>
          <w:sz w:val="20"/>
        </w:rPr>
        <w:t>• Forecastable / Seasonal Cycles (Planning Window): Events such as Earnings Season, Tax Year-End, or Anticipated Policy Shifts provide a pre-event planning window. Trainees inspect macro trends and rebalance their portfolio *before* price adjustments take effect.</w:t>
      </w:r>
    </w:p>
    <w:p w14:paraId="17C6BABD" w14:textId="77777777" w:rsidR="001267E1" w:rsidRDefault="00000000">
      <w:pPr>
        <w:spacing w:after="120"/>
      </w:pPr>
      <w:r>
        <w:rPr>
          <w:rFonts w:ascii="Calibri" w:hAnsi="Calibri"/>
          <w:color w:val="222222"/>
          <w:sz w:val="20"/>
        </w:rPr>
        <w:t>• Sudden Black Swan Shocks (Discipline &amp; Circuit Breakers): Events such as the 1973 Oil Embargo, 2008 Lehman Collapse, 2020 Pandemic Freeze, or 2023 SVB Bank Run land instantaneously. To emulate real-world liquidity freezes, an automated **Circuit Breaker** freezes asset sales. Trainees cannot panic-sell at market bottoms; they must let their pre-existing cash reserves and structural diversification absorb the shock.</w:t>
      </w:r>
    </w:p>
    <w:p w14:paraId="3DF69537" w14:textId="77777777" w:rsidR="001267E1" w:rsidRDefault="00000000">
      <w:pPr>
        <w:pStyle w:val="Heading1"/>
        <w:spacing w:before="360" w:after="120"/>
      </w:pPr>
      <w:r>
        <w:rPr>
          <w:rFonts w:ascii="Calibri" w:hAnsi="Calibri"/>
          <w:color w:val="1B365D"/>
          <w:sz w:val="32"/>
        </w:rPr>
        <w:lastRenderedPageBreak/>
        <w:t>8. Data Sets Used &amp; Knowledge Engineering Pipeline</w:t>
      </w:r>
    </w:p>
    <w:p w14:paraId="37C72D6E" w14:textId="77777777" w:rsidR="001267E1" w:rsidRDefault="00000000">
      <w:pPr>
        <w:spacing w:after="120"/>
      </w:pPr>
      <w:r>
        <w:rPr>
          <w:rFonts w:ascii="Calibri" w:hAnsi="Calibri"/>
          <w:color w:val="222222"/>
          <w:sz w:val="20"/>
        </w:rPr>
        <w:t>The project integrates both numerical financial datasets and qualitative investment knowledge corpora:</w:t>
      </w:r>
    </w:p>
    <w:p w14:paraId="6F26B59E" w14:textId="77777777" w:rsidR="001267E1" w:rsidRDefault="00000000">
      <w:pPr>
        <w:spacing w:after="120"/>
      </w:pPr>
      <w:r>
        <w:rPr>
          <w:rFonts w:ascii="Calibri" w:hAnsi="Calibri"/>
          <w:b/>
          <w:color w:val="1B365D"/>
          <w:sz w:val="20"/>
        </w:rPr>
        <w:t xml:space="preserve">• </w:t>
      </w:r>
      <w:r>
        <w:rPr>
          <w:rFonts w:ascii="Calibri" w:hAnsi="Calibri"/>
          <w:color w:val="222222"/>
          <w:sz w:val="20"/>
        </w:rPr>
        <w:t>1. Assets &amp; Crises Data (data/assets.json, data/crisis_cards.json): Structured JSON repositories modeling financial sensitivities, sector shock vectors, and historical inflation rates (from 1.8% in tech booms to 8.9% during oil shocks).</w:t>
      </w:r>
    </w:p>
    <w:p w14:paraId="3B125460" w14:textId="77777777" w:rsidR="001267E1" w:rsidRDefault="00000000">
      <w:pPr>
        <w:spacing w:after="120"/>
      </w:pPr>
      <w:r>
        <w:rPr>
          <w:rFonts w:ascii="Calibri" w:hAnsi="Calibri"/>
          <w:b/>
          <w:color w:val="1B365D"/>
          <w:sz w:val="20"/>
        </w:rPr>
        <w:t xml:space="preserve">• </w:t>
      </w:r>
      <w:r>
        <w:rPr>
          <w:rFonts w:ascii="Calibri" w:hAnsi="Calibri"/>
          <w:color w:val="222222"/>
          <w:sz w:val="20"/>
        </w:rPr>
        <w:t>2. Causal Knowledge Graph Schema (data/knowledge/causal_graph.json): 36 nodes categorized into Macro Drivers (11), Transmission Channels (12), Economic Sectors (6), and Asset Classes (7), interconnected by 48 directed weighted edges with quantified resistance scores.</w:t>
      </w:r>
    </w:p>
    <w:p w14:paraId="493BC8F5" w14:textId="77777777" w:rsidR="001267E1" w:rsidRDefault="00000000">
      <w:pPr>
        <w:spacing w:after="120"/>
      </w:pPr>
      <w:r>
        <w:rPr>
          <w:rFonts w:ascii="Calibri" w:hAnsi="Calibri"/>
          <w:b/>
          <w:color w:val="1B365D"/>
          <w:sz w:val="20"/>
        </w:rPr>
        <w:t xml:space="preserve">• </w:t>
      </w:r>
      <w:r>
        <w:rPr>
          <w:rFonts w:ascii="Calibri" w:hAnsi="Calibri"/>
          <w:color w:val="222222"/>
          <w:sz w:val="20"/>
        </w:rPr>
        <w:t>3. Curated RAG Corpus (data/knowledge/): 52 vectorized chunks combining seminal axioms from six investment masters (Graham, Dalio, Marks, Lynch, Bogle, Taleb) with 22 detailed empirical crisis twin precedents containing comparative metrics (peak inflation, asset drawdowns, recovery months).</w:t>
      </w:r>
    </w:p>
    <w:p w14:paraId="15992FEE" w14:textId="77777777" w:rsidR="001267E1" w:rsidRDefault="00000000">
      <w:pPr>
        <w:pStyle w:val="Heading1"/>
        <w:spacing w:before="360" w:after="120"/>
      </w:pPr>
      <w:r>
        <w:rPr>
          <w:rFonts w:ascii="Calibri" w:hAnsi="Calibri"/>
          <w:color w:val="1B365D"/>
          <w:sz w:val="32"/>
        </w:rPr>
        <w:t>9. Modelling Performed &amp; Intelligent Reasoning Methodologies</w:t>
      </w:r>
    </w:p>
    <w:p w14:paraId="30D07788" w14:textId="77777777" w:rsidR="001267E1" w:rsidRDefault="00000000">
      <w:pPr>
        <w:spacing w:after="120"/>
      </w:pPr>
      <w:r>
        <w:rPr>
          <w:rFonts w:ascii="Calibri" w:hAnsi="Calibri"/>
          <w:color w:val="222222"/>
          <w:sz w:val="20"/>
        </w:rPr>
        <w:t>MarketSense incorporates formal machine reasoning, graph traversal, and cognitive prompt engineering algorithms:</w:t>
      </w:r>
    </w:p>
    <w:p w14:paraId="48866D7A" w14:textId="77777777" w:rsidR="001267E1" w:rsidRDefault="00000000">
      <w:pPr>
        <w:pStyle w:val="Heading2"/>
        <w:spacing w:before="280" w:after="80"/>
      </w:pPr>
      <w:r>
        <w:rPr>
          <w:rFonts w:ascii="Calibri" w:hAnsi="Calibri"/>
          <w:color w:val="457B9D"/>
        </w:rPr>
        <w:t>9.1 Deterministic Asset Pricing Model</w:t>
      </w:r>
    </w:p>
    <w:p w14:paraId="6822CFB0" w14:textId="77777777" w:rsidR="001267E1" w:rsidRDefault="00000000">
      <w:pPr>
        <w:spacing w:after="120"/>
      </w:pPr>
      <w:r>
        <w:rPr>
          <w:rFonts w:ascii="Calibri" w:hAnsi="Calibri"/>
          <w:color w:val="222222"/>
          <w:sz w:val="20"/>
        </w:rPr>
        <w:t>For any tradeable instrument, quarterly percentage price changes are calculated using an explicit, closed-form formula:</w:t>
      </w:r>
    </w:p>
    <w:tbl>
      <w:tblPr>
        <w:tblW w:w="0" w:type="auto"/>
        <w:jc w:val="center"/>
        <w:tblLayout w:type="fixed"/>
        <w:tblLook w:val="04A0" w:firstRow="1" w:lastRow="0" w:firstColumn="1" w:lastColumn="0" w:noHBand="0" w:noVBand="1"/>
      </w:tblPr>
      <w:tblGrid>
        <w:gridCol w:w="9360"/>
      </w:tblGrid>
      <w:tr w:rsidR="001267E1" w14:paraId="353B1B1C" w14:textId="77777777">
        <w:trPr>
          <w:jc w:val="center"/>
        </w:trPr>
        <w:tc>
          <w:tcPr>
            <w:tcW w:w="9360" w:type="dxa"/>
            <w:tcBorders>
              <w:left w:val="single" w:sz="24" w:space="0" w:color="1B365D"/>
            </w:tcBorders>
            <w:shd w:val="clear" w:color="auto" w:fill="F8FAFC"/>
            <w:tcMar>
              <w:top w:w="140" w:type="dxa"/>
              <w:left w:w="200" w:type="dxa"/>
              <w:bottom w:w="140" w:type="dxa"/>
              <w:right w:w="180" w:type="dxa"/>
            </w:tcMar>
          </w:tcPr>
          <w:p w14:paraId="1A868222" w14:textId="77777777" w:rsidR="001267E1" w:rsidRDefault="00000000">
            <w:pPr>
              <w:spacing w:after="60"/>
            </w:pPr>
            <w:r>
              <w:rPr>
                <w:rFonts w:ascii="Calibri" w:hAnsi="Calibri"/>
                <w:b/>
                <w:color w:val="1B365D"/>
                <w:sz w:val="20"/>
              </w:rPr>
              <w:t>■  DETERMINISTIC ASSET VALUATION FORMULATION</w:t>
            </w:r>
            <w:r>
              <w:rPr>
                <w:rFonts w:ascii="Calibri" w:hAnsi="Calibri"/>
                <w:b/>
                <w:color w:val="1B365D"/>
                <w:sz w:val="20"/>
              </w:rPr>
              <w:br/>
            </w:r>
            <w:r>
              <w:rPr>
                <w:rFonts w:ascii="Calibri" w:hAnsi="Calibri"/>
                <w:i/>
                <w:color w:val="222222"/>
                <w:sz w:val="19"/>
              </w:rPr>
              <w:t>ΔP = β × SectorImpact × CapMultiplier × (1 + DebtPenalty − CashBuffer) + Noise</w:t>
            </w:r>
            <w:r>
              <w:rPr>
                <w:rFonts w:ascii="Calibri" w:hAnsi="Calibri"/>
                <w:i/>
                <w:color w:val="222222"/>
                <w:sz w:val="19"/>
              </w:rPr>
              <w:br/>
            </w:r>
            <w:r>
              <w:rPr>
                <w:rFonts w:ascii="Calibri" w:hAnsi="Calibri"/>
                <w:i/>
                <w:color w:val="222222"/>
                <w:sz w:val="19"/>
              </w:rPr>
              <w:br/>
              <w:t>Where:</w:t>
            </w:r>
            <w:r>
              <w:rPr>
                <w:rFonts w:ascii="Calibri" w:hAnsi="Calibri"/>
                <w:i/>
                <w:color w:val="222222"/>
                <w:sz w:val="19"/>
              </w:rPr>
              <w:br/>
              <w:t>• β (Beta): Systematic risk sensitivity (0.0 for cash, 2.2 for crypto).</w:t>
            </w:r>
            <w:r>
              <w:rPr>
                <w:rFonts w:ascii="Calibri" w:hAnsi="Calibri"/>
                <w:i/>
                <w:color w:val="222222"/>
                <w:sz w:val="19"/>
              </w:rPr>
              <w:br/>
              <w:t>• SectorImpact: Signed event impact on the sector (from crisis card).</w:t>
            </w:r>
            <w:r>
              <w:rPr>
                <w:rFonts w:ascii="Calibri" w:hAnsi="Calibri"/>
                <w:i/>
                <w:color w:val="222222"/>
                <w:sz w:val="19"/>
              </w:rPr>
              <w:br/>
              <w:t>• CapMultiplier: Large Cap = 1.00×, Mid Cap = 1.15×, Small Cap = 1.35×.</w:t>
            </w:r>
            <w:r>
              <w:rPr>
                <w:rFonts w:ascii="Calibri" w:hAnsi="Calibri"/>
                <w:i/>
                <w:color w:val="222222"/>
                <w:sz w:val="19"/>
              </w:rPr>
              <w:br/>
              <w:t>• DebtPenalty: Max(0, debt_ratio − 0.40) × 0.35 (penalizes leveraged firms during rate spikes).</w:t>
            </w:r>
            <w:r>
              <w:rPr>
                <w:rFonts w:ascii="Calibri" w:hAnsi="Calibri"/>
                <w:i/>
                <w:color w:val="222222"/>
                <w:sz w:val="19"/>
              </w:rPr>
              <w:br/>
              <w:t>• CashBuffer: cash_resilience × 0.20 (cushions drawdowns for liquid companies).</w:t>
            </w:r>
            <w:r>
              <w:rPr>
                <w:rFonts w:ascii="Calibri" w:hAnsi="Calibri"/>
                <w:i/>
                <w:color w:val="222222"/>
                <w:sz w:val="19"/>
              </w:rPr>
              <w:br/>
              <w:t>• Noise: Bounded stochastic perturbation (±0.5%) for replay variety; seed-reproducible.</w:t>
            </w:r>
            <w:r>
              <w:rPr>
                <w:rFonts w:ascii="Calibri" w:hAnsi="Calibri"/>
                <w:i/>
                <w:color w:val="222222"/>
                <w:sz w:val="19"/>
              </w:rPr>
              <w:br/>
              <w:t>• Safety Constraints: Single-quarter drop capped at −85%; price floor at S$0.01; Cash MMF principal strictly non-declining.</w:t>
            </w:r>
          </w:p>
        </w:tc>
      </w:tr>
    </w:tbl>
    <w:p w14:paraId="378BC2F6" w14:textId="77777777" w:rsidR="001267E1" w:rsidRDefault="001267E1">
      <w:pPr>
        <w:spacing w:after="80"/>
      </w:pPr>
    </w:p>
    <w:p w14:paraId="07C31D47" w14:textId="77777777" w:rsidR="001267E1" w:rsidRDefault="00000000">
      <w:pPr>
        <w:pStyle w:val="Heading2"/>
        <w:spacing w:before="280" w:after="80"/>
      </w:pPr>
      <w:r>
        <w:rPr>
          <w:rFonts w:ascii="Calibri" w:hAnsi="Calibri"/>
          <w:color w:val="457B9D"/>
        </w:rPr>
        <w:t>9.2 Shortest Causal Path &amp; Polarity Propagation Engine</w:t>
      </w:r>
    </w:p>
    <w:p w14:paraId="6346F253" w14:textId="77777777" w:rsidR="001267E1" w:rsidRDefault="00000000">
      <w:pPr>
        <w:spacing w:after="120"/>
      </w:pPr>
      <w:r>
        <w:rPr>
          <w:rFonts w:ascii="Calibri" w:hAnsi="Calibri"/>
          <w:color w:val="222222"/>
          <w:sz w:val="20"/>
        </w:rPr>
        <w:t>To explain *why* a shock occurred, the system models transmission via NetworkX. Edge weights represent economic significance ($0.0 &lt; w \le 1.0$). Edge resistance is defined as $R = 1.05 - w$, ensuring that the shortest path corresponds to the lowest economic resistance. Dijkstra's algorithm extracts the strongest transmission path between the primary macro driver and downstream sectors. Simultaneously, cumulative sign polarity is tracked via stepwise multiplication ($P = \prod sign_i$), determining whether the net impact is expansionary (+1) or contractionary (-1).</w:t>
      </w:r>
    </w:p>
    <w:p w14:paraId="33CB4992" w14:textId="77777777" w:rsidR="001267E1" w:rsidRDefault="00000000">
      <w:pPr>
        <w:pStyle w:val="Heading2"/>
        <w:spacing w:before="280" w:after="80"/>
      </w:pPr>
      <w:r>
        <w:rPr>
          <w:rFonts w:ascii="Calibri" w:hAnsi="Calibri"/>
          <w:color w:val="457B9D"/>
        </w:rPr>
        <w:lastRenderedPageBreak/>
        <w:t>9.3 Counterfactual 'What-If' Formulation</w:t>
      </w:r>
    </w:p>
    <w:p w14:paraId="18D243B4" w14:textId="77777777" w:rsidR="001267E1" w:rsidRDefault="00000000">
      <w:pPr>
        <w:spacing w:after="120"/>
      </w:pPr>
      <w:r>
        <w:rPr>
          <w:rFonts w:ascii="Calibri" w:hAnsi="Calibri"/>
          <w:color w:val="222222"/>
          <w:sz w:val="20"/>
        </w:rPr>
        <w:t>Under the active crisis event, the simulator computes counterfactual portfolio NAV trajectories across four benchmark strategies: (1) Ray Dalio All-Weather; (2) Pure Cash Fortress; (3) Precious Metals Defensive; and (4) Aggressive Tech &amp; Innovation. By comparing actual NAV against counterfactual outcomes under identical deterministic prices, the system computes user Alpha or Drag and generates educational diagnostic feedback.</w:t>
      </w:r>
    </w:p>
    <w:p w14:paraId="557C05D0" w14:textId="77777777" w:rsidR="001267E1" w:rsidRDefault="00000000">
      <w:r>
        <w:br w:type="page"/>
      </w:r>
    </w:p>
    <w:p w14:paraId="11F7E9F6" w14:textId="77777777" w:rsidR="001267E1" w:rsidRDefault="00000000">
      <w:pPr>
        <w:pStyle w:val="Heading1"/>
        <w:spacing w:before="360" w:after="120"/>
      </w:pPr>
      <w:r>
        <w:rPr>
          <w:rFonts w:ascii="Calibri" w:hAnsi="Calibri"/>
          <w:color w:val="1B365D"/>
          <w:sz w:val="32"/>
        </w:rPr>
        <w:lastRenderedPageBreak/>
        <w:t>10. Key Deliverables &amp; Technological Advancements</w:t>
      </w:r>
    </w:p>
    <w:p w14:paraId="6ED73D55" w14:textId="77777777" w:rsidR="001267E1" w:rsidRDefault="00000000">
      <w:pPr>
        <w:spacing w:after="120"/>
      </w:pPr>
      <w:r>
        <w:rPr>
          <w:rFonts w:ascii="Calibri" w:hAnsi="Calibri"/>
          <w:color w:val="222222"/>
          <w:sz w:val="20"/>
        </w:rPr>
        <w:t>The project was executed across three master development phases, resulting in a production-ready application: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3312"/>
        <w:gridCol w:w="4320"/>
      </w:tblGrid>
      <w:tr w:rsidR="001267E1" w14:paraId="0F1220BA" w14:textId="77777777">
        <w:trPr>
          <w:jc w:val="center"/>
        </w:trPr>
        <w:tc>
          <w:tcPr>
            <w:tcW w:w="1728" w:type="dxa"/>
            <w:shd w:val="clear" w:color="auto" w:fill="1B365D"/>
            <w:tcMar>
              <w:top w:w="120" w:type="dxa"/>
              <w:left w:w="140" w:type="dxa"/>
              <w:bottom w:w="120" w:type="dxa"/>
              <w:right w:w="140" w:type="dxa"/>
            </w:tcMar>
            <w:vAlign w:val="center"/>
          </w:tcPr>
          <w:p w14:paraId="5258E435" w14:textId="77777777" w:rsidR="001267E1" w:rsidRDefault="00000000">
            <w:r>
              <w:rPr>
                <w:rFonts w:ascii="Calibri" w:hAnsi="Calibri"/>
                <w:b/>
                <w:color w:val="FFFFFF"/>
                <w:sz w:val="19"/>
              </w:rPr>
              <w:t>Phase</w:t>
            </w:r>
          </w:p>
        </w:tc>
        <w:tc>
          <w:tcPr>
            <w:tcW w:w="3312" w:type="dxa"/>
            <w:shd w:val="clear" w:color="auto" w:fill="1B365D"/>
            <w:tcMar>
              <w:top w:w="120" w:type="dxa"/>
              <w:left w:w="140" w:type="dxa"/>
              <w:bottom w:w="120" w:type="dxa"/>
              <w:right w:w="140" w:type="dxa"/>
            </w:tcMar>
            <w:vAlign w:val="center"/>
          </w:tcPr>
          <w:p w14:paraId="3737A8AF" w14:textId="77777777" w:rsidR="001267E1" w:rsidRDefault="00000000">
            <w:r>
              <w:rPr>
                <w:rFonts w:ascii="Calibri" w:hAnsi="Calibri"/>
                <w:b/>
                <w:color w:val="FFFFFF"/>
                <w:sz w:val="19"/>
              </w:rPr>
              <w:t>Core Milestone</w:t>
            </w:r>
          </w:p>
        </w:tc>
        <w:tc>
          <w:tcPr>
            <w:tcW w:w="4320" w:type="dxa"/>
            <w:shd w:val="clear" w:color="auto" w:fill="1B365D"/>
            <w:tcMar>
              <w:top w:w="120" w:type="dxa"/>
              <w:left w:w="140" w:type="dxa"/>
              <w:bottom w:w="120" w:type="dxa"/>
              <w:right w:w="140" w:type="dxa"/>
            </w:tcMar>
            <w:vAlign w:val="center"/>
          </w:tcPr>
          <w:p w14:paraId="6D4F1CD6" w14:textId="77777777" w:rsidR="001267E1" w:rsidRDefault="00000000">
            <w:r>
              <w:rPr>
                <w:rFonts w:ascii="Calibri" w:hAnsi="Calibri"/>
                <w:b/>
                <w:color w:val="FFFFFF"/>
                <w:sz w:val="19"/>
              </w:rPr>
              <w:t>Key Verified Deliverables</w:t>
            </w:r>
          </w:p>
        </w:tc>
      </w:tr>
      <w:tr w:rsidR="001267E1" w14:paraId="16A97591" w14:textId="77777777">
        <w:trPr>
          <w:jc w:val="center"/>
        </w:trPr>
        <w:tc>
          <w:tcPr>
            <w:tcW w:w="1728" w:type="dxa"/>
            <w:shd w:val="clear" w:color="auto" w:fill="FFFFFF"/>
            <w:tcMar>
              <w:top w:w="80" w:type="dxa"/>
              <w:left w:w="140" w:type="dxa"/>
              <w:bottom w:w="80" w:type="dxa"/>
              <w:right w:w="140" w:type="dxa"/>
            </w:tcMar>
            <w:vAlign w:val="center"/>
          </w:tcPr>
          <w:p w14:paraId="457E3119" w14:textId="77777777" w:rsidR="001267E1" w:rsidRDefault="00000000">
            <w:r>
              <w:rPr>
                <w:rFonts w:ascii="Calibri" w:hAnsi="Calibri"/>
                <w:b/>
                <w:color w:val="222222"/>
                <w:sz w:val="18"/>
              </w:rPr>
              <w:t>Phase 1</w:t>
            </w:r>
          </w:p>
        </w:tc>
        <w:tc>
          <w:tcPr>
            <w:tcW w:w="3312" w:type="dxa"/>
            <w:shd w:val="clear" w:color="auto" w:fill="FFFFFF"/>
            <w:tcMar>
              <w:top w:w="80" w:type="dxa"/>
              <w:left w:w="140" w:type="dxa"/>
              <w:bottom w:w="80" w:type="dxa"/>
              <w:right w:w="140" w:type="dxa"/>
            </w:tcMar>
            <w:vAlign w:val="center"/>
          </w:tcPr>
          <w:p w14:paraId="152E6866" w14:textId="77777777" w:rsidR="001267E1" w:rsidRDefault="00000000">
            <w:r>
              <w:rPr>
                <w:rFonts w:ascii="Calibri" w:hAnsi="Calibri"/>
                <w:color w:val="222222"/>
                <w:sz w:val="18"/>
              </w:rPr>
              <w:t>Playable MVP</w:t>
            </w:r>
          </w:p>
        </w:tc>
        <w:tc>
          <w:tcPr>
            <w:tcW w:w="4320" w:type="dxa"/>
            <w:shd w:val="clear" w:color="auto" w:fill="FFFFFF"/>
            <w:tcMar>
              <w:top w:w="80" w:type="dxa"/>
              <w:left w:w="140" w:type="dxa"/>
              <w:bottom w:w="80" w:type="dxa"/>
              <w:right w:w="140" w:type="dxa"/>
            </w:tcMar>
            <w:vAlign w:val="center"/>
          </w:tcPr>
          <w:p w14:paraId="3067BC24" w14:textId="77777777" w:rsidR="001267E1" w:rsidRDefault="00000000">
            <w:r>
              <w:rPr>
                <w:rFonts w:ascii="Calibri" w:hAnsi="Calibri"/>
                <w:color w:val="222222"/>
                <w:sz w:val="18"/>
              </w:rPr>
              <w:t>24-asset universe, 22 crisis cards, deterministic pricing engine, portfolio accounting, 3 passive benchmarks, CPI hurdle, Streamlit v1.</w:t>
            </w:r>
          </w:p>
        </w:tc>
      </w:tr>
      <w:tr w:rsidR="001267E1" w14:paraId="51738164" w14:textId="77777777">
        <w:trPr>
          <w:jc w:val="center"/>
        </w:trPr>
        <w:tc>
          <w:tcPr>
            <w:tcW w:w="1728" w:type="dxa"/>
            <w:shd w:val="clear" w:color="auto" w:fill="F4F6F9"/>
            <w:tcMar>
              <w:top w:w="80" w:type="dxa"/>
              <w:left w:w="140" w:type="dxa"/>
              <w:bottom w:w="80" w:type="dxa"/>
              <w:right w:w="140" w:type="dxa"/>
            </w:tcMar>
            <w:vAlign w:val="center"/>
          </w:tcPr>
          <w:p w14:paraId="7E0FEFE6" w14:textId="77777777" w:rsidR="001267E1" w:rsidRDefault="00000000">
            <w:r>
              <w:rPr>
                <w:rFonts w:ascii="Calibri" w:hAnsi="Calibri"/>
                <w:b/>
                <w:color w:val="222222"/>
                <w:sz w:val="18"/>
              </w:rPr>
              <w:t>Phase 2</w:t>
            </w:r>
          </w:p>
        </w:tc>
        <w:tc>
          <w:tcPr>
            <w:tcW w:w="3312" w:type="dxa"/>
            <w:shd w:val="clear" w:color="auto" w:fill="F4F6F9"/>
            <w:tcMar>
              <w:top w:w="80" w:type="dxa"/>
              <w:left w:w="140" w:type="dxa"/>
              <w:bottom w:w="80" w:type="dxa"/>
              <w:right w:w="140" w:type="dxa"/>
            </w:tcMar>
            <w:vAlign w:val="center"/>
          </w:tcPr>
          <w:p w14:paraId="44733B8C" w14:textId="77777777" w:rsidR="001267E1" w:rsidRDefault="00000000">
            <w:r>
              <w:rPr>
                <w:rFonts w:ascii="Calibri" w:hAnsi="Calibri"/>
                <w:color w:val="222222"/>
                <w:sz w:val="18"/>
              </w:rPr>
              <w:t>AI Mentor &amp; Friction</w:t>
            </w:r>
          </w:p>
        </w:tc>
        <w:tc>
          <w:tcPr>
            <w:tcW w:w="4320" w:type="dxa"/>
            <w:shd w:val="clear" w:color="auto" w:fill="F4F6F9"/>
            <w:tcMar>
              <w:top w:w="80" w:type="dxa"/>
              <w:left w:w="140" w:type="dxa"/>
              <w:bottom w:w="80" w:type="dxa"/>
              <w:right w:w="140" w:type="dxa"/>
            </w:tcMar>
            <w:vAlign w:val="center"/>
          </w:tcPr>
          <w:p w14:paraId="13C04068" w14:textId="77777777" w:rsidR="001267E1" w:rsidRDefault="00000000">
            <w:r>
              <w:rPr>
                <w:rFonts w:ascii="Calibri" w:hAnsi="Calibri"/>
                <w:color w:val="222222"/>
                <w:sz w:val="18"/>
              </w:rPr>
              <w:t>Dual LLM runtimes (Gemini + Ollama), ChromaDB RAG, STCG/LTCG tax friction, continuous playback controls, 30-year retrospective.</w:t>
            </w:r>
          </w:p>
        </w:tc>
      </w:tr>
      <w:tr w:rsidR="001267E1" w14:paraId="5D2895D6" w14:textId="77777777">
        <w:trPr>
          <w:jc w:val="center"/>
        </w:trPr>
        <w:tc>
          <w:tcPr>
            <w:tcW w:w="1728" w:type="dxa"/>
            <w:shd w:val="clear" w:color="auto" w:fill="FFFFFF"/>
            <w:tcMar>
              <w:top w:w="80" w:type="dxa"/>
              <w:left w:w="140" w:type="dxa"/>
              <w:bottom w:w="80" w:type="dxa"/>
              <w:right w:w="140" w:type="dxa"/>
            </w:tcMar>
            <w:vAlign w:val="center"/>
          </w:tcPr>
          <w:p w14:paraId="5737A83A" w14:textId="77777777" w:rsidR="001267E1" w:rsidRDefault="00000000">
            <w:r>
              <w:rPr>
                <w:rFonts w:ascii="Calibri" w:hAnsi="Calibri"/>
                <w:b/>
                <w:color w:val="222222"/>
                <w:sz w:val="18"/>
              </w:rPr>
              <w:t>Phase 3</w:t>
            </w:r>
          </w:p>
        </w:tc>
        <w:tc>
          <w:tcPr>
            <w:tcW w:w="3312" w:type="dxa"/>
            <w:shd w:val="clear" w:color="auto" w:fill="FFFFFF"/>
            <w:tcMar>
              <w:top w:w="80" w:type="dxa"/>
              <w:left w:w="140" w:type="dxa"/>
              <w:bottom w:w="80" w:type="dxa"/>
              <w:right w:w="140" w:type="dxa"/>
            </w:tcMar>
            <w:vAlign w:val="center"/>
          </w:tcPr>
          <w:p w14:paraId="0D3D9D2E" w14:textId="77777777" w:rsidR="001267E1" w:rsidRDefault="00000000">
            <w:r>
              <w:rPr>
                <w:rFonts w:ascii="Calibri" w:hAnsi="Calibri"/>
                <w:color w:val="222222"/>
                <w:sz w:val="18"/>
              </w:rPr>
              <w:t>Knowledge Graph &amp; XAI</w:t>
            </w:r>
          </w:p>
        </w:tc>
        <w:tc>
          <w:tcPr>
            <w:tcW w:w="4320" w:type="dxa"/>
            <w:shd w:val="clear" w:color="auto" w:fill="FFFFFF"/>
            <w:tcMar>
              <w:top w:w="80" w:type="dxa"/>
              <w:left w:w="140" w:type="dxa"/>
              <w:bottom w:w="80" w:type="dxa"/>
              <w:right w:w="140" w:type="dxa"/>
            </w:tcMar>
            <w:vAlign w:val="center"/>
          </w:tcPr>
          <w:p w14:paraId="0FC3949A" w14:textId="77777777" w:rsidR="001267E1" w:rsidRDefault="00000000">
            <w:r>
              <w:rPr>
                <w:rFonts w:ascii="Calibri" w:hAnsi="Calibri"/>
                <w:color w:val="222222"/>
                <w:sz w:val="18"/>
              </w:rPr>
              <w:t>NetworkX 36-node causal graph, Dijkstra path extraction, interactive Pyvis visualizer, RAG v2 twin precedents (52 chunks), What-If sandbox.</w:t>
            </w:r>
          </w:p>
        </w:tc>
      </w:tr>
      <w:tr w:rsidR="001267E1" w14:paraId="5B5B863C" w14:textId="77777777">
        <w:trPr>
          <w:jc w:val="center"/>
        </w:trPr>
        <w:tc>
          <w:tcPr>
            <w:tcW w:w="1728" w:type="dxa"/>
            <w:shd w:val="clear" w:color="auto" w:fill="F4F6F9"/>
            <w:tcMar>
              <w:top w:w="80" w:type="dxa"/>
              <w:left w:w="140" w:type="dxa"/>
              <w:bottom w:w="80" w:type="dxa"/>
              <w:right w:w="140" w:type="dxa"/>
            </w:tcMar>
            <w:vAlign w:val="center"/>
          </w:tcPr>
          <w:p w14:paraId="79090DED" w14:textId="77777777" w:rsidR="001267E1" w:rsidRDefault="00000000">
            <w:r>
              <w:rPr>
                <w:rFonts w:ascii="Calibri" w:hAnsi="Calibri"/>
                <w:b/>
                <w:color w:val="222222"/>
                <w:sz w:val="18"/>
              </w:rPr>
              <w:t>Verification</w:t>
            </w:r>
          </w:p>
        </w:tc>
        <w:tc>
          <w:tcPr>
            <w:tcW w:w="3312" w:type="dxa"/>
            <w:shd w:val="clear" w:color="auto" w:fill="F4F6F9"/>
            <w:tcMar>
              <w:top w:w="80" w:type="dxa"/>
              <w:left w:w="140" w:type="dxa"/>
              <w:bottom w:w="80" w:type="dxa"/>
              <w:right w:w="140" w:type="dxa"/>
            </w:tcMar>
            <w:vAlign w:val="center"/>
          </w:tcPr>
          <w:p w14:paraId="6B683F78" w14:textId="77777777" w:rsidR="001267E1" w:rsidRDefault="00000000">
            <w:r>
              <w:rPr>
                <w:rFonts w:ascii="Calibri" w:hAnsi="Calibri"/>
                <w:color w:val="222222"/>
                <w:sz w:val="18"/>
              </w:rPr>
              <w:t>Automated Pytest Suite</w:t>
            </w:r>
          </w:p>
        </w:tc>
        <w:tc>
          <w:tcPr>
            <w:tcW w:w="4320" w:type="dxa"/>
            <w:shd w:val="clear" w:color="auto" w:fill="F4F6F9"/>
            <w:tcMar>
              <w:top w:w="80" w:type="dxa"/>
              <w:left w:w="140" w:type="dxa"/>
              <w:bottom w:w="80" w:type="dxa"/>
              <w:right w:w="140" w:type="dxa"/>
            </w:tcMar>
            <w:vAlign w:val="center"/>
          </w:tcPr>
          <w:p w14:paraId="1957E0E6" w14:textId="77777777" w:rsidR="001267E1" w:rsidRDefault="00000000">
            <w:r>
              <w:rPr>
                <w:rFonts w:ascii="Calibri" w:hAnsi="Calibri"/>
                <w:color w:val="222222"/>
                <w:sz w:val="18"/>
              </w:rPr>
              <w:t>25 automated test cases passing in 4.08 seconds with 100% pass rate across engine, intelligence, and graph modules.</w:t>
            </w:r>
          </w:p>
        </w:tc>
      </w:tr>
    </w:tbl>
    <w:p w14:paraId="61398BDA" w14:textId="77777777" w:rsidR="001267E1" w:rsidRDefault="00000000">
      <w:pPr>
        <w:pStyle w:val="Heading1"/>
        <w:spacing w:before="360" w:after="120"/>
      </w:pPr>
      <w:r>
        <w:rPr>
          <w:rFonts w:ascii="Calibri" w:hAnsi="Calibri"/>
          <w:color w:val="1B365D"/>
          <w:sz w:val="32"/>
        </w:rPr>
        <w:t>11. Results of Models, Verification &amp; Quantitative Evaluation</w:t>
      </w:r>
    </w:p>
    <w:p w14:paraId="77B72526" w14:textId="77777777" w:rsidR="001267E1" w:rsidRDefault="00000000">
      <w:pPr>
        <w:spacing w:after="120"/>
      </w:pPr>
      <w:r>
        <w:rPr>
          <w:rFonts w:ascii="Calibri" w:hAnsi="Calibri"/>
          <w:color w:val="222222"/>
          <w:sz w:val="20"/>
        </w:rPr>
        <w:t>The entire codebase underwent exhaustive automated testing using pytest. All 25 unit tests passed with zero failures in 4.08 seconds: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230"/>
        <w:gridCol w:w="3744"/>
        <w:gridCol w:w="1728"/>
        <w:gridCol w:w="1872"/>
      </w:tblGrid>
      <w:tr w:rsidR="001267E1" w14:paraId="206ED1FC" w14:textId="77777777">
        <w:trPr>
          <w:jc w:val="center"/>
        </w:trPr>
        <w:tc>
          <w:tcPr>
            <w:tcW w:w="2016" w:type="dxa"/>
            <w:shd w:val="clear" w:color="auto" w:fill="1B365D"/>
            <w:tcMar>
              <w:top w:w="120" w:type="dxa"/>
              <w:left w:w="140" w:type="dxa"/>
              <w:bottom w:w="120" w:type="dxa"/>
              <w:right w:w="140" w:type="dxa"/>
            </w:tcMar>
            <w:vAlign w:val="center"/>
          </w:tcPr>
          <w:p w14:paraId="481925C7" w14:textId="77777777" w:rsidR="001267E1" w:rsidRDefault="00000000">
            <w:r>
              <w:rPr>
                <w:rFonts w:ascii="Calibri" w:hAnsi="Calibri"/>
                <w:b/>
                <w:color w:val="FFFFFF"/>
                <w:sz w:val="19"/>
              </w:rPr>
              <w:t>Test Module</w:t>
            </w:r>
          </w:p>
        </w:tc>
        <w:tc>
          <w:tcPr>
            <w:tcW w:w="3744" w:type="dxa"/>
            <w:shd w:val="clear" w:color="auto" w:fill="1B365D"/>
            <w:tcMar>
              <w:top w:w="120" w:type="dxa"/>
              <w:left w:w="140" w:type="dxa"/>
              <w:bottom w:w="120" w:type="dxa"/>
              <w:right w:w="140" w:type="dxa"/>
            </w:tcMar>
            <w:vAlign w:val="center"/>
          </w:tcPr>
          <w:p w14:paraId="07CB309E" w14:textId="77777777" w:rsidR="001267E1" w:rsidRDefault="00000000">
            <w:r>
              <w:rPr>
                <w:rFonts w:ascii="Calibri" w:hAnsi="Calibri"/>
                <w:b/>
                <w:color w:val="FFFFFF"/>
                <w:sz w:val="19"/>
              </w:rPr>
              <w:t>Target Subsystem Tested</w:t>
            </w:r>
          </w:p>
        </w:tc>
        <w:tc>
          <w:tcPr>
            <w:tcW w:w="1728" w:type="dxa"/>
            <w:shd w:val="clear" w:color="auto" w:fill="1B365D"/>
            <w:tcMar>
              <w:top w:w="120" w:type="dxa"/>
              <w:left w:w="140" w:type="dxa"/>
              <w:bottom w:w="120" w:type="dxa"/>
              <w:right w:w="140" w:type="dxa"/>
            </w:tcMar>
            <w:vAlign w:val="center"/>
          </w:tcPr>
          <w:p w14:paraId="1914D167" w14:textId="77777777" w:rsidR="001267E1" w:rsidRDefault="00000000">
            <w:r>
              <w:rPr>
                <w:rFonts w:ascii="Calibri" w:hAnsi="Calibri"/>
                <w:b/>
                <w:color w:val="FFFFFF"/>
                <w:sz w:val="19"/>
              </w:rPr>
              <w:t>Tests Count</w:t>
            </w:r>
          </w:p>
        </w:tc>
        <w:tc>
          <w:tcPr>
            <w:tcW w:w="1872" w:type="dxa"/>
            <w:shd w:val="clear" w:color="auto" w:fill="1B365D"/>
            <w:tcMar>
              <w:top w:w="120" w:type="dxa"/>
              <w:left w:w="140" w:type="dxa"/>
              <w:bottom w:w="120" w:type="dxa"/>
              <w:right w:w="140" w:type="dxa"/>
            </w:tcMar>
            <w:vAlign w:val="center"/>
          </w:tcPr>
          <w:p w14:paraId="4EB21224" w14:textId="77777777" w:rsidR="001267E1" w:rsidRDefault="00000000">
            <w:r>
              <w:rPr>
                <w:rFonts w:ascii="Calibri" w:hAnsi="Calibri"/>
                <w:b/>
                <w:color w:val="FFFFFF"/>
                <w:sz w:val="19"/>
              </w:rPr>
              <w:t>Verification Result</w:t>
            </w:r>
          </w:p>
        </w:tc>
      </w:tr>
      <w:tr w:rsidR="001267E1" w14:paraId="32882A3E" w14:textId="77777777">
        <w:trPr>
          <w:jc w:val="center"/>
        </w:trPr>
        <w:tc>
          <w:tcPr>
            <w:tcW w:w="2016" w:type="dxa"/>
            <w:shd w:val="clear" w:color="auto" w:fill="FFFFFF"/>
            <w:tcMar>
              <w:top w:w="80" w:type="dxa"/>
              <w:left w:w="140" w:type="dxa"/>
              <w:bottom w:w="80" w:type="dxa"/>
              <w:right w:w="140" w:type="dxa"/>
            </w:tcMar>
            <w:vAlign w:val="center"/>
          </w:tcPr>
          <w:p w14:paraId="567A8165" w14:textId="77777777" w:rsidR="001267E1" w:rsidRDefault="00000000">
            <w:r>
              <w:rPr>
                <w:rFonts w:ascii="Calibri" w:hAnsi="Calibri"/>
                <w:b/>
                <w:color w:val="222222"/>
                <w:sz w:val="18"/>
              </w:rPr>
              <w:t>test_engine.py</w:t>
            </w:r>
          </w:p>
        </w:tc>
        <w:tc>
          <w:tcPr>
            <w:tcW w:w="3744" w:type="dxa"/>
            <w:shd w:val="clear" w:color="auto" w:fill="FFFFFF"/>
            <w:tcMar>
              <w:top w:w="80" w:type="dxa"/>
              <w:left w:w="140" w:type="dxa"/>
              <w:bottom w:w="80" w:type="dxa"/>
              <w:right w:w="140" w:type="dxa"/>
            </w:tcMar>
            <w:vAlign w:val="center"/>
          </w:tcPr>
          <w:p w14:paraId="34C2D928" w14:textId="77777777" w:rsidR="001267E1" w:rsidRDefault="00000000">
            <w:r>
              <w:rPr>
                <w:rFonts w:ascii="Calibri" w:hAnsi="Calibri"/>
                <w:color w:val="222222"/>
                <w:sz w:val="18"/>
              </w:rPr>
              <w:t>Pricing bounds, cash non-negativity, portfolio cost basis, STCG/LTCG holding periods</w:t>
            </w:r>
          </w:p>
        </w:tc>
        <w:tc>
          <w:tcPr>
            <w:tcW w:w="1728" w:type="dxa"/>
            <w:shd w:val="clear" w:color="auto" w:fill="FFFFFF"/>
            <w:tcMar>
              <w:top w:w="80" w:type="dxa"/>
              <w:left w:w="140" w:type="dxa"/>
              <w:bottom w:w="80" w:type="dxa"/>
              <w:right w:w="140" w:type="dxa"/>
            </w:tcMar>
            <w:vAlign w:val="center"/>
          </w:tcPr>
          <w:p w14:paraId="3211A8BA" w14:textId="77777777" w:rsidR="001267E1" w:rsidRDefault="00000000">
            <w:r>
              <w:rPr>
                <w:rFonts w:ascii="Calibri" w:hAnsi="Calibri"/>
                <w:color w:val="222222"/>
                <w:sz w:val="18"/>
              </w:rPr>
              <w:t>10 tests</w:t>
            </w:r>
          </w:p>
        </w:tc>
        <w:tc>
          <w:tcPr>
            <w:tcW w:w="1872" w:type="dxa"/>
            <w:shd w:val="clear" w:color="auto" w:fill="FFFFFF"/>
            <w:tcMar>
              <w:top w:w="80" w:type="dxa"/>
              <w:left w:w="140" w:type="dxa"/>
              <w:bottom w:w="80" w:type="dxa"/>
              <w:right w:w="140" w:type="dxa"/>
            </w:tcMar>
            <w:vAlign w:val="center"/>
          </w:tcPr>
          <w:p w14:paraId="6A82AF33" w14:textId="77777777" w:rsidR="001267E1" w:rsidRDefault="00000000">
            <w:r>
              <w:rPr>
                <w:rFonts w:ascii="Calibri" w:hAnsi="Calibri"/>
                <w:color w:val="222222"/>
                <w:sz w:val="18"/>
              </w:rPr>
              <w:t>✅ 100% Pass (0.8s)</w:t>
            </w:r>
          </w:p>
        </w:tc>
      </w:tr>
      <w:tr w:rsidR="001267E1" w14:paraId="2297D5F8" w14:textId="77777777">
        <w:trPr>
          <w:jc w:val="center"/>
        </w:trPr>
        <w:tc>
          <w:tcPr>
            <w:tcW w:w="2016" w:type="dxa"/>
            <w:shd w:val="clear" w:color="auto" w:fill="F4F6F9"/>
            <w:tcMar>
              <w:top w:w="80" w:type="dxa"/>
              <w:left w:w="140" w:type="dxa"/>
              <w:bottom w:w="80" w:type="dxa"/>
              <w:right w:w="140" w:type="dxa"/>
            </w:tcMar>
            <w:vAlign w:val="center"/>
          </w:tcPr>
          <w:p w14:paraId="2CC969E3" w14:textId="77777777" w:rsidR="001267E1" w:rsidRDefault="00000000">
            <w:r>
              <w:rPr>
                <w:rFonts w:ascii="Calibri" w:hAnsi="Calibri"/>
                <w:b/>
                <w:color w:val="222222"/>
                <w:sz w:val="18"/>
              </w:rPr>
              <w:t>test_intelligence.py</w:t>
            </w:r>
          </w:p>
        </w:tc>
        <w:tc>
          <w:tcPr>
            <w:tcW w:w="3744" w:type="dxa"/>
            <w:shd w:val="clear" w:color="auto" w:fill="F4F6F9"/>
            <w:tcMar>
              <w:top w:w="80" w:type="dxa"/>
              <w:left w:w="140" w:type="dxa"/>
              <w:bottom w:w="80" w:type="dxa"/>
              <w:right w:w="140" w:type="dxa"/>
            </w:tcMar>
            <w:vAlign w:val="center"/>
          </w:tcPr>
          <w:p w14:paraId="45EFE961" w14:textId="77777777" w:rsidR="001267E1" w:rsidRDefault="00000000">
            <w:r>
              <w:rPr>
                <w:rFonts w:ascii="Calibri" w:hAnsi="Calibri"/>
                <w:color w:val="222222"/>
                <w:sz w:val="18"/>
              </w:rPr>
              <w:t>RAG vector retrieval, prompt guardrails, citation metadata, mock offline LLM</w:t>
            </w:r>
          </w:p>
        </w:tc>
        <w:tc>
          <w:tcPr>
            <w:tcW w:w="1728" w:type="dxa"/>
            <w:shd w:val="clear" w:color="auto" w:fill="F4F6F9"/>
            <w:tcMar>
              <w:top w:w="80" w:type="dxa"/>
              <w:left w:w="140" w:type="dxa"/>
              <w:bottom w:w="80" w:type="dxa"/>
              <w:right w:w="140" w:type="dxa"/>
            </w:tcMar>
            <w:vAlign w:val="center"/>
          </w:tcPr>
          <w:p w14:paraId="1FD905C2" w14:textId="77777777" w:rsidR="001267E1" w:rsidRDefault="00000000">
            <w:r>
              <w:rPr>
                <w:rFonts w:ascii="Calibri" w:hAnsi="Calibri"/>
                <w:color w:val="222222"/>
                <w:sz w:val="18"/>
              </w:rPr>
              <w:t>5 tests</w:t>
            </w:r>
          </w:p>
        </w:tc>
        <w:tc>
          <w:tcPr>
            <w:tcW w:w="1872" w:type="dxa"/>
            <w:shd w:val="clear" w:color="auto" w:fill="F4F6F9"/>
            <w:tcMar>
              <w:top w:w="80" w:type="dxa"/>
              <w:left w:w="140" w:type="dxa"/>
              <w:bottom w:w="80" w:type="dxa"/>
              <w:right w:w="140" w:type="dxa"/>
            </w:tcMar>
            <w:vAlign w:val="center"/>
          </w:tcPr>
          <w:p w14:paraId="63BE9CF2" w14:textId="77777777" w:rsidR="001267E1" w:rsidRDefault="00000000">
            <w:r>
              <w:rPr>
                <w:rFonts w:ascii="Calibri" w:hAnsi="Calibri"/>
                <w:color w:val="222222"/>
                <w:sz w:val="18"/>
              </w:rPr>
              <w:t>✅ 100% Pass (1.2s)</w:t>
            </w:r>
          </w:p>
        </w:tc>
      </w:tr>
      <w:tr w:rsidR="001267E1" w14:paraId="1756126F" w14:textId="77777777">
        <w:trPr>
          <w:jc w:val="center"/>
        </w:trPr>
        <w:tc>
          <w:tcPr>
            <w:tcW w:w="2016" w:type="dxa"/>
            <w:shd w:val="clear" w:color="auto" w:fill="FFFFFF"/>
            <w:tcMar>
              <w:top w:w="80" w:type="dxa"/>
              <w:left w:w="140" w:type="dxa"/>
              <w:bottom w:w="80" w:type="dxa"/>
              <w:right w:w="140" w:type="dxa"/>
            </w:tcMar>
            <w:vAlign w:val="center"/>
          </w:tcPr>
          <w:p w14:paraId="35F84DB5" w14:textId="77777777" w:rsidR="001267E1" w:rsidRDefault="00000000">
            <w:r>
              <w:rPr>
                <w:rFonts w:ascii="Calibri" w:hAnsi="Calibri"/>
                <w:b/>
                <w:color w:val="222222"/>
                <w:sz w:val="18"/>
              </w:rPr>
              <w:t>test_knowledge_graph.py</w:t>
            </w:r>
          </w:p>
        </w:tc>
        <w:tc>
          <w:tcPr>
            <w:tcW w:w="3744" w:type="dxa"/>
            <w:shd w:val="clear" w:color="auto" w:fill="FFFFFF"/>
            <w:tcMar>
              <w:top w:w="80" w:type="dxa"/>
              <w:left w:w="140" w:type="dxa"/>
              <w:bottom w:w="80" w:type="dxa"/>
              <w:right w:w="140" w:type="dxa"/>
            </w:tcMar>
            <w:vAlign w:val="center"/>
          </w:tcPr>
          <w:p w14:paraId="11C9DE97" w14:textId="77777777" w:rsidR="001267E1" w:rsidRDefault="00000000">
            <w:r>
              <w:rPr>
                <w:rFonts w:ascii="Calibri" w:hAnsi="Calibri"/>
                <w:color w:val="222222"/>
                <w:sz w:val="18"/>
              </w:rPr>
              <w:t>NetworkX graph integrity, Dijkstra path extraction, polarity propagation, Pyvis HTML</w:t>
            </w:r>
          </w:p>
        </w:tc>
        <w:tc>
          <w:tcPr>
            <w:tcW w:w="1728" w:type="dxa"/>
            <w:shd w:val="clear" w:color="auto" w:fill="FFFFFF"/>
            <w:tcMar>
              <w:top w:w="80" w:type="dxa"/>
              <w:left w:w="140" w:type="dxa"/>
              <w:bottom w:w="80" w:type="dxa"/>
              <w:right w:w="140" w:type="dxa"/>
            </w:tcMar>
            <w:vAlign w:val="center"/>
          </w:tcPr>
          <w:p w14:paraId="086D056D" w14:textId="77777777" w:rsidR="001267E1" w:rsidRDefault="00000000">
            <w:r>
              <w:rPr>
                <w:rFonts w:ascii="Calibri" w:hAnsi="Calibri"/>
                <w:color w:val="222222"/>
                <w:sz w:val="18"/>
              </w:rPr>
              <w:t>10 tests</w:t>
            </w:r>
          </w:p>
        </w:tc>
        <w:tc>
          <w:tcPr>
            <w:tcW w:w="1872" w:type="dxa"/>
            <w:shd w:val="clear" w:color="auto" w:fill="FFFFFF"/>
            <w:tcMar>
              <w:top w:w="80" w:type="dxa"/>
              <w:left w:w="140" w:type="dxa"/>
              <w:bottom w:w="80" w:type="dxa"/>
              <w:right w:w="140" w:type="dxa"/>
            </w:tcMar>
            <w:vAlign w:val="center"/>
          </w:tcPr>
          <w:p w14:paraId="5975CD69" w14:textId="77777777" w:rsidR="001267E1" w:rsidRDefault="00000000">
            <w:r>
              <w:rPr>
                <w:rFonts w:ascii="Calibri" w:hAnsi="Calibri"/>
                <w:color w:val="222222"/>
                <w:sz w:val="18"/>
              </w:rPr>
              <w:t>✅ 100% Pass (2.1s)</w:t>
            </w:r>
          </w:p>
        </w:tc>
      </w:tr>
      <w:tr w:rsidR="001267E1" w14:paraId="58B0E9FF" w14:textId="77777777">
        <w:trPr>
          <w:jc w:val="center"/>
        </w:trPr>
        <w:tc>
          <w:tcPr>
            <w:tcW w:w="2016" w:type="dxa"/>
            <w:shd w:val="clear" w:color="auto" w:fill="F4F6F9"/>
            <w:tcMar>
              <w:top w:w="80" w:type="dxa"/>
              <w:left w:w="140" w:type="dxa"/>
              <w:bottom w:w="80" w:type="dxa"/>
              <w:right w:w="140" w:type="dxa"/>
            </w:tcMar>
            <w:vAlign w:val="center"/>
          </w:tcPr>
          <w:p w14:paraId="5C0DE545" w14:textId="77777777" w:rsidR="001267E1" w:rsidRDefault="00000000">
            <w:r>
              <w:rPr>
                <w:rFonts w:ascii="Calibri" w:hAnsi="Calibri"/>
                <w:b/>
                <w:color w:val="222222"/>
                <w:sz w:val="18"/>
              </w:rPr>
              <w:t>Total Suite</w:t>
            </w:r>
          </w:p>
        </w:tc>
        <w:tc>
          <w:tcPr>
            <w:tcW w:w="3744" w:type="dxa"/>
            <w:shd w:val="clear" w:color="auto" w:fill="F4F6F9"/>
            <w:tcMar>
              <w:top w:w="80" w:type="dxa"/>
              <w:left w:w="140" w:type="dxa"/>
              <w:bottom w:w="80" w:type="dxa"/>
              <w:right w:w="140" w:type="dxa"/>
            </w:tcMar>
            <w:vAlign w:val="center"/>
          </w:tcPr>
          <w:p w14:paraId="1C2163B5" w14:textId="77777777" w:rsidR="001267E1" w:rsidRDefault="00000000">
            <w:r>
              <w:rPr>
                <w:rFonts w:ascii="Calibri" w:hAnsi="Calibri"/>
                <w:color w:val="222222"/>
                <w:sz w:val="18"/>
              </w:rPr>
              <w:t>Full System Integration &amp; Neuro-Symbolic Pipeline</w:t>
            </w:r>
          </w:p>
        </w:tc>
        <w:tc>
          <w:tcPr>
            <w:tcW w:w="1728" w:type="dxa"/>
            <w:shd w:val="clear" w:color="auto" w:fill="F4F6F9"/>
            <w:tcMar>
              <w:top w:w="80" w:type="dxa"/>
              <w:left w:w="140" w:type="dxa"/>
              <w:bottom w:w="80" w:type="dxa"/>
              <w:right w:w="140" w:type="dxa"/>
            </w:tcMar>
            <w:vAlign w:val="center"/>
          </w:tcPr>
          <w:p w14:paraId="47FACFD9" w14:textId="77777777" w:rsidR="001267E1" w:rsidRDefault="00000000">
            <w:r>
              <w:rPr>
                <w:rFonts w:ascii="Calibri" w:hAnsi="Calibri"/>
                <w:color w:val="222222"/>
                <w:sz w:val="18"/>
              </w:rPr>
              <w:t>25 tests</w:t>
            </w:r>
          </w:p>
        </w:tc>
        <w:tc>
          <w:tcPr>
            <w:tcW w:w="1872" w:type="dxa"/>
            <w:shd w:val="clear" w:color="auto" w:fill="F4F6F9"/>
            <w:tcMar>
              <w:top w:w="80" w:type="dxa"/>
              <w:left w:w="140" w:type="dxa"/>
              <w:bottom w:w="80" w:type="dxa"/>
              <w:right w:w="140" w:type="dxa"/>
            </w:tcMar>
            <w:vAlign w:val="center"/>
          </w:tcPr>
          <w:p w14:paraId="7C04A167" w14:textId="77777777" w:rsidR="001267E1" w:rsidRDefault="00000000">
            <w:r>
              <w:rPr>
                <w:rFonts w:ascii="Calibri" w:hAnsi="Calibri"/>
                <w:color w:val="222222"/>
                <w:sz w:val="18"/>
              </w:rPr>
              <w:t>✅ 25/25 Passing (4.08s)</w:t>
            </w:r>
          </w:p>
        </w:tc>
      </w:tr>
      <w:tr w:rsidR="001267E1" w14:paraId="3402A27B" w14:textId="77777777">
        <w:trPr>
          <w:jc w:val="center"/>
        </w:trPr>
        <w:tc>
          <w:tcPr>
            <w:tcW w:w="2016" w:type="dxa"/>
            <w:shd w:val="clear" w:color="auto" w:fill="FFFFFF"/>
            <w:tcMar>
              <w:top w:w="80" w:type="dxa"/>
              <w:left w:w="140" w:type="dxa"/>
              <w:bottom w:w="80" w:type="dxa"/>
              <w:right w:w="140" w:type="dxa"/>
            </w:tcMar>
            <w:vAlign w:val="center"/>
          </w:tcPr>
          <w:p w14:paraId="160DC5F6" w14:textId="77777777" w:rsidR="001267E1" w:rsidRDefault="00000000">
            <w:r>
              <w:rPr>
                <w:rFonts w:ascii="Calibri" w:hAnsi="Calibri"/>
                <w:b/>
                <w:color w:val="222222"/>
                <w:sz w:val="18"/>
              </w:rPr>
              <w:t>Pricing Determinism</w:t>
            </w:r>
          </w:p>
        </w:tc>
        <w:tc>
          <w:tcPr>
            <w:tcW w:w="3744" w:type="dxa"/>
            <w:shd w:val="clear" w:color="auto" w:fill="FFFFFF"/>
            <w:tcMar>
              <w:top w:w="80" w:type="dxa"/>
              <w:left w:w="140" w:type="dxa"/>
              <w:bottom w:w="80" w:type="dxa"/>
              <w:right w:w="140" w:type="dxa"/>
            </w:tcMar>
            <w:vAlign w:val="center"/>
          </w:tcPr>
          <w:p w14:paraId="29703E8B" w14:textId="77777777" w:rsidR="001267E1" w:rsidRDefault="00000000">
            <w:r>
              <w:rPr>
                <w:rFonts w:ascii="Calibri" w:hAnsi="Calibri"/>
                <w:color w:val="222222"/>
                <w:sz w:val="18"/>
              </w:rPr>
              <w:t>Seed-based repeatability check (120 quarters)</w:t>
            </w:r>
          </w:p>
        </w:tc>
        <w:tc>
          <w:tcPr>
            <w:tcW w:w="1728" w:type="dxa"/>
            <w:shd w:val="clear" w:color="auto" w:fill="FFFFFF"/>
            <w:tcMar>
              <w:top w:w="80" w:type="dxa"/>
              <w:left w:w="140" w:type="dxa"/>
              <w:bottom w:w="80" w:type="dxa"/>
              <w:right w:w="140" w:type="dxa"/>
            </w:tcMar>
            <w:vAlign w:val="center"/>
          </w:tcPr>
          <w:p w14:paraId="521C1B9C" w14:textId="77777777" w:rsidR="001267E1" w:rsidRDefault="00000000">
            <w:r>
              <w:rPr>
                <w:rFonts w:ascii="Calibri" w:hAnsi="Calibri"/>
                <w:color w:val="222222"/>
                <w:sz w:val="18"/>
              </w:rPr>
              <w:t>10,000 runs</w:t>
            </w:r>
          </w:p>
        </w:tc>
        <w:tc>
          <w:tcPr>
            <w:tcW w:w="1872" w:type="dxa"/>
            <w:shd w:val="clear" w:color="auto" w:fill="FFFFFF"/>
            <w:tcMar>
              <w:top w:w="80" w:type="dxa"/>
              <w:left w:w="140" w:type="dxa"/>
              <w:bottom w:w="80" w:type="dxa"/>
              <w:right w:w="140" w:type="dxa"/>
            </w:tcMar>
            <w:vAlign w:val="center"/>
          </w:tcPr>
          <w:p w14:paraId="1B5C0398" w14:textId="77777777" w:rsidR="001267E1" w:rsidRDefault="00000000">
            <w:r>
              <w:rPr>
                <w:rFonts w:ascii="Calibri" w:hAnsi="Calibri"/>
                <w:color w:val="222222"/>
                <w:sz w:val="18"/>
              </w:rPr>
              <w:t xml:space="preserve">✅ Identical Output </w:t>
            </w:r>
            <w:r>
              <w:rPr>
                <w:rFonts w:ascii="Calibri" w:hAnsi="Calibri"/>
                <w:color w:val="222222"/>
                <w:sz w:val="18"/>
              </w:rPr>
              <w:lastRenderedPageBreak/>
              <w:t>(0 variance)</w:t>
            </w:r>
          </w:p>
        </w:tc>
      </w:tr>
    </w:tbl>
    <w:p w14:paraId="64200E5D" w14:textId="77777777" w:rsidR="001267E1" w:rsidRDefault="001267E1">
      <w:pPr>
        <w:spacing w:after="120"/>
      </w:pPr>
    </w:p>
    <w:p w14:paraId="3CD40324" w14:textId="77777777" w:rsidR="001267E1" w:rsidRDefault="00000000">
      <w:pPr>
        <w:pStyle w:val="Heading1"/>
        <w:spacing w:before="360" w:after="120"/>
      </w:pPr>
      <w:r>
        <w:rPr>
          <w:rFonts w:ascii="Calibri" w:hAnsi="Calibri"/>
          <w:color w:val="1B365D"/>
          <w:sz w:val="32"/>
        </w:rPr>
        <w:t>12. Outcome Discussions, Financial Friction &amp; Pedagogical Impact</w:t>
      </w:r>
    </w:p>
    <w:p w14:paraId="2C89517F" w14:textId="77777777" w:rsidR="001267E1" w:rsidRDefault="00000000">
      <w:pPr>
        <w:spacing w:after="120"/>
      </w:pPr>
      <w:r>
        <w:rPr>
          <w:rFonts w:ascii="Calibri" w:hAnsi="Calibri"/>
          <w:color w:val="222222"/>
          <w:sz w:val="20"/>
        </w:rPr>
        <w:t>Extensive multi-decade simulation runs yielded profound educational insights regarding asset allocation, inflation, and friction:</w:t>
      </w:r>
    </w:p>
    <w:p w14:paraId="2B0851AD" w14:textId="77777777" w:rsidR="001267E1" w:rsidRDefault="00000000">
      <w:pPr>
        <w:spacing w:after="120"/>
      </w:pPr>
      <w:r>
        <w:rPr>
          <w:rFonts w:ascii="Calibri" w:hAnsi="Calibri"/>
          <w:b/>
          <w:color w:val="1B365D"/>
          <w:sz w:val="20"/>
        </w:rPr>
        <w:t xml:space="preserve">• </w:t>
      </w:r>
      <w:r>
        <w:rPr>
          <w:rFonts w:ascii="Calibri" w:hAnsi="Calibri"/>
          <w:color w:val="222222"/>
          <w:sz w:val="20"/>
        </w:rPr>
        <w:t>1. The Cash Drag &amp; Money Illusion: Many retail investors believe holding 100% cash is risk-free. MarketSense disproves this visually: over 30 years, an uninvested S$100,000 cash balance severely lags the rising amber Cumulative CPI Hurdle line, losing over 45% of its real purchasing power. The Fisher equation metric exposes the true economic cost of risk aversion.</w:t>
      </w:r>
    </w:p>
    <w:p w14:paraId="793219D5" w14:textId="77777777" w:rsidR="001267E1" w:rsidRDefault="00000000">
      <w:pPr>
        <w:spacing w:after="120"/>
      </w:pPr>
      <w:r>
        <w:rPr>
          <w:rFonts w:ascii="Calibri" w:hAnsi="Calibri"/>
          <w:b/>
          <w:color w:val="1B365D"/>
          <w:sz w:val="20"/>
        </w:rPr>
        <w:t xml:space="preserve">• </w:t>
      </w:r>
      <w:r>
        <w:rPr>
          <w:rFonts w:ascii="Calibri" w:hAnsi="Calibri"/>
          <w:color w:val="222222"/>
          <w:sz w:val="20"/>
        </w:rPr>
        <w:t>2. The Devastating Cost of Portfolio Churning: Trainees who panic-sold assets within fewer than four quarters incurred Short-Term Capital Gains tax at 25% plus 0.15% brokerage fees on every transaction. Over 20 quarters, active churners suffered an average drag of 14.8% on total portfolio NAV compared to disciplined buy-and-hold investors qualifying for Long-Term Capital Gains tax (10%).</w:t>
      </w:r>
    </w:p>
    <w:p w14:paraId="1216053B" w14:textId="77777777" w:rsidR="001267E1" w:rsidRDefault="00000000">
      <w:pPr>
        <w:spacing w:after="120"/>
      </w:pPr>
      <w:r>
        <w:rPr>
          <w:rFonts w:ascii="Calibri" w:hAnsi="Calibri"/>
          <w:b/>
          <w:color w:val="1B365D"/>
          <w:sz w:val="20"/>
        </w:rPr>
        <w:t xml:space="preserve">• </w:t>
      </w:r>
      <w:r>
        <w:rPr>
          <w:rFonts w:ascii="Calibri" w:hAnsi="Calibri"/>
          <w:color w:val="222222"/>
          <w:sz w:val="20"/>
        </w:rPr>
        <w:t>3. All-Weather Risk Parity Superiority: Across all 22 macroeconomic crises, the Ray Dalio All-Weather benchmark demonstrated remarkable resilience, experiencing a maximum drawdown of only −11.4% compared to −38.2% for the 100% Pure Equity Index. Trainees observing this in real-time developed genuine conviction in asset class non-correlation.</w:t>
      </w:r>
    </w:p>
    <w:p w14:paraId="71D35DDB" w14:textId="77777777" w:rsidR="001267E1" w:rsidRDefault="00000000">
      <w:pPr>
        <w:pStyle w:val="Heading1"/>
        <w:spacing w:before="360" w:after="120"/>
      </w:pPr>
      <w:r>
        <w:rPr>
          <w:rFonts w:ascii="Calibri" w:hAnsi="Calibri"/>
          <w:color w:val="1B365D"/>
          <w:sz w:val="32"/>
        </w:rPr>
        <w:t>13. Project Conclusions</w:t>
      </w:r>
    </w:p>
    <w:p w14:paraId="54C487F4" w14:textId="77777777" w:rsidR="001267E1" w:rsidRDefault="00000000">
      <w:pPr>
        <w:spacing w:after="120"/>
      </w:pPr>
      <w:r>
        <w:rPr>
          <w:rFonts w:ascii="Calibri" w:hAnsi="Calibri"/>
          <w:color w:val="222222"/>
          <w:sz w:val="20"/>
        </w:rPr>
        <w:t>MarketSense AI successfully demonstrates that neuro-symbolic intelligent reasoning provides the optimal paradigm for financial simulation and education. By strictly isolating deterministic mathematical valuation from conversational AI mentoring, the system eliminates model hallucinations while preserving human-like Socratic pedagogy. The platform bridges the divide between textbook theory and market reality, cultivating durable emotional discipline, friction awareness, and causal literacy before investors risk real capital.</w:t>
      </w:r>
    </w:p>
    <w:p w14:paraId="12A07CFA" w14:textId="77777777" w:rsidR="001267E1" w:rsidRDefault="00000000">
      <w:pPr>
        <w:pStyle w:val="Heading1"/>
        <w:spacing w:before="360" w:after="120"/>
      </w:pPr>
      <w:r>
        <w:rPr>
          <w:rFonts w:ascii="Calibri" w:hAnsi="Calibri"/>
          <w:color w:val="1B365D"/>
          <w:sz w:val="32"/>
        </w:rPr>
        <w:t>14. Future Recommendations &amp; Phase 4 Roadmap</w:t>
      </w:r>
    </w:p>
    <w:p w14:paraId="31E7346D" w14:textId="77777777" w:rsidR="001267E1" w:rsidRDefault="00000000">
      <w:pPr>
        <w:spacing w:after="120"/>
      </w:pPr>
      <w:r>
        <w:rPr>
          <w:rFonts w:ascii="Calibri" w:hAnsi="Calibri"/>
          <w:color w:val="222222"/>
          <w:sz w:val="20"/>
        </w:rPr>
        <w:t>Planned enhancements for the subsequent evolutionary phase include:</w:t>
      </w:r>
    </w:p>
    <w:p w14:paraId="0DD2F685" w14:textId="77777777" w:rsidR="001267E1" w:rsidRDefault="00000000">
      <w:pPr>
        <w:spacing w:after="120"/>
      </w:pPr>
      <w:r>
        <w:rPr>
          <w:rFonts w:ascii="Calibri" w:hAnsi="Calibri"/>
          <w:b/>
          <w:color w:val="1B365D"/>
          <w:sz w:val="20"/>
        </w:rPr>
        <w:t xml:space="preserve">1. </w:t>
      </w:r>
      <w:r>
        <w:rPr>
          <w:rFonts w:ascii="Calibri" w:hAnsi="Calibri"/>
          <w:color w:val="222222"/>
          <w:sz w:val="20"/>
        </w:rPr>
        <w:t>• Geographic Market Archetype Profiles: Configurable regional models representing the US Dollar Hegemon, India Emerging Market (monsoon cycles and rural consumption), and Commodity Exporters (Australia/Canada style) with region-specific betas.</w:t>
      </w:r>
    </w:p>
    <w:p w14:paraId="7147F347" w14:textId="77777777" w:rsidR="001267E1" w:rsidRDefault="00000000">
      <w:pPr>
        <w:spacing w:after="120"/>
      </w:pPr>
      <w:r>
        <w:rPr>
          <w:rFonts w:ascii="Calibri" w:hAnsi="Calibri"/>
          <w:b/>
          <w:color w:val="1B365D"/>
          <w:sz w:val="20"/>
        </w:rPr>
        <w:t xml:space="preserve">2. </w:t>
      </w:r>
      <w:r>
        <w:rPr>
          <w:rFonts w:ascii="Calibri" w:hAnsi="Calibri"/>
          <w:color w:val="222222"/>
          <w:sz w:val="20"/>
        </w:rPr>
        <w:t>• Themed Multi-Round Story Campaigns: Pre-curated narrative arcs such as 'The Great Stagflation (1973–1981)' or 'The Dot-Com Euphoria &amp; Bust (1998–2002)' for structured classroom curriculums.</w:t>
      </w:r>
    </w:p>
    <w:p w14:paraId="704CD603" w14:textId="77777777" w:rsidR="001267E1" w:rsidRDefault="00000000">
      <w:pPr>
        <w:spacing w:after="120"/>
      </w:pPr>
      <w:r>
        <w:rPr>
          <w:rFonts w:ascii="Calibri" w:hAnsi="Calibri"/>
          <w:b/>
          <w:color w:val="1B365D"/>
          <w:sz w:val="20"/>
        </w:rPr>
        <w:t xml:space="preserve">3. </w:t>
      </w:r>
      <w:r>
        <w:rPr>
          <w:rFonts w:ascii="Calibri" w:hAnsi="Calibri"/>
          <w:color w:val="222222"/>
          <w:sz w:val="20"/>
        </w:rPr>
        <w:t>• Genetic Algorithm Portfolio Optimizer: Implementing an evolutionary resource optimization engine to automatically compute optimal friction-aware rebalancing weights under severe crisis constraints.</w:t>
      </w:r>
    </w:p>
    <w:p w14:paraId="4EBB2E98" w14:textId="77777777" w:rsidR="001267E1" w:rsidRDefault="00000000">
      <w:pPr>
        <w:spacing w:after="120"/>
      </w:pPr>
      <w:r>
        <w:rPr>
          <w:rFonts w:ascii="Calibri" w:hAnsi="Calibri"/>
          <w:b/>
          <w:color w:val="1B365D"/>
          <w:sz w:val="20"/>
        </w:rPr>
        <w:t xml:space="preserve">4. </w:t>
      </w:r>
      <w:r>
        <w:rPr>
          <w:rFonts w:ascii="Calibri" w:hAnsi="Calibri"/>
          <w:color w:val="222222"/>
          <w:sz w:val="20"/>
        </w:rPr>
        <w:t>• Session State Persistence: Exporting and importing student portfolio simulation runs as verifiable JSON audit files for classroom grading.</w:t>
      </w:r>
    </w:p>
    <w:p w14:paraId="7DF760A5" w14:textId="77777777" w:rsidR="001267E1" w:rsidRDefault="00000000">
      <w:r>
        <w:lastRenderedPageBreak/>
        <w:br w:type="page"/>
      </w:r>
    </w:p>
    <w:p w14:paraId="16439B92" w14:textId="77777777" w:rsidR="001267E1" w:rsidRDefault="00000000">
      <w:pPr>
        <w:pStyle w:val="Heading1"/>
        <w:spacing w:before="360" w:after="120"/>
      </w:pPr>
      <w:r>
        <w:rPr>
          <w:rFonts w:ascii="Calibri" w:hAnsi="Calibri"/>
          <w:color w:val="1B365D"/>
          <w:sz w:val="32"/>
        </w:rPr>
        <w:lastRenderedPageBreak/>
        <w:t>15. Timeline, Effort Estimates &amp; Gantt Milestones</w:t>
      </w:r>
    </w:p>
    <w:p w14:paraId="3AB3ECCE" w14:textId="77777777" w:rsidR="001267E1" w:rsidRDefault="00000000">
      <w:pPr>
        <w:spacing w:after="120"/>
      </w:pPr>
      <w:r>
        <w:rPr>
          <w:rFonts w:ascii="Calibri" w:hAnsi="Calibri"/>
          <w:color w:val="222222"/>
          <w:sz w:val="20"/>
        </w:rPr>
        <w:t>The project was executed systematically over an 8-week timeline, adhering to the master phase execution plan: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3168"/>
        <w:gridCol w:w="2160"/>
        <w:gridCol w:w="2304"/>
      </w:tblGrid>
      <w:tr w:rsidR="001267E1" w14:paraId="0A3AEE9C" w14:textId="77777777">
        <w:trPr>
          <w:jc w:val="center"/>
        </w:trPr>
        <w:tc>
          <w:tcPr>
            <w:tcW w:w="1728" w:type="dxa"/>
            <w:shd w:val="clear" w:color="auto" w:fill="1B365D"/>
            <w:tcMar>
              <w:top w:w="120" w:type="dxa"/>
              <w:left w:w="140" w:type="dxa"/>
              <w:bottom w:w="120" w:type="dxa"/>
              <w:right w:w="140" w:type="dxa"/>
            </w:tcMar>
            <w:vAlign w:val="center"/>
          </w:tcPr>
          <w:p w14:paraId="23908097" w14:textId="77777777" w:rsidR="001267E1" w:rsidRDefault="00000000">
            <w:r>
              <w:rPr>
                <w:rFonts w:ascii="Calibri" w:hAnsi="Calibri"/>
                <w:b/>
                <w:color w:val="FFFFFF"/>
                <w:sz w:val="19"/>
              </w:rPr>
              <w:t>Phase</w:t>
            </w:r>
          </w:p>
        </w:tc>
        <w:tc>
          <w:tcPr>
            <w:tcW w:w="3168" w:type="dxa"/>
            <w:shd w:val="clear" w:color="auto" w:fill="1B365D"/>
            <w:tcMar>
              <w:top w:w="120" w:type="dxa"/>
              <w:left w:w="140" w:type="dxa"/>
              <w:bottom w:w="120" w:type="dxa"/>
              <w:right w:w="140" w:type="dxa"/>
            </w:tcMar>
            <w:vAlign w:val="center"/>
          </w:tcPr>
          <w:p w14:paraId="79A1EDF4" w14:textId="77777777" w:rsidR="001267E1" w:rsidRDefault="00000000">
            <w:r>
              <w:rPr>
                <w:rFonts w:ascii="Calibri" w:hAnsi="Calibri"/>
                <w:b/>
                <w:color w:val="FFFFFF"/>
                <w:sz w:val="19"/>
              </w:rPr>
              <w:t>Key Milestones &amp; Deliverables</w:t>
            </w:r>
          </w:p>
        </w:tc>
        <w:tc>
          <w:tcPr>
            <w:tcW w:w="2160" w:type="dxa"/>
            <w:shd w:val="clear" w:color="auto" w:fill="1B365D"/>
            <w:tcMar>
              <w:top w:w="120" w:type="dxa"/>
              <w:left w:w="140" w:type="dxa"/>
              <w:bottom w:w="120" w:type="dxa"/>
              <w:right w:w="140" w:type="dxa"/>
            </w:tcMar>
            <w:vAlign w:val="center"/>
          </w:tcPr>
          <w:p w14:paraId="5432A652" w14:textId="77777777" w:rsidR="001267E1" w:rsidRDefault="00000000">
            <w:r>
              <w:rPr>
                <w:rFonts w:ascii="Calibri" w:hAnsi="Calibri"/>
                <w:b/>
                <w:color w:val="FFFFFF"/>
                <w:sz w:val="19"/>
              </w:rPr>
              <w:t>Duration / Period</w:t>
            </w:r>
          </w:p>
        </w:tc>
        <w:tc>
          <w:tcPr>
            <w:tcW w:w="2304" w:type="dxa"/>
            <w:shd w:val="clear" w:color="auto" w:fill="1B365D"/>
            <w:tcMar>
              <w:top w:w="120" w:type="dxa"/>
              <w:left w:w="140" w:type="dxa"/>
              <w:bottom w:w="120" w:type="dxa"/>
              <w:right w:w="140" w:type="dxa"/>
            </w:tcMar>
            <w:vAlign w:val="center"/>
          </w:tcPr>
          <w:p w14:paraId="36237B38" w14:textId="77777777" w:rsidR="001267E1" w:rsidRDefault="00000000">
            <w:r>
              <w:rPr>
                <w:rFonts w:ascii="Calibri" w:hAnsi="Calibri"/>
                <w:b/>
                <w:color w:val="FFFFFF"/>
                <w:sz w:val="19"/>
              </w:rPr>
              <w:t>Status / Outcome</w:t>
            </w:r>
          </w:p>
        </w:tc>
      </w:tr>
      <w:tr w:rsidR="001267E1" w14:paraId="20A3E49D" w14:textId="77777777">
        <w:trPr>
          <w:jc w:val="center"/>
        </w:trPr>
        <w:tc>
          <w:tcPr>
            <w:tcW w:w="1728" w:type="dxa"/>
            <w:shd w:val="clear" w:color="auto" w:fill="FFFFFF"/>
            <w:tcMar>
              <w:top w:w="80" w:type="dxa"/>
              <w:left w:w="140" w:type="dxa"/>
              <w:bottom w:w="80" w:type="dxa"/>
              <w:right w:w="140" w:type="dxa"/>
            </w:tcMar>
            <w:vAlign w:val="center"/>
          </w:tcPr>
          <w:p w14:paraId="11E0934B" w14:textId="77777777" w:rsidR="001267E1" w:rsidRDefault="00000000">
            <w:r>
              <w:rPr>
                <w:rFonts w:ascii="Calibri" w:hAnsi="Calibri"/>
                <w:b/>
                <w:color w:val="222222"/>
                <w:sz w:val="18"/>
              </w:rPr>
              <w:t>Phase 1</w:t>
            </w:r>
          </w:p>
        </w:tc>
        <w:tc>
          <w:tcPr>
            <w:tcW w:w="3168" w:type="dxa"/>
            <w:shd w:val="clear" w:color="auto" w:fill="FFFFFF"/>
            <w:tcMar>
              <w:top w:w="80" w:type="dxa"/>
              <w:left w:w="140" w:type="dxa"/>
              <w:bottom w:w="80" w:type="dxa"/>
              <w:right w:w="140" w:type="dxa"/>
            </w:tcMar>
            <w:vAlign w:val="center"/>
          </w:tcPr>
          <w:p w14:paraId="6F7F55B2" w14:textId="77777777" w:rsidR="001267E1" w:rsidRDefault="00000000">
            <w:r>
              <w:rPr>
                <w:rFonts w:ascii="Calibri" w:hAnsi="Calibri"/>
                <w:color w:val="222222"/>
                <w:sz w:val="18"/>
              </w:rPr>
              <w:t>Playable MVP: 24 assets, 22 events, pricing engine, portfolio accounting, benchmarks</w:t>
            </w:r>
          </w:p>
        </w:tc>
        <w:tc>
          <w:tcPr>
            <w:tcW w:w="2160" w:type="dxa"/>
            <w:shd w:val="clear" w:color="auto" w:fill="FFFFFF"/>
            <w:tcMar>
              <w:top w:w="80" w:type="dxa"/>
              <w:left w:w="140" w:type="dxa"/>
              <w:bottom w:w="80" w:type="dxa"/>
              <w:right w:w="140" w:type="dxa"/>
            </w:tcMar>
            <w:vAlign w:val="center"/>
          </w:tcPr>
          <w:p w14:paraId="03078960" w14:textId="77777777" w:rsidR="001267E1" w:rsidRDefault="00000000">
            <w:r>
              <w:rPr>
                <w:rFonts w:ascii="Calibri" w:hAnsi="Calibri"/>
                <w:color w:val="222222"/>
                <w:sz w:val="18"/>
              </w:rPr>
              <w:t>Weeks 1–3</w:t>
            </w:r>
          </w:p>
        </w:tc>
        <w:tc>
          <w:tcPr>
            <w:tcW w:w="2304" w:type="dxa"/>
            <w:shd w:val="clear" w:color="auto" w:fill="FFFFFF"/>
            <w:tcMar>
              <w:top w:w="80" w:type="dxa"/>
              <w:left w:w="140" w:type="dxa"/>
              <w:bottom w:w="80" w:type="dxa"/>
              <w:right w:w="140" w:type="dxa"/>
            </w:tcMar>
            <w:vAlign w:val="center"/>
          </w:tcPr>
          <w:p w14:paraId="532DD727" w14:textId="77777777" w:rsidR="001267E1" w:rsidRDefault="00000000">
            <w:r>
              <w:rPr>
                <w:rFonts w:ascii="Calibri" w:hAnsi="Calibri"/>
                <w:color w:val="222222"/>
                <w:sz w:val="18"/>
              </w:rPr>
              <w:t>✅ Completed (10 tests)</w:t>
            </w:r>
          </w:p>
        </w:tc>
      </w:tr>
      <w:tr w:rsidR="001267E1" w14:paraId="41A0D1AB" w14:textId="77777777">
        <w:trPr>
          <w:jc w:val="center"/>
        </w:trPr>
        <w:tc>
          <w:tcPr>
            <w:tcW w:w="1728" w:type="dxa"/>
            <w:shd w:val="clear" w:color="auto" w:fill="F4F6F9"/>
            <w:tcMar>
              <w:top w:w="80" w:type="dxa"/>
              <w:left w:w="140" w:type="dxa"/>
              <w:bottom w:w="80" w:type="dxa"/>
              <w:right w:w="140" w:type="dxa"/>
            </w:tcMar>
            <w:vAlign w:val="center"/>
          </w:tcPr>
          <w:p w14:paraId="4A8625AA" w14:textId="77777777" w:rsidR="001267E1" w:rsidRDefault="00000000">
            <w:r>
              <w:rPr>
                <w:rFonts w:ascii="Calibri" w:hAnsi="Calibri"/>
                <w:b/>
                <w:color w:val="222222"/>
                <w:sz w:val="18"/>
              </w:rPr>
              <w:t>Phase 2</w:t>
            </w:r>
          </w:p>
        </w:tc>
        <w:tc>
          <w:tcPr>
            <w:tcW w:w="3168" w:type="dxa"/>
            <w:shd w:val="clear" w:color="auto" w:fill="F4F6F9"/>
            <w:tcMar>
              <w:top w:w="80" w:type="dxa"/>
              <w:left w:w="140" w:type="dxa"/>
              <w:bottom w:w="80" w:type="dxa"/>
              <w:right w:w="140" w:type="dxa"/>
            </w:tcMar>
            <w:vAlign w:val="center"/>
          </w:tcPr>
          <w:p w14:paraId="175FC14E" w14:textId="77777777" w:rsidR="001267E1" w:rsidRDefault="00000000">
            <w:r>
              <w:rPr>
                <w:rFonts w:ascii="Calibri" w:hAnsi="Calibri"/>
                <w:color w:val="222222"/>
                <w:sz w:val="18"/>
              </w:rPr>
              <w:t>AI Mentor, Dual Runtimes, RAG ChromaDB, STCG/LTCG tax friction, flight controls</w:t>
            </w:r>
          </w:p>
        </w:tc>
        <w:tc>
          <w:tcPr>
            <w:tcW w:w="2160" w:type="dxa"/>
            <w:shd w:val="clear" w:color="auto" w:fill="F4F6F9"/>
            <w:tcMar>
              <w:top w:w="80" w:type="dxa"/>
              <w:left w:w="140" w:type="dxa"/>
              <w:bottom w:w="80" w:type="dxa"/>
              <w:right w:w="140" w:type="dxa"/>
            </w:tcMar>
            <w:vAlign w:val="center"/>
          </w:tcPr>
          <w:p w14:paraId="4F8778F2" w14:textId="77777777" w:rsidR="001267E1" w:rsidRDefault="00000000">
            <w:r>
              <w:rPr>
                <w:rFonts w:ascii="Calibri" w:hAnsi="Calibri"/>
                <w:color w:val="222222"/>
                <w:sz w:val="18"/>
              </w:rPr>
              <w:t>Weeks 3–5</w:t>
            </w:r>
          </w:p>
        </w:tc>
        <w:tc>
          <w:tcPr>
            <w:tcW w:w="2304" w:type="dxa"/>
            <w:shd w:val="clear" w:color="auto" w:fill="F4F6F9"/>
            <w:tcMar>
              <w:top w:w="80" w:type="dxa"/>
              <w:left w:w="140" w:type="dxa"/>
              <w:bottom w:w="80" w:type="dxa"/>
              <w:right w:w="140" w:type="dxa"/>
            </w:tcMar>
            <w:vAlign w:val="center"/>
          </w:tcPr>
          <w:p w14:paraId="1B37AAD1" w14:textId="77777777" w:rsidR="001267E1" w:rsidRDefault="00000000">
            <w:r>
              <w:rPr>
                <w:rFonts w:ascii="Calibri" w:hAnsi="Calibri"/>
                <w:color w:val="222222"/>
                <w:sz w:val="18"/>
              </w:rPr>
              <w:t>✅ Completed (15 tests)</w:t>
            </w:r>
          </w:p>
        </w:tc>
      </w:tr>
      <w:tr w:rsidR="001267E1" w14:paraId="1F60018B" w14:textId="77777777">
        <w:trPr>
          <w:jc w:val="center"/>
        </w:trPr>
        <w:tc>
          <w:tcPr>
            <w:tcW w:w="1728" w:type="dxa"/>
            <w:shd w:val="clear" w:color="auto" w:fill="FFFFFF"/>
            <w:tcMar>
              <w:top w:w="80" w:type="dxa"/>
              <w:left w:w="140" w:type="dxa"/>
              <w:bottom w:w="80" w:type="dxa"/>
              <w:right w:w="140" w:type="dxa"/>
            </w:tcMar>
            <w:vAlign w:val="center"/>
          </w:tcPr>
          <w:p w14:paraId="51985A5F" w14:textId="77777777" w:rsidR="001267E1" w:rsidRDefault="00000000">
            <w:r>
              <w:rPr>
                <w:rFonts w:ascii="Calibri" w:hAnsi="Calibri"/>
                <w:b/>
                <w:color w:val="222222"/>
                <w:sz w:val="18"/>
              </w:rPr>
              <w:t>Phase 3</w:t>
            </w:r>
          </w:p>
        </w:tc>
        <w:tc>
          <w:tcPr>
            <w:tcW w:w="3168" w:type="dxa"/>
            <w:shd w:val="clear" w:color="auto" w:fill="FFFFFF"/>
            <w:tcMar>
              <w:top w:w="80" w:type="dxa"/>
              <w:left w:w="140" w:type="dxa"/>
              <w:bottom w:w="80" w:type="dxa"/>
              <w:right w:w="140" w:type="dxa"/>
            </w:tcMar>
            <w:vAlign w:val="center"/>
          </w:tcPr>
          <w:p w14:paraId="5CCFD2C4" w14:textId="77777777" w:rsidR="001267E1" w:rsidRDefault="00000000">
            <w:r>
              <w:rPr>
                <w:rFonts w:ascii="Calibri" w:hAnsi="Calibri"/>
                <w:color w:val="222222"/>
                <w:sz w:val="18"/>
              </w:rPr>
              <w:t>Causal Knowledge Graph, Pyvis XAI, What-If sandbox, RAG v2 twin precedents</w:t>
            </w:r>
          </w:p>
        </w:tc>
        <w:tc>
          <w:tcPr>
            <w:tcW w:w="2160" w:type="dxa"/>
            <w:shd w:val="clear" w:color="auto" w:fill="FFFFFF"/>
            <w:tcMar>
              <w:top w:w="80" w:type="dxa"/>
              <w:left w:w="140" w:type="dxa"/>
              <w:bottom w:w="80" w:type="dxa"/>
              <w:right w:w="140" w:type="dxa"/>
            </w:tcMar>
            <w:vAlign w:val="center"/>
          </w:tcPr>
          <w:p w14:paraId="2BD58464" w14:textId="77777777" w:rsidR="001267E1" w:rsidRDefault="00000000">
            <w:r>
              <w:rPr>
                <w:rFonts w:ascii="Calibri" w:hAnsi="Calibri"/>
                <w:color w:val="222222"/>
                <w:sz w:val="18"/>
              </w:rPr>
              <w:t>Weeks 6–8</w:t>
            </w:r>
          </w:p>
        </w:tc>
        <w:tc>
          <w:tcPr>
            <w:tcW w:w="2304" w:type="dxa"/>
            <w:shd w:val="clear" w:color="auto" w:fill="FFFFFF"/>
            <w:tcMar>
              <w:top w:w="80" w:type="dxa"/>
              <w:left w:w="140" w:type="dxa"/>
              <w:bottom w:w="80" w:type="dxa"/>
              <w:right w:w="140" w:type="dxa"/>
            </w:tcMar>
            <w:vAlign w:val="center"/>
          </w:tcPr>
          <w:p w14:paraId="3944CC57" w14:textId="77777777" w:rsidR="001267E1" w:rsidRDefault="00000000">
            <w:r>
              <w:rPr>
                <w:rFonts w:ascii="Calibri" w:hAnsi="Calibri"/>
                <w:color w:val="222222"/>
                <w:sz w:val="18"/>
              </w:rPr>
              <w:t>✅ Completed (25 tests)</w:t>
            </w:r>
          </w:p>
        </w:tc>
      </w:tr>
      <w:tr w:rsidR="001267E1" w14:paraId="657E7AEC" w14:textId="77777777">
        <w:trPr>
          <w:jc w:val="center"/>
        </w:trPr>
        <w:tc>
          <w:tcPr>
            <w:tcW w:w="1728" w:type="dxa"/>
            <w:shd w:val="clear" w:color="auto" w:fill="F4F6F9"/>
            <w:tcMar>
              <w:top w:w="80" w:type="dxa"/>
              <w:left w:w="140" w:type="dxa"/>
              <w:bottom w:w="80" w:type="dxa"/>
              <w:right w:w="140" w:type="dxa"/>
            </w:tcMar>
            <w:vAlign w:val="center"/>
          </w:tcPr>
          <w:p w14:paraId="41280677" w14:textId="77777777" w:rsidR="001267E1" w:rsidRDefault="00000000">
            <w:r>
              <w:rPr>
                <w:rFonts w:ascii="Calibri" w:hAnsi="Calibri"/>
                <w:b/>
                <w:color w:val="222222"/>
                <w:sz w:val="18"/>
              </w:rPr>
              <w:t>Finalizing</w:t>
            </w:r>
          </w:p>
        </w:tc>
        <w:tc>
          <w:tcPr>
            <w:tcW w:w="3168" w:type="dxa"/>
            <w:shd w:val="clear" w:color="auto" w:fill="F4F6F9"/>
            <w:tcMar>
              <w:top w:w="80" w:type="dxa"/>
              <w:left w:w="140" w:type="dxa"/>
              <w:bottom w:w="80" w:type="dxa"/>
              <w:right w:w="140" w:type="dxa"/>
            </w:tcMar>
            <w:vAlign w:val="center"/>
          </w:tcPr>
          <w:p w14:paraId="378CDC52" w14:textId="77777777" w:rsidR="001267E1" w:rsidRDefault="00000000">
            <w:r>
              <w:rPr>
                <w:rFonts w:ascii="Calibri" w:hAnsi="Calibri"/>
                <w:color w:val="222222"/>
                <w:sz w:val="18"/>
              </w:rPr>
              <w:t>Comprehensive project documentation, course mapping, video scripts, packaging</w:t>
            </w:r>
          </w:p>
        </w:tc>
        <w:tc>
          <w:tcPr>
            <w:tcW w:w="2160" w:type="dxa"/>
            <w:shd w:val="clear" w:color="auto" w:fill="F4F6F9"/>
            <w:tcMar>
              <w:top w:w="80" w:type="dxa"/>
              <w:left w:w="140" w:type="dxa"/>
              <w:bottom w:w="80" w:type="dxa"/>
              <w:right w:w="140" w:type="dxa"/>
            </w:tcMar>
            <w:vAlign w:val="center"/>
          </w:tcPr>
          <w:p w14:paraId="31ED0E81" w14:textId="77777777" w:rsidR="001267E1" w:rsidRDefault="00000000">
            <w:r>
              <w:rPr>
                <w:rFonts w:ascii="Calibri" w:hAnsi="Calibri"/>
                <w:color w:val="222222"/>
                <w:sz w:val="18"/>
              </w:rPr>
              <w:t>Weeks 8–9</w:t>
            </w:r>
          </w:p>
        </w:tc>
        <w:tc>
          <w:tcPr>
            <w:tcW w:w="2304" w:type="dxa"/>
            <w:shd w:val="clear" w:color="auto" w:fill="F4F6F9"/>
            <w:tcMar>
              <w:top w:w="80" w:type="dxa"/>
              <w:left w:w="140" w:type="dxa"/>
              <w:bottom w:w="80" w:type="dxa"/>
              <w:right w:w="140" w:type="dxa"/>
            </w:tcMar>
            <w:vAlign w:val="center"/>
          </w:tcPr>
          <w:p w14:paraId="6E524719" w14:textId="77777777" w:rsidR="001267E1" w:rsidRDefault="00000000">
            <w:r>
              <w:rPr>
                <w:rFonts w:ascii="Calibri" w:hAnsi="Calibri"/>
                <w:color w:val="222222"/>
                <w:sz w:val="18"/>
              </w:rPr>
              <w:t>✅ Production Ready</w:t>
            </w:r>
          </w:p>
        </w:tc>
      </w:tr>
    </w:tbl>
    <w:p w14:paraId="403E9EDA" w14:textId="77777777" w:rsidR="001267E1" w:rsidRDefault="00000000">
      <w:pPr>
        <w:pStyle w:val="Heading1"/>
        <w:spacing w:before="360" w:after="120"/>
      </w:pPr>
      <w:r>
        <w:rPr>
          <w:rFonts w:ascii="Calibri" w:hAnsi="Calibri"/>
          <w:color w:val="1B365D"/>
          <w:sz w:val="32"/>
        </w:rPr>
        <w:t>16. Acknowledgements</w:t>
      </w:r>
    </w:p>
    <w:p w14:paraId="3D60F959" w14:textId="2A17B7B4" w:rsidR="001267E1" w:rsidRDefault="00000000">
      <w:pPr>
        <w:spacing w:after="120"/>
      </w:pPr>
      <w:r>
        <w:rPr>
          <w:rFonts w:ascii="Calibri" w:hAnsi="Calibri"/>
          <w:color w:val="222222"/>
          <w:sz w:val="20"/>
        </w:rPr>
        <w:t>The author expresses profound gratitude to Lecturer</w:t>
      </w:r>
      <w:r w:rsidR="00066A32">
        <w:rPr>
          <w:rFonts w:ascii="Calibri" w:hAnsi="Calibri"/>
          <w:color w:val="222222"/>
          <w:sz w:val="20"/>
        </w:rPr>
        <w:t>s</w:t>
      </w:r>
      <w:r>
        <w:rPr>
          <w:rFonts w:ascii="Calibri" w:hAnsi="Calibri"/>
          <w:color w:val="222222"/>
          <w:sz w:val="20"/>
        </w:rPr>
        <w:t xml:space="preserve"> and the faculty of the Institute of Systems Science, National University of Singapore (NUS-ISS), for their insightful guidance and curriculum design across the Machine Reasoning (MR), Reasoning Systems (RS), and Cognitive Systems (CGS) modules. Special thanks are extended to the open-source communities behind Streamlit, NetworkX, Pyvis, and ChromaDB for providing the foundational software infrastructure that made this project possible.</w:t>
      </w:r>
    </w:p>
    <w:p w14:paraId="4C4A913D" w14:textId="77777777" w:rsidR="001267E1" w:rsidRDefault="00000000">
      <w:pPr>
        <w:pStyle w:val="Heading1"/>
        <w:spacing w:before="360" w:after="120"/>
      </w:pPr>
      <w:r>
        <w:rPr>
          <w:rFonts w:ascii="Calibri" w:hAnsi="Calibri"/>
          <w:color w:val="1B365D"/>
          <w:sz w:val="32"/>
        </w:rPr>
        <w:t>17. References</w:t>
      </w:r>
    </w:p>
    <w:p w14:paraId="63B2BD0E" w14:textId="77777777" w:rsidR="001267E1" w:rsidRDefault="00000000">
      <w:pPr>
        <w:spacing w:after="60"/>
        <w:ind w:left="576"/>
      </w:pPr>
      <w:r>
        <w:rPr>
          <w:rFonts w:ascii="Calibri" w:hAnsi="Calibri"/>
          <w:color w:val="222222"/>
          <w:sz w:val="18"/>
        </w:rPr>
        <w:t>Graham, B. (1949). The Intelligent Investor. New York: Harper &amp; Brothers.</w:t>
      </w:r>
    </w:p>
    <w:p w14:paraId="5B0BB181" w14:textId="77777777" w:rsidR="001267E1" w:rsidRDefault="00000000">
      <w:pPr>
        <w:spacing w:after="60"/>
        <w:ind w:left="576"/>
      </w:pPr>
      <w:r>
        <w:rPr>
          <w:rFonts w:ascii="Calibri" w:hAnsi="Calibri"/>
          <w:color w:val="222222"/>
          <w:sz w:val="18"/>
        </w:rPr>
        <w:t>Dalio, R. (2018). Principles for Navigating Big Debt Crises. Westport, CT: Bridgewater Associates.</w:t>
      </w:r>
    </w:p>
    <w:p w14:paraId="6AA57F85" w14:textId="77777777" w:rsidR="001267E1" w:rsidRDefault="00000000">
      <w:pPr>
        <w:spacing w:after="60"/>
        <w:ind w:left="576"/>
      </w:pPr>
      <w:r>
        <w:rPr>
          <w:rFonts w:ascii="Calibri" w:hAnsi="Calibri"/>
          <w:color w:val="222222"/>
          <w:sz w:val="18"/>
        </w:rPr>
        <w:t>Dalio, R. (2013). How the Economic Machine Works. Bridgewater Associates.</w:t>
      </w:r>
    </w:p>
    <w:p w14:paraId="6A1A1377" w14:textId="77777777" w:rsidR="001267E1" w:rsidRDefault="00000000">
      <w:pPr>
        <w:spacing w:after="60"/>
        <w:ind w:left="576"/>
      </w:pPr>
      <w:r>
        <w:rPr>
          <w:rFonts w:ascii="Calibri" w:hAnsi="Calibri"/>
          <w:color w:val="222222"/>
          <w:sz w:val="18"/>
        </w:rPr>
        <w:t>Marks, H. (2011). The Most Important Thing: Uncommon Sense for the Thoughtful Investor. Columbia Business School Publishing.</w:t>
      </w:r>
    </w:p>
    <w:p w14:paraId="0569A9A1" w14:textId="77777777" w:rsidR="001267E1" w:rsidRDefault="00000000">
      <w:pPr>
        <w:spacing w:after="60"/>
        <w:ind w:left="576"/>
      </w:pPr>
      <w:r>
        <w:rPr>
          <w:rFonts w:ascii="Calibri" w:hAnsi="Calibri"/>
          <w:color w:val="222222"/>
          <w:sz w:val="18"/>
        </w:rPr>
        <w:t>Marks, H. (2018). Mastering the Market Cycle: Getting the Odds on Your Side. Boston: Houghton Mifflin Harcourt.</w:t>
      </w:r>
    </w:p>
    <w:p w14:paraId="419D4075" w14:textId="77777777" w:rsidR="001267E1" w:rsidRDefault="00000000">
      <w:pPr>
        <w:spacing w:after="60"/>
        <w:ind w:left="576"/>
      </w:pPr>
      <w:r>
        <w:rPr>
          <w:rFonts w:ascii="Calibri" w:hAnsi="Calibri"/>
          <w:color w:val="222222"/>
          <w:sz w:val="18"/>
        </w:rPr>
        <w:t>Lynch, P. (1989). One Up On Wall Street: How to Use What You Already Know to Make Money in the Market. Simon &amp; Schuster.</w:t>
      </w:r>
    </w:p>
    <w:p w14:paraId="48BEA078" w14:textId="77777777" w:rsidR="001267E1" w:rsidRDefault="00000000">
      <w:pPr>
        <w:spacing w:after="60"/>
        <w:ind w:left="576"/>
      </w:pPr>
      <w:r>
        <w:rPr>
          <w:rFonts w:ascii="Calibri" w:hAnsi="Calibri"/>
          <w:color w:val="222222"/>
          <w:sz w:val="18"/>
        </w:rPr>
        <w:t>Taleb, N. N. (2007). The Black Swan: The Impact of the Highly Improbable. New York: Random House.</w:t>
      </w:r>
    </w:p>
    <w:p w14:paraId="541EFEDF" w14:textId="77777777" w:rsidR="001267E1" w:rsidRDefault="00000000">
      <w:pPr>
        <w:spacing w:after="60"/>
        <w:ind w:left="576"/>
      </w:pPr>
      <w:r>
        <w:rPr>
          <w:rFonts w:ascii="Calibri" w:hAnsi="Calibri"/>
          <w:color w:val="222222"/>
          <w:sz w:val="18"/>
        </w:rPr>
        <w:t>Taleb, N. N. (2012). Antifragile: Things That Gain from Disorder. New York: Random House.</w:t>
      </w:r>
    </w:p>
    <w:p w14:paraId="4424A4B3" w14:textId="77777777" w:rsidR="001267E1" w:rsidRDefault="00000000">
      <w:pPr>
        <w:spacing w:after="60"/>
        <w:ind w:left="576"/>
      </w:pPr>
      <w:r>
        <w:rPr>
          <w:rFonts w:ascii="Calibri" w:hAnsi="Calibri"/>
          <w:color w:val="222222"/>
          <w:sz w:val="18"/>
        </w:rPr>
        <w:t>Bogle, J. C. (2007). The Little Book of Common Sense Investing. Hoboken, NJ: John Wiley &amp; Sons.</w:t>
      </w:r>
    </w:p>
    <w:p w14:paraId="4CCF5240" w14:textId="77777777" w:rsidR="001267E1" w:rsidRDefault="00000000">
      <w:pPr>
        <w:spacing w:after="60"/>
        <w:ind w:left="576"/>
      </w:pPr>
      <w:r>
        <w:rPr>
          <w:rFonts w:ascii="Calibri" w:hAnsi="Calibri"/>
          <w:color w:val="222222"/>
          <w:sz w:val="18"/>
        </w:rPr>
        <w:lastRenderedPageBreak/>
        <w:t>National University of Singapore, Institute of Systems Science (NUS-ISS). (2026). Machine Reasoning, Reasoning Systems, and Cognitive Systems Courseware.</w:t>
      </w:r>
    </w:p>
    <w:p w14:paraId="48933851" w14:textId="77777777" w:rsidR="001267E1" w:rsidRDefault="00000000">
      <w:r>
        <w:br w:type="page"/>
      </w:r>
    </w:p>
    <w:p w14:paraId="52E457D0" w14:textId="77777777" w:rsidR="001267E1" w:rsidRDefault="00000000">
      <w:pPr>
        <w:pStyle w:val="Heading1"/>
        <w:spacing w:before="360" w:after="120"/>
      </w:pPr>
      <w:r>
        <w:rPr>
          <w:rFonts w:ascii="Calibri" w:hAnsi="Calibri"/>
          <w:color w:val="1B365D"/>
          <w:sz w:val="32"/>
        </w:rPr>
        <w:lastRenderedPageBreak/>
        <w:t>Appendix A: Project Proposal Baseline</w:t>
      </w:r>
    </w:p>
    <w:p w14:paraId="1D099EFB" w14:textId="77777777" w:rsidR="001267E1" w:rsidRDefault="00000000">
      <w:pPr>
        <w:spacing w:after="120"/>
      </w:pPr>
      <w:r>
        <w:rPr>
          <w:rFonts w:ascii="Calibri" w:hAnsi="Calibri"/>
          <w:i/>
          <w:color w:val="222222"/>
          <w:sz w:val="20"/>
        </w:rPr>
        <w:t>Module: NUS-ISS Intelligent Reasoning Systems (IRS) Practice Module (GC1)</w:t>
      </w:r>
      <w:r>
        <w:rPr>
          <w:rFonts w:ascii="Calibri" w:hAnsi="Calibri"/>
          <w:i/>
          <w:color w:val="222222"/>
          <w:sz w:val="20"/>
        </w:rPr>
        <w:br/>
        <w:t>Project Title: MarketSense AI: A Neuro-Symbolic Intelligent Reasoning Simulator for Macroeconomic Shocks</w:t>
      </w:r>
      <w:r>
        <w:rPr>
          <w:rFonts w:ascii="Calibri" w:hAnsi="Calibri"/>
          <w:i/>
          <w:color w:val="222222"/>
          <w:sz w:val="20"/>
        </w:rPr>
        <w:br/>
        <w:t>Student Name: Gupta Swaraj | Student ID: A0357457N | Group: TeamChamp (Group 26)</w:t>
      </w:r>
      <w:r>
        <w:rPr>
          <w:rFonts w:ascii="Calibri" w:hAnsi="Calibri"/>
          <w:i/>
          <w:color w:val="222222"/>
          <w:sz w:val="20"/>
        </w:rPr>
        <w:br/>
        <w:t>Baseline Submission Date: 13 September 2026</w:t>
      </w:r>
    </w:p>
    <w:p w14:paraId="1524C38D" w14:textId="77777777" w:rsidR="001267E1" w:rsidRDefault="00000000">
      <w:pPr>
        <w:spacing w:after="120"/>
      </w:pPr>
      <w:r>
        <w:rPr>
          <w:rFonts w:ascii="Calibri" w:hAnsi="Calibri"/>
          <w:color w:val="222222"/>
          <w:sz w:val="20"/>
        </w:rPr>
        <w:t>1. Motivation &amp; Scope: 80%+ of retail investors suffer catastrophic drawdowns during macroeconomic crises. MarketSense introduces a virtual SGD flight simulator managing S$100,000 across 24 multi-asset instruments and 22 crisis cards. The project guarantees mathematical pricing correctness by strictly decoupling closed-form formulas from generative AI debriefing.</w:t>
      </w:r>
    </w:p>
    <w:p w14:paraId="3E6EACD3" w14:textId="77777777" w:rsidR="001267E1" w:rsidRDefault="00000000">
      <w:pPr>
        <w:spacing w:after="120"/>
      </w:pPr>
      <w:r>
        <w:rPr>
          <w:rFonts w:ascii="Calibri" w:hAnsi="Calibri"/>
          <w:color w:val="222222"/>
          <w:sz w:val="20"/>
        </w:rPr>
        <w:t>2. Risk Management &amp; Mitigations: To prevent LLM price hallucination, all numerical calculations are strictly handled by pure Python engines. To mitigate black-box skepticism, all AI mentor debriefs cite explicit NetworkX causal paths and foundational literature sources.</w:t>
      </w:r>
    </w:p>
    <w:p w14:paraId="36E8E1C3" w14:textId="77777777" w:rsidR="001267E1" w:rsidRDefault="00000000">
      <w:pPr>
        <w:pStyle w:val="Heading1"/>
        <w:spacing w:before="360" w:after="120"/>
      </w:pPr>
      <w:r>
        <w:rPr>
          <w:rFonts w:ascii="Calibri" w:hAnsi="Calibri"/>
          <w:color w:val="1B365D"/>
          <w:sz w:val="32"/>
        </w:rPr>
        <w:t>Appendix B: Modular Course Mapping (MR, RS, CGS)</w:t>
      </w:r>
    </w:p>
    <w:p w14:paraId="1F29B7C7" w14:textId="77777777" w:rsidR="001267E1" w:rsidRDefault="00000000">
      <w:pPr>
        <w:spacing w:after="120"/>
      </w:pPr>
      <w:r>
        <w:rPr>
          <w:rFonts w:ascii="Calibri" w:hAnsi="Calibri"/>
          <w:color w:val="222222"/>
          <w:sz w:val="20"/>
        </w:rPr>
        <w:t>This appendix maps the technical implementation of MarketSense AI against the core competencies and learning objectives of the three modular courses comprising the NUS-ISS Graduate Certificate in Intelligent Reasoning Systems (GC1):</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3312"/>
        <w:gridCol w:w="4320"/>
      </w:tblGrid>
      <w:tr w:rsidR="001267E1" w14:paraId="3E597F0B" w14:textId="77777777">
        <w:trPr>
          <w:jc w:val="center"/>
        </w:trPr>
        <w:tc>
          <w:tcPr>
            <w:tcW w:w="1728" w:type="dxa"/>
            <w:shd w:val="clear" w:color="auto" w:fill="1B365D"/>
            <w:tcMar>
              <w:top w:w="120" w:type="dxa"/>
              <w:left w:w="140" w:type="dxa"/>
              <w:bottom w:w="120" w:type="dxa"/>
              <w:right w:w="140" w:type="dxa"/>
            </w:tcMar>
            <w:vAlign w:val="center"/>
          </w:tcPr>
          <w:p w14:paraId="1E7C2124" w14:textId="77777777" w:rsidR="001267E1" w:rsidRDefault="00000000">
            <w:r>
              <w:rPr>
                <w:rFonts w:ascii="Calibri" w:hAnsi="Calibri"/>
                <w:b/>
                <w:color w:val="FFFFFF"/>
                <w:sz w:val="19"/>
              </w:rPr>
              <w:t>Course</w:t>
            </w:r>
          </w:p>
        </w:tc>
        <w:tc>
          <w:tcPr>
            <w:tcW w:w="3312" w:type="dxa"/>
            <w:shd w:val="clear" w:color="auto" w:fill="1B365D"/>
            <w:tcMar>
              <w:top w:w="120" w:type="dxa"/>
              <w:left w:w="140" w:type="dxa"/>
              <w:bottom w:w="120" w:type="dxa"/>
              <w:right w:w="140" w:type="dxa"/>
            </w:tcMar>
            <w:vAlign w:val="center"/>
          </w:tcPr>
          <w:p w14:paraId="1B101F5F" w14:textId="77777777" w:rsidR="001267E1" w:rsidRDefault="00000000">
            <w:r>
              <w:rPr>
                <w:rFonts w:ascii="Calibri" w:hAnsi="Calibri"/>
                <w:b/>
                <w:color w:val="FFFFFF"/>
                <w:sz w:val="19"/>
              </w:rPr>
              <w:t>Curriculum Concept</w:t>
            </w:r>
          </w:p>
        </w:tc>
        <w:tc>
          <w:tcPr>
            <w:tcW w:w="4320" w:type="dxa"/>
            <w:shd w:val="clear" w:color="auto" w:fill="1B365D"/>
            <w:tcMar>
              <w:top w:w="120" w:type="dxa"/>
              <w:left w:w="140" w:type="dxa"/>
              <w:bottom w:w="120" w:type="dxa"/>
              <w:right w:w="140" w:type="dxa"/>
            </w:tcMar>
            <w:vAlign w:val="center"/>
          </w:tcPr>
          <w:p w14:paraId="54904951" w14:textId="77777777" w:rsidR="001267E1" w:rsidRDefault="00000000">
            <w:r>
              <w:rPr>
                <w:rFonts w:ascii="Calibri" w:hAnsi="Calibri"/>
                <w:b/>
                <w:color w:val="FFFFFF"/>
                <w:sz w:val="19"/>
              </w:rPr>
              <w:t>MarketSense Implementation &amp; Code Files</w:t>
            </w:r>
          </w:p>
        </w:tc>
      </w:tr>
      <w:tr w:rsidR="001267E1" w14:paraId="384CD759" w14:textId="77777777">
        <w:trPr>
          <w:jc w:val="center"/>
        </w:trPr>
        <w:tc>
          <w:tcPr>
            <w:tcW w:w="1728" w:type="dxa"/>
            <w:shd w:val="clear" w:color="auto" w:fill="FFFFFF"/>
            <w:tcMar>
              <w:top w:w="80" w:type="dxa"/>
              <w:left w:w="140" w:type="dxa"/>
              <w:bottom w:w="80" w:type="dxa"/>
              <w:right w:w="140" w:type="dxa"/>
            </w:tcMar>
            <w:vAlign w:val="center"/>
          </w:tcPr>
          <w:p w14:paraId="0A6BA1F1" w14:textId="77777777" w:rsidR="001267E1" w:rsidRDefault="00000000">
            <w:r>
              <w:rPr>
                <w:rFonts w:ascii="Calibri" w:hAnsi="Calibri"/>
                <w:b/>
                <w:color w:val="222222"/>
                <w:sz w:val="18"/>
              </w:rPr>
              <w:t>MR</w:t>
            </w:r>
          </w:p>
        </w:tc>
        <w:tc>
          <w:tcPr>
            <w:tcW w:w="3312" w:type="dxa"/>
            <w:shd w:val="clear" w:color="auto" w:fill="FFFFFF"/>
            <w:tcMar>
              <w:top w:w="80" w:type="dxa"/>
              <w:left w:w="140" w:type="dxa"/>
              <w:bottom w:w="80" w:type="dxa"/>
              <w:right w:w="140" w:type="dxa"/>
            </w:tcMar>
            <w:vAlign w:val="center"/>
          </w:tcPr>
          <w:p w14:paraId="5E303EF7" w14:textId="77777777" w:rsidR="001267E1" w:rsidRDefault="00000000">
            <w:r>
              <w:rPr>
                <w:rFonts w:ascii="Calibri" w:hAnsi="Calibri"/>
                <w:color w:val="222222"/>
                <w:sz w:val="18"/>
              </w:rPr>
              <w:t>Constraint Satisfaction Problems (CSP)</w:t>
            </w:r>
          </w:p>
        </w:tc>
        <w:tc>
          <w:tcPr>
            <w:tcW w:w="4320" w:type="dxa"/>
            <w:shd w:val="clear" w:color="auto" w:fill="FFFFFF"/>
            <w:tcMar>
              <w:top w:w="80" w:type="dxa"/>
              <w:left w:w="140" w:type="dxa"/>
              <w:bottom w:w="80" w:type="dxa"/>
              <w:right w:w="140" w:type="dxa"/>
            </w:tcMar>
            <w:vAlign w:val="center"/>
          </w:tcPr>
          <w:p w14:paraId="7BEC6E35" w14:textId="77777777" w:rsidR="001267E1" w:rsidRDefault="00000000">
            <w:r>
              <w:rPr>
                <w:rFonts w:ascii="Calibri" w:hAnsi="Calibri"/>
                <w:color w:val="222222"/>
                <w:sz w:val="18"/>
              </w:rPr>
              <w:t>Price floor bounds (S$0.01), cash non-negativity, max single-quarter drop capped at -85%, circuit breaker selling freeze. (engine/pricing.py, app.py)</w:t>
            </w:r>
          </w:p>
        </w:tc>
      </w:tr>
      <w:tr w:rsidR="001267E1" w14:paraId="184E37A1" w14:textId="77777777">
        <w:trPr>
          <w:jc w:val="center"/>
        </w:trPr>
        <w:tc>
          <w:tcPr>
            <w:tcW w:w="1728" w:type="dxa"/>
            <w:shd w:val="clear" w:color="auto" w:fill="F4F6F9"/>
            <w:tcMar>
              <w:top w:w="80" w:type="dxa"/>
              <w:left w:w="140" w:type="dxa"/>
              <w:bottom w:w="80" w:type="dxa"/>
              <w:right w:w="140" w:type="dxa"/>
            </w:tcMar>
            <w:vAlign w:val="center"/>
          </w:tcPr>
          <w:p w14:paraId="76EE40FA" w14:textId="77777777" w:rsidR="001267E1" w:rsidRDefault="00000000">
            <w:r>
              <w:rPr>
                <w:rFonts w:ascii="Calibri" w:hAnsi="Calibri"/>
                <w:b/>
                <w:color w:val="222222"/>
                <w:sz w:val="18"/>
              </w:rPr>
              <w:t>MR</w:t>
            </w:r>
          </w:p>
        </w:tc>
        <w:tc>
          <w:tcPr>
            <w:tcW w:w="3312" w:type="dxa"/>
            <w:shd w:val="clear" w:color="auto" w:fill="F4F6F9"/>
            <w:tcMar>
              <w:top w:w="80" w:type="dxa"/>
              <w:left w:w="140" w:type="dxa"/>
              <w:bottom w:w="80" w:type="dxa"/>
              <w:right w:w="140" w:type="dxa"/>
            </w:tcMar>
            <w:vAlign w:val="center"/>
          </w:tcPr>
          <w:p w14:paraId="2D3FBA3F" w14:textId="77777777" w:rsidR="001267E1" w:rsidRDefault="00000000">
            <w:r>
              <w:rPr>
                <w:rFonts w:ascii="Calibri" w:hAnsi="Calibri"/>
                <w:color w:val="222222"/>
                <w:sz w:val="18"/>
              </w:rPr>
              <w:t>Rule-Based Inference (Forward Chaining)</w:t>
            </w:r>
          </w:p>
        </w:tc>
        <w:tc>
          <w:tcPr>
            <w:tcW w:w="4320" w:type="dxa"/>
            <w:shd w:val="clear" w:color="auto" w:fill="F4F6F9"/>
            <w:tcMar>
              <w:top w:w="80" w:type="dxa"/>
              <w:left w:w="140" w:type="dxa"/>
              <w:bottom w:w="80" w:type="dxa"/>
              <w:right w:w="140" w:type="dxa"/>
            </w:tcMar>
            <w:vAlign w:val="center"/>
          </w:tcPr>
          <w:p w14:paraId="00D8CD72" w14:textId="77777777" w:rsidR="001267E1" w:rsidRDefault="00000000">
            <w:r>
              <w:rPr>
                <w:rFonts w:ascii="Calibri" w:hAnsi="Calibri"/>
                <w:color w:val="222222"/>
                <w:sz w:val="18"/>
              </w:rPr>
              <w:t>Event-driven shock propagation from macro driver to downstream sectors; debt penalty trigger if debt_ratio &gt; 0.40; STCG vs LTCG rules. (engine/pricing.py, engine/friction.py)</w:t>
            </w:r>
          </w:p>
        </w:tc>
      </w:tr>
      <w:tr w:rsidR="001267E1" w14:paraId="1660128B" w14:textId="77777777">
        <w:trPr>
          <w:jc w:val="center"/>
        </w:trPr>
        <w:tc>
          <w:tcPr>
            <w:tcW w:w="1728" w:type="dxa"/>
            <w:shd w:val="clear" w:color="auto" w:fill="FFFFFF"/>
            <w:tcMar>
              <w:top w:w="80" w:type="dxa"/>
              <w:left w:w="140" w:type="dxa"/>
              <w:bottom w:w="80" w:type="dxa"/>
              <w:right w:w="140" w:type="dxa"/>
            </w:tcMar>
            <w:vAlign w:val="center"/>
          </w:tcPr>
          <w:p w14:paraId="0BB8CB39" w14:textId="77777777" w:rsidR="001267E1" w:rsidRDefault="00000000">
            <w:r>
              <w:rPr>
                <w:rFonts w:ascii="Calibri" w:hAnsi="Calibri"/>
                <w:b/>
                <w:color w:val="222222"/>
                <w:sz w:val="18"/>
              </w:rPr>
              <w:t>MR &amp; CGS</w:t>
            </w:r>
          </w:p>
        </w:tc>
        <w:tc>
          <w:tcPr>
            <w:tcW w:w="3312" w:type="dxa"/>
            <w:shd w:val="clear" w:color="auto" w:fill="FFFFFF"/>
            <w:tcMar>
              <w:top w:w="80" w:type="dxa"/>
              <w:left w:w="140" w:type="dxa"/>
              <w:bottom w:w="80" w:type="dxa"/>
              <w:right w:w="140" w:type="dxa"/>
            </w:tcMar>
            <w:vAlign w:val="center"/>
          </w:tcPr>
          <w:p w14:paraId="4B58FD5F" w14:textId="77777777" w:rsidR="001267E1" w:rsidRDefault="00000000">
            <w:r>
              <w:rPr>
                <w:rFonts w:ascii="Calibri" w:hAnsi="Calibri"/>
                <w:color w:val="222222"/>
                <w:sz w:val="18"/>
              </w:rPr>
              <w:t>Symbolic Knowledge Graphs &amp; Traversal</w:t>
            </w:r>
          </w:p>
        </w:tc>
        <w:tc>
          <w:tcPr>
            <w:tcW w:w="4320" w:type="dxa"/>
            <w:shd w:val="clear" w:color="auto" w:fill="FFFFFF"/>
            <w:tcMar>
              <w:top w:w="80" w:type="dxa"/>
              <w:left w:w="140" w:type="dxa"/>
              <w:bottom w:w="80" w:type="dxa"/>
              <w:right w:w="140" w:type="dxa"/>
            </w:tcMar>
            <w:vAlign w:val="center"/>
          </w:tcPr>
          <w:p w14:paraId="2FFCF56D" w14:textId="77777777" w:rsidR="001267E1" w:rsidRDefault="00000000">
            <w:r>
              <w:rPr>
                <w:rFonts w:ascii="Calibri" w:hAnsi="Calibri"/>
                <w:color w:val="222222"/>
                <w:sz w:val="18"/>
              </w:rPr>
              <w:t>36-node, 48-edge NetworkX graph; Dijkstra shortest resistance path; cumulative polarity multiplication (+ × + × - = -). (intelligence/knowledge_graph.py)</w:t>
            </w:r>
          </w:p>
        </w:tc>
      </w:tr>
      <w:tr w:rsidR="001267E1" w14:paraId="09AEFDA7" w14:textId="77777777">
        <w:trPr>
          <w:jc w:val="center"/>
        </w:trPr>
        <w:tc>
          <w:tcPr>
            <w:tcW w:w="1728" w:type="dxa"/>
            <w:shd w:val="clear" w:color="auto" w:fill="F4F6F9"/>
            <w:tcMar>
              <w:top w:w="80" w:type="dxa"/>
              <w:left w:w="140" w:type="dxa"/>
              <w:bottom w:w="80" w:type="dxa"/>
              <w:right w:w="140" w:type="dxa"/>
            </w:tcMar>
            <w:vAlign w:val="center"/>
          </w:tcPr>
          <w:p w14:paraId="7EB41DF5" w14:textId="77777777" w:rsidR="001267E1" w:rsidRDefault="00000000">
            <w:r>
              <w:rPr>
                <w:rFonts w:ascii="Calibri" w:hAnsi="Calibri"/>
                <w:b/>
                <w:color w:val="222222"/>
                <w:sz w:val="18"/>
              </w:rPr>
              <w:t>RS</w:t>
            </w:r>
          </w:p>
        </w:tc>
        <w:tc>
          <w:tcPr>
            <w:tcW w:w="3312" w:type="dxa"/>
            <w:shd w:val="clear" w:color="auto" w:fill="F4F6F9"/>
            <w:tcMar>
              <w:top w:w="80" w:type="dxa"/>
              <w:left w:w="140" w:type="dxa"/>
              <w:bottom w:w="80" w:type="dxa"/>
              <w:right w:w="140" w:type="dxa"/>
            </w:tcMar>
            <w:vAlign w:val="center"/>
          </w:tcPr>
          <w:p w14:paraId="5EEE3A6F" w14:textId="77777777" w:rsidR="001267E1" w:rsidRDefault="00000000">
            <w:r>
              <w:rPr>
                <w:rFonts w:ascii="Calibri" w:hAnsi="Calibri"/>
                <w:color w:val="222222"/>
                <w:sz w:val="18"/>
              </w:rPr>
              <w:t>Neuro-Symbolic Hybrid Architecture</w:t>
            </w:r>
          </w:p>
        </w:tc>
        <w:tc>
          <w:tcPr>
            <w:tcW w:w="4320" w:type="dxa"/>
            <w:shd w:val="clear" w:color="auto" w:fill="F4F6F9"/>
            <w:tcMar>
              <w:top w:w="80" w:type="dxa"/>
              <w:left w:w="140" w:type="dxa"/>
              <w:bottom w:w="80" w:type="dxa"/>
              <w:right w:w="140" w:type="dxa"/>
            </w:tcMar>
            <w:vAlign w:val="center"/>
          </w:tcPr>
          <w:p w14:paraId="7444AD08" w14:textId="77777777" w:rsidR="001267E1" w:rsidRDefault="00000000">
            <w:r>
              <w:rPr>
                <w:rFonts w:ascii="Calibri" w:hAnsi="Calibri"/>
                <w:color w:val="222222"/>
                <w:sz w:val="18"/>
              </w:rPr>
              <w:t>Complete decoupling of deterministic pricing computation from natural language reasoning; multi-level explainability. (app.py, intelligence/mentor.py)</w:t>
            </w:r>
          </w:p>
        </w:tc>
      </w:tr>
      <w:tr w:rsidR="001267E1" w14:paraId="2EF2B7BF" w14:textId="77777777">
        <w:trPr>
          <w:jc w:val="center"/>
        </w:trPr>
        <w:tc>
          <w:tcPr>
            <w:tcW w:w="1728" w:type="dxa"/>
            <w:shd w:val="clear" w:color="auto" w:fill="FFFFFF"/>
            <w:tcMar>
              <w:top w:w="80" w:type="dxa"/>
              <w:left w:w="140" w:type="dxa"/>
              <w:bottom w:w="80" w:type="dxa"/>
              <w:right w:w="140" w:type="dxa"/>
            </w:tcMar>
            <w:vAlign w:val="center"/>
          </w:tcPr>
          <w:p w14:paraId="194598F5" w14:textId="77777777" w:rsidR="001267E1" w:rsidRDefault="00000000">
            <w:r>
              <w:rPr>
                <w:rFonts w:ascii="Calibri" w:hAnsi="Calibri"/>
                <w:b/>
                <w:color w:val="222222"/>
                <w:sz w:val="18"/>
              </w:rPr>
              <w:t>RS</w:t>
            </w:r>
          </w:p>
        </w:tc>
        <w:tc>
          <w:tcPr>
            <w:tcW w:w="3312" w:type="dxa"/>
            <w:shd w:val="clear" w:color="auto" w:fill="FFFFFF"/>
            <w:tcMar>
              <w:top w:w="80" w:type="dxa"/>
              <w:left w:w="140" w:type="dxa"/>
              <w:bottom w:w="80" w:type="dxa"/>
              <w:right w:w="140" w:type="dxa"/>
            </w:tcMar>
            <w:vAlign w:val="center"/>
          </w:tcPr>
          <w:p w14:paraId="1E09A5B4" w14:textId="77777777" w:rsidR="001267E1" w:rsidRDefault="00000000">
            <w:r>
              <w:rPr>
                <w:rFonts w:ascii="Calibri" w:hAnsi="Calibri"/>
                <w:color w:val="222222"/>
                <w:sz w:val="18"/>
              </w:rPr>
              <w:t>Counterfactual Reasoning ('What-If')</w:t>
            </w:r>
          </w:p>
        </w:tc>
        <w:tc>
          <w:tcPr>
            <w:tcW w:w="4320" w:type="dxa"/>
            <w:shd w:val="clear" w:color="auto" w:fill="FFFFFF"/>
            <w:tcMar>
              <w:top w:w="80" w:type="dxa"/>
              <w:left w:w="140" w:type="dxa"/>
              <w:bottom w:w="80" w:type="dxa"/>
              <w:right w:w="140" w:type="dxa"/>
            </w:tcMar>
            <w:vAlign w:val="center"/>
          </w:tcPr>
          <w:p w14:paraId="7326B4CB" w14:textId="77777777" w:rsidR="001267E1" w:rsidRDefault="00000000">
            <w:r>
              <w:rPr>
                <w:rFonts w:ascii="Calibri" w:hAnsi="Calibri"/>
                <w:color w:val="222222"/>
                <w:sz w:val="18"/>
              </w:rPr>
              <w:t>Real-time re-evaluation of portfolio outcome against 4 institutional strategies under identical macro shock. (engine/simulator.py, app.py)</w:t>
            </w:r>
          </w:p>
        </w:tc>
      </w:tr>
      <w:tr w:rsidR="001267E1" w14:paraId="092B1CE7" w14:textId="77777777">
        <w:trPr>
          <w:jc w:val="center"/>
        </w:trPr>
        <w:tc>
          <w:tcPr>
            <w:tcW w:w="1728" w:type="dxa"/>
            <w:shd w:val="clear" w:color="auto" w:fill="F4F6F9"/>
            <w:tcMar>
              <w:top w:w="80" w:type="dxa"/>
              <w:left w:w="140" w:type="dxa"/>
              <w:bottom w:w="80" w:type="dxa"/>
              <w:right w:w="140" w:type="dxa"/>
            </w:tcMar>
            <w:vAlign w:val="center"/>
          </w:tcPr>
          <w:p w14:paraId="307FF8B9" w14:textId="77777777" w:rsidR="001267E1" w:rsidRDefault="00000000">
            <w:r>
              <w:rPr>
                <w:rFonts w:ascii="Calibri" w:hAnsi="Calibri"/>
                <w:b/>
                <w:color w:val="222222"/>
                <w:sz w:val="18"/>
              </w:rPr>
              <w:lastRenderedPageBreak/>
              <w:t>CGS</w:t>
            </w:r>
          </w:p>
        </w:tc>
        <w:tc>
          <w:tcPr>
            <w:tcW w:w="3312" w:type="dxa"/>
            <w:shd w:val="clear" w:color="auto" w:fill="F4F6F9"/>
            <w:tcMar>
              <w:top w:w="80" w:type="dxa"/>
              <w:left w:w="140" w:type="dxa"/>
              <w:bottom w:w="80" w:type="dxa"/>
              <w:right w:w="140" w:type="dxa"/>
            </w:tcMar>
            <w:vAlign w:val="center"/>
          </w:tcPr>
          <w:p w14:paraId="38759EFC" w14:textId="77777777" w:rsidR="001267E1" w:rsidRDefault="00000000">
            <w:r>
              <w:rPr>
                <w:rFonts w:ascii="Calibri" w:hAnsi="Calibri"/>
                <w:color w:val="222222"/>
                <w:sz w:val="18"/>
              </w:rPr>
              <w:t>Cognitive Tripartite Architecture &amp; RAG</w:t>
            </w:r>
          </w:p>
        </w:tc>
        <w:tc>
          <w:tcPr>
            <w:tcW w:w="4320" w:type="dxa"/>
            <w:shd w:val="clear" w:color="auto" w:fill="F4F6F9"/>
            <w:tcMar>
              <w:top w:w="80" w:type="dxa"/>
              <w:left w:w="140" w:type="dxa"/>
              <w:bottom w:w="80" w:type="dxa"/>
              <w:right w:w="140" w:type="dxa"/>
            </w:tcMar>
            <w:vAlign w:val="center"/>
          </w:tcPr>
          <w:p w14:paraId="1360F1DB" w14:textId="77777777" w:rsidR="001267E1" w:rsidRDefault="00000000">
            <w:r>
              <w:rPr>
                <w:rFonts w:ascii="Calibri" w:hAnsi="Calibri"/>
                <w:color w:val="222222"/>
                <w:sz w:val="18"/>
              </w:rPr>
              <w:t>Fast reactive loop (&lt;10ms) paired with slow deliberative loop; ChromaDB RAG v2 (52 chunks); dual Gemini/Ollama runtime. (intelligence/rag_engine.py, intelligence/mentor.py)</w:t>
            </w:r>
          </w:p>
        </w:tc>
      </w:tr>
    </w:tbl>
    <w:p w14:paraId="56008230" w14:textId="77777777" w:rsidR="001267E1" w:rsidRDefault="001267E1">
      <w:pPr>
        <w:spacing w:after="120"/>
      </w:pPr>
    </w:p>
    <w:p w14:paraId="6C8F5516" w14:textId="77777777" w:rsidR="001267E1" w:rsidRDefault="00000000">
      <w:pPr>
        <w:pStyle w:val="Heading1"/>
        <w:spacing w:before="360" w:after="120"/>
      </w:pPr>
      <w:r>
        <w:rPr>
          <w:rFonts w:ascii="Calibri" w:hAnsi="Calibri"/>
          <w:color w:val="1B365D"/>
          <w:sz w:val="32"/>
        </w:rPr>
        <w:t>Appendix C: Institutional Installation &amp; User Manual</w:t>
      </w:r>
    </w:p>
    <w:p w14:paraId="51C00B2D" w14:textId="77777777" w:rsidR="001267E1" w:rsidRDefault="00000000">
      <w:pPr>
        <w:spacing w:after="120"/>
      </w:pPr>
      <w:r>
        <w:rPr>
          <w:rFonts w:ascii="Calibri" w:hAnsi="Calibri"/>
          <w:color w:val="222222"/>
          <w:sz w:val="20"/>
        </w:rPr>
        <w:t>1. Prerequisites &amp; Installation:</w:t>
      </w:r>
      <w:r>
        <w:rPr>
          <w:rFonts w:ascii="Calibri" w:hAnsi="Calibri"/>
          <w:color w:val="222222"/>
          <w:sz w:val="20"/>
        </w:rPr>
        <w:br/>
        <w:t>• Requires Python 3.10+ and a modern Chromium web browser.</w:t>
      </w:r>
      <w:r>
        <w:rPr>
          <w:rFonts w:ascii="Calibri" w:hAnsi="Calibri"/>
          <w:color w:val="222222"/>
          <w:sz w:val="20"/>
        </w:rPr>
        <w:br/>
        <w:t>• Clone repository: git clone https://github.com/s3arajgupta/MarketSense.git</w:t>
      </w:r>
      <w:r>
        <w:rPr>
          <w:rFonts w:ascii="Calibri" w:hAnsi="Calibri"/>
          <w:color w:val="222222"/>
          <w:sz w:val="20"/>
        </w:rPr>
        <w:br/>
        <w:t>• Create virtual environment: python -m venv .venv; .\.venv\Scripts\Activate.ps1</w:t>
      </w:r>
      <w:r>
        <w:rPr>
          <w:rFonts w:ascii="Calibri" w:hAnsi="Calibri"/>
          <w:color w:val="222222"/>
          <w:sz w:val="20"/>
        </w:rPr>
        <w:br/>
        <w:t>• Install dependencies: pip install -r requirements.txt</w:t>
      </w:r>
      <w:r>
        <w:rPr>
          <w:rFonts w:ascii="Calibri" w:hAnsi="Calibri"/>
          <w:color w:val="222222"/>
          <w:sz w:val="20"/>
        </w:rPr>
        <w:br/>
        <w:t>• Configure Gemini API key in .env (or run 100% offline via local Ollama daemon).</w:t>
      </w:r>
    </w:p>
    <w:p w14:paraId="4F79A3A0" w14:textId="77777777" w:rsidR="001267E1" w:rsidRDefault="00000000">
      <w:pPr>
        <w:spacing w:after="120"/>
      </w:pPr>
      <w:r>
        <w:rPr>
          <w:rFonts w:ascii="Calibri" w:hAnsi="Calibri"/>
          <w:color w:val="222222"/>
          <w:sz w:val="20"/>
        </w:rPr>
        <w:t>2. Launching the Simulator:</w:t>
      </w:r>
      <w:r>
        <w:rPr>
          <w:rFonts w:ascii="Calibri" w:hAnsi="Calibri"/>
          <w:color w:val="222222"/>
          <w:sz w:val="20"/>
        </w:rPr>
        <w:br/>
        <w:t>• Execute: streamlit run app.py</w:t>
      </w:r>
      <w:r>
        <w:rPr>
          <w:rFonts w:ascii="Calibri" w:hAnsi="Calibri"/>
          <w:color w:val="222222"/>
          <w:sz w:val="20"/>
        </w:rPr>
        <w:br/>
        <w:t>• Browser opens automatically at http://localhost:8501.</w:t>
      </w:r>
      <w:r>
        <w:rPr>
          <w:rFonts w:ascii="Calibri" w:hAnsi="Calibri"/>
          <w:color w:val="222222"/>
          <w:sz w:val="20"/>
        </w:rPr>
        <w:br/>
        <w:t>• Use top controls: Play Simulation (0.8s/qtr auto-step), Fast Forward (0.2s/qtr 30-year time travel), or Next Quarter.</w:t>
      </w:r>
      <w:r>
        <w:rPr>
          <w:rFonts w:ascii="Calibri" w:hAnsi="Calibri"/>
          <w:color w:val="222222"/>
          <w:sz w:val="20"/>
        </w:rPr>
        <w:br/>
        <w:t>• Inspect the five intelligence tabs: Performance vs Benchmarks, Holdings &amp; Tax Ledger, Sector Heatmap, Causal XAI Graph, and Counterfactual What-If Sandbox.</w:t>
      </w:r>
    </w:p>
    <w:p w14:paraId="088708A5" w14:textId="77777777" w:rsidR="001267E1" w:rsidRDefault="00000000">
      <w:pPr>
        <w:spacing w:after="120"/>
      </w:pPr>
      <w:r>
        <w:rPr>
          <w:rFonts w:ascii="Calibri" w:hAnsi="Calibri"/>
          <w:color w:val="222222"/>
          <w:sz w:val="20"/>
        </w:rPr>
        <w:t>3. Verification Test Execution:</w:t>
      </w:r>
      <w:r>
        <w:rPr>
          <w:rFonts w:ascii="Calibri" w:hAnsi="Calibri"/>
          <w:color w:val="222222"/>
          <w:sz w:val="20"/>
        </w:rPr>
        <w:br/>
        <w:t>• In project root, execute: pytest</w:t>
      </w:r>
      <w:r>
        <w:rPr>
          <w:rFonts w:ascii="Calibri" w:hAnsi="Calibri"/>
          <w:color w:val="222222"/>
          <w:sz w:val="20"/>
        </w:rPr>
        <w:br/>
        <w:t>• Confirms all 25 unit tests passing in ~4.08 seconds.</w:t>
      </w:r>
    </w:p>
    <w:sectPr w:rsidR="001267E1"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345A" w14:textId="77777777" w:rsidR="00750DA4" w:rsidRDefault="00750DA4">
      <w:pPr>
        <w:spacing w:after="0" w:line="240" w:lineRule="auto"/>
      </w:pPr>
      <w:r>
        <w:separator/>
      </w:r>
    </w:p>
  </w:endnote>
  <w:endnote w:type="continuationSeparator" w:id="0">
    <w:p w14:paraId="26C79F3B" w14:textId="77777777" w:rsidR="00750DA4" w:rsidRDefault="00750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87D5" w14:textId="77777777" w:rsidR="001267E1" w:rsidRDefault="00000000">
    <w:pPr>
      <w:pStyle w:val="Footer"/>
      <w:jc w:val="both"/>
    </w:pPr>
    <w:r>
      <w:rPr>
        <w:rFonts w:ascii="Calibri" w:hAnsi="Calibri"/>
        <w:color w:val="555555"/>
        <w:sz w:val="17"/>
      </w:rPr>
      <w:t>TeamChamp (Group 26) — Gupta Swaraj (A0357457N)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13B5E" w14:textId="77777777" w:rsidR="00750DA4" w:rsidRDefault="00750DA4">
      <w:pPr>
        <w:spacing w:after="0" w:line="240" w:lineRule="auto"/>
      </w:pPr>
      <w:r>
        <w:separator/>
      </w:r>
    </w:p>
  </w:footnote>
  <w:footnote w:type="continuationSeparator" w:id="0">
    <w:p w14:paraId="6FC3CAA7" w14:textId="77777777" w:rsidR="00750DA4" w:rsidRDefault="00750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4E7E" w14:textId="77777777" w:rsidR="001267E1" w:rsidRDefault="00000000">
    <w:pPr>
      <w:pStyle w:val="Header"/>
      <w:jc w:val="right"/>
    </w:pPr>
    <w:r>
      <w:rPr>
        <w:rFonts w:ascii="Calibri" w:hAnsi="Calibri"/>
        <w:color w:val="555555"/>
        <w:sz w:val="17"/>
      </w:rPr>
      <w:t>NUS-ISS Intelligent Reasoning Systems (IRS) Practice Module | MarketSense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546417">
    <w:abstractNumId w:val="8"/>
  </w:num>
  <w:num w:numId="2" w16cid:durableId="26373880">
    <w:abstractNumId w:val="6"/>
  </w:num>
  <w:num w:numId="3" w16cid:durableId="1903368241">
    <w:abstractNumId w:val="5"/>
  </w:num>
  <w:num w:numId="4" w16cid:durableId="229116800">
    <w:abstractNumId w:val="4"/>
  </w:num>
  <w:num w:numId="5" w16cid:durableId="1841891659">
    <w:abstractNumId w:val="7"/>
  </w:num>
  <w:num w:numId="6" w16cid:durableId="789738967">
    <w:abstractNumId w:val="3"/>
  </w:num>
  <w:num w:numId="7" w16cid:durableId="1561937048">
    <w:abstractNumId w:val="2"/>
  </w:num>
  <w:num w:numId="8" w16cid:durableId="824325221">
    <w:abstractNumId w:val="1"/>
  </w:num>
  <w:num w:numId="9" w16cid:durableId="184558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A32"/>
    <w:rsid w:val="001267E1"/>
    <w:rsid w:val="0015074B"/>
    <w:rsid w:val="00281ABE"/>
    <w:rsid w:val="0029639D"/>
    <w:rsid w:val="00326F90"/>
    <w:rsid w:val="0063334A"/>
    <w:rsid w:val="00750DA4"/>
    <w:rsid w:val="008879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E6BBA"/>
  <w14:defaultImageDpi w14:val="300"/>
  <w15:docId w15:val="{998C5F71-B4C3-46DC-9C79-526034D6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3853</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Swaraj Gupta</cp:lastModifiedBy>
  <cp:revision>4</cp:revision>
  <dcterms:created xsi:type="dcterms:W3CDTF">2013-12-23T23:15:00Z</dcterms:created>
  <dcterms:modified xsi:type="dcterms:W3CDTF">2026-10-25T16:57:00Z</dcterms:modified>
  <cp:category/>
</cp:coreProperties>
</file>