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D73F5" w14:textId="77777777" w:rsidR="00776B9D" w:rsidRDefault="00000000">
      <w:pPr>
        <w:spacing w:before="800"/>
        <w:jc w:val="center"/>
      </w:pPr>
      <w:r>
        <w:rPr>
          <w:b/>
          <w:color w:val="1A3A5F"/>
          <w:sz w:val="56"/>
        </w:rPr>
        <w:t>MarketSense</w:t>
      </w:r>
    </w:p>
    <w:p w14:paraId="38064A48" w14:textId="77777777" w:rsidR="00776B9D" w:rsidRDefault="00000000">
      <w:pPr>
        <w:jc w:val="center"/>
      </w:pPr>
      <w:r>
        <w:rPr>
          <w:color w:val="2D5F8A"/>
          <w:sz w:val="26"/>
        </w:rPr>
        <w:t>A Neuro-Symbolic Intelligent Reasoning Simulator</w:t>
      </w:r>
      <w:r>
        <w:rPr>
          <w:color w:val="2D5F8A"/>
          <w:sz w:val="26"/>
        </w:rPr>
        <w:br/>
        <w:t>for Macroeconomic Shocks &amp; Portfolio Adaptability</w:t>
      </w:r>
    </w:p>
    <w:p w14:paraId="645C828C" w14:textId="77777777" w:rsidR="00776B9D" w:rsidRDefault="00776B9D">
      <w:pPr>
        <w:pBdr>
          <w:bottom w:val="single" w:sz="6" w:space="1" w:color="1A3A5F"/>
        </w:pBdr>
        <w:spacing w:after="40"/>
      </w:pPr>
    </w:p>
    <w:tbl>
      <w:tblPr>
        <w:tblW w:w="0" w:type="auto"/>
        <w:jc w:val="center"/>
        <w:tblLook w:val="04A0" w:firstRow="1" w:lastRow="0" w:firstColumn="1" w:lastColumn="0" w:noHBand="0" w:noVBand="1"/>
      </w:tblPr>
      <w:tblGrid>
        <w:gridCol w:w="2592"/>
        <w:gridCol w:w="7200"/>
      </w:tblGrid>
      <w:tr w:rsidR="00776B9D" w14:paraId="6221A840" w14:textId="77777777">
        <w:trPr>
          <w:jc w:val="center"/>
        </w:trPr>
        <w:tc>
          <w:tcPr>
            <w:tcW w:w="2592" w:type="dxa"/>
          </w:tcPr>
          <w:p w14:paraId="4C091F42" w14:textId="77777777" w:rsidR="00776B9D" w:rsidRDefault="00000000">
            <w:pPr>
              <w:spacing w:before="60" w:after="60"/>
              <w:jc w:val="right"/>
            </w:pPr>
            <w:r>
              <w:rPr>
                <w:b/>
              </w:rPr>
              <w:t>Module:</w:t>
            </w:r>
          </w:p>
        </w:tc>
        <w:tc>
          <w:tcPr>
            <w:tcW w:w="7200" w:type="dxa"/>
          </w:tcPr>
          <w:p w14:paraId="1500FE1F" w14:textId="77777777" w:rsidR="00776B9D" w:rsidRDefault="00000000">
            <w:pPr>
              <w:spacing w:before="60" w:after="60"/>
            </w:pPr>
            <w:r>
              <w:t>NUS-ISS Intelligent Reasoning Systems (IRS) Practice Module</w:t>
            </w:r>
          </w:p>
        </w:tc>
      </w:tr>
      <w:tr w:rsidR="00776B9D" w14:paraId="597BC70B" w14:textId="77777777">
        <w:trPr>
          <w:jc w:val="center"/>
        </w:trPr>
        <w:tc>
          <w:tcPr>
            <w:tcW w:w="2592" w:type="dxa"/>
          </w:tcPr>
          <w:p w14:paraId="404099E8" w14:textId="77777777" w:rsidR="00776B9D" w:rsidRDefault="00000000">
            <w:pPr>
              <w:spacing w:before="60" w:after="60"/>
              <w:jc w:val="right"/>
            </w:pPr>
            <w:r>
              <w:rPr>
                <w:b/>
              </w:rPr>
              <w:t>Group Number:</w:t>
            </w:r>
          </w:p>
        </w:tc>
        <w:tc>
          <w:tcPr>
            <w:tcW w:w="7200" w:type="dxa"/>
          </w:tcPr>
          <w:p w14:paraId="095D4063" w14:textId="0BFE943B" w:rsidR="00776B9D" w:rsidRDefault="00416730">
            <w:pPr>
              <w:spacing w:before="60" w:after="60"/>
            </w:pPr>
            <w:r>
              <w:t>26</w:t>
            </w:r>
          </w:p>
        </w:tc>
      </w:tr>
      <w:tr w:rsidR="00776B9D" w14:paraId="35916C65" w14:textId="77777777">
        <w:trPr>
          <w:jc w:val="center"/>
        </w:trPr>
        <w:tc>
          <w:tcPr>
            <w:tcW w:w="2592" w:type="dxa"/>
          </w:tcPr>
          <w:p w14:paraId="7C8FC9DC" w14:textId="77777777" w:rsidR="00776B9D" w:rsidRDefault="00000000">
            <w:pPr>
              <w:spacing w:before="60" w:after="60"/>
              <w:jc w:val="right"/>
            </w:pPr>
            <w:r>
              <w:rPr>
                <w:b/>
              </w:rPr>
              <w:t>Group Members:</w:t>
            </w:r>
          </w:p>
        </w:tc>
        <w:tc>
          <w:tcPr>
            <w:tcW w:w="7200" w:type="dxa"/>
          </w:tcPr>
          <w:p w14:paraId="333FE719" w14:textId="38DB6FF1" w:rsidR="00776B9D" w:rsidRPr="00BC4F12" w:rsidRDefault="00BC4F12">
            <w:pPr>
              <w:spacing w:before="60" w:after="60"/>
              <w:rPr>
                <w:lang w:val="en-SG"/>
              </w:rPr>
            </w:pPr>
            <w:r>
              <w:t xml:space="preserve">Gupta Swaraj, </w:t>
            </w:r>
            <w:r w:rsidRPr="00BC4F12">
              <w:rPr>
                <w:lang w:val="en-SG"/>
              </w:rPr>
              <w:t>A0357457N</w:t>
            </w:r>
          </w:p>
        </w:tc>
      </w:tr>
      <w:tr w:rsidR="00776B9D" w14:paraId="50FECF8A" w14:textId="77777777">
        <w:trPr>
          <w:jc w:val="center"/>
        </w:trPr>
        <w:tc>
          <w:tcPr>
            <w:tcW w:w="2592" w:type="dxa"/>
          </w:tcPr>
          <w:p w14:paraId="26F82F04" w14:textId="77777777" w:rsidR="00776B9D" w:rsidRDefault="00000000">
            <w:pPr>
              <w:spacing w:before="60" w:after="60"/>
              <w:jc w:val="right"/>
            </w:pPr>
            <w:r>
              <w:rPr>
                <w:b/>
              </w:rPr>
              <w:t>Presentation Date:</w:t>
            </w:r>
          </w:p>
        </w:tc>
        <w:tc>
          <w:tcPr>
            <w:tcW w:w="7200" w:type="dxa"/>
          </w:tcPr>
          <w:p w14:paraId="1A307B81" w14:textId="71985BA2" w:rsidR="00776B9D" w:rsidRDefault="00416730">
            <w:pPr>
              <w:spacing w:before="60" w:after="60"/>
            </w:pPr>
            <w:r>
              <w:t>25</w:t>
            </w:r>
            <w:r w:rsidR="00BC4F12">
              <w:t>/</w:t>
            </w:r>
            <w:r>
              <w:t>10</w:t>
            </w:r>
            <w:r w:rsidR="00BC4F12">
              <w:t>/2026</w:t>
            </w:r>
          </w:p>
        </w:tc>
      </w:tr>
    </w:tbl>
    <w:p w14:paraId="5A6CCC81" w14:textId="77777777" w:rsidR="00776B9D" w:rsidRDefault="00776B9D">
      <w:pPr>
        <w:pBdr>
          <w:bottom w:val="single" w:sz="6" w:space="1" w:color="1A3A5F"/>
        </w:pBdr>
        <w:spacing w:after="40"/>
      </w:pPr>
    </w:p>
    <w:p w14:paraId="1AEE55DF" w14:textId="77777777" w:rsidR="00776B9D" w:rsidRDefault="00000000">
      <w:pPr>
        <w:pStyle w:val="Heading1"/>
      </w:pPr>
      <w:r>
        <w:t>1. Introduction</w:t>
      </w:r>
    </w:p>
    <w:p w14:paraId="4460F9CB" w14:textId="77777777" w:rsidR="00776B9D" w:rsidRDefault="00000000">
      <w:r>
        <w:t>MarketSense is a simulation and advisory platform designed to train investors on portfolio resilience during macroeconomic and policy shocks, using a hybrid neuro-symbolic intelligent reasoning architecture. It functions as an "investment flight simulator" where users manage a virtual SGD-denominated portfolio, face curated macro events, and receive explainable, literature-grounded guidance on their allocation decisions.</w:t>
      </w:r>
    </w:p>
    <w:p w14:paraId="575BB9E9" w14:textId="77777777" w:rsidR="00776B9D" w:rsidRDefault="00000000">
      <w:r>
        <w:rPr>
          <w:b/>
        </w:rPr>
        <w:t>Importance and Relevance:</w:t>
      </w:r>
    </w:p>
    <w:p w14:paraId="74F7FF53" w14:textId="77777777" w:rsidR="00776B9D" w:rsidRDefault="00000000">
      <w:pPr>
        <w:pStyle w:val="ListBullet"/>
        <w:spacing w:after="40"/>
      </w:pPr>
      <w:r>
        <w:t>Over 80% of retail investors suffer severe drawdowns during macro crises (rate spikes, inflation, pandemics, policy shocks) due to behavioral bias and opaque market mechanics.</w:t>
      </w:r>
    </w:p>
    <w:p w14:paraId="690B11A1" w14:textId="77777777" w:rsidR="00776B9D" w:rsidRDefault="00000000">
      <w:pPr>
        <w:pStyle w:val="ListBullet"/>
        <w:spacing w:after="40"/>
      </w:pPr>
      <w:r>
        <w:t>Existing financial tools are either black-box predictive models lacking explainability, or static textbook rules incapable of adapting to novel events.</w:t>
      </w:r>
    </w:p>
    <w:p w14:paraId="68B03EB4" w14:textId="77777777" w:rsidR="00776B9D" w:rsidRDefault="00000000">
      <w:pPr>
        <w:pStyle w:val="ListBullet"/>
        <w:spacing w:after="40"/>
      </w:pPr>
      <w:r>
        <w:t>Trading platforms gamify hyper-trading, leading to destructive fee/tax churning and unhedged portfolio losses.</w:t>
      </w:r>
    </w:p>
    <w:p w14:paraId="4C626AD6" w14:textId="77777777" w:rsidR="00776B9D" w:rsidRDefault="00000000">
      <w:r>
        <w:rPr>
          <w:b/>
        </w:rPr>
        <w:t>Project Goals:</w:t>
      </w:r>
    </w:p>
    <w:p w14:paraId="76A97FB6" w14:textId="77777777" w:rsidR="00776B9D" w:rsidRDefault="00000000">
      <w:pPr>
        <w:pStyle w:val="ListBullet"/>
        <w:spacing w:after="40"/>
      </w:pPr>
      <w:r>
        <w:t>Bridge the gap between theoretical portfolio wisdom and real-world market turbulence through interactive simulation.</w:t>
      </w:r>
    </w:p>
    <w:p w14:paraId="5F955F81" w14:textId="77777777" w:rsidR="00776B9D" w:rsidRDefault="00000000">
      <w:pPr>
        <w:pStyle w:val="ListBullet"/>
        <w:spacing w:after="40"/>
      </w:pPr>
      <w:r>
        <w:t>Implement an explainable, auditable reasoning system that transparently justifies asset rotations and shock transmission paths.</w:t>
      </w:r>
    </w:p>
    <w:p w14:paraId="007DB168" w14:textId="77777777" w:rsidR="00776B9D" w:rsidRDefault="00000000">
      <w:pPr>
        <w:pStyle w:val="ListBullet"/>
        <w:spacing w:after="40"/>
      </w:pPr>
      <w:r>
        <w:t>Cultivate long-term capital preservation discipline through realistic friction mechanics (loss asymmetry, transaction costs, capital gains tax drag).</w:t>
      </w:r>
    </w:p>
    <w:p w14:paraId="710B9894" w14:textId="77777777" w:rsidR="00776B9D" w:rsidRDefault="00000000">
      <w:pPr>
        <w:pStyle w:val="Heading1"/>
      </w:pPr>
      <w:r>
        <w:t>2. Project Background &amp; Market Context</w:t>
      </w:r>
    </w:p>
    <w:p w14:paraId="64E94FA3" w14:textId="77777777" w:rsidR="00776B9D" w:rsidRDefault="00000000">
      <w:pPr>
        <w:pStyle w:val="Heading2"/>
      </w:pPr>
      <w:r>
        <w:t>2.1 Background</w:t>
      </w:r>
    </w:p>
    <w:p w14:paraId="65A11EEB" w14:textId="77777777" w:rsidR="00776B9D" w:rsidRDefault="00000000">
      <w:r>
        <w:t xml:space="preserve">Financial markets are deeply interconnected causal networks where external shocks — monetary policy shifts, commodity disruptions, regulatory overhauls — ripple across asset classes in non-linear ways. In financial education, learners cannot safely experience these crisis dynamics. Retail trading platforms further compound </w:t>
      </w:r>
      <w:r>
        <w:lastRenderedPageBreak/>
        <w:t>the problem by encouraging hyper-trading through gamification, leading to destructive fee churning and unhedged drawdowns.</w:t>
      </w:r>
    </w:p>
    <w:p w14:paraId="712BFD20" w14:textId="77777777" w:rsidR="00776B9D" w:rsidRDefault="00000000">
      <w:pPr>
        <w:pStyle w:val="Heading2"/>
      </w:pPr>
      <w:r>
        <w:t>2.2 Market Landscape</w:t>
      </w:r>
    </w:p>
    <w:tbl>
      <w:tblPr>
        <w:tblStyle w:val="TableGrid"/>
        <w:tblW w:w="0" w:type="auto"/>
        <w:jc w:val="center"/>
        <w:tblLook w:val="04A0" w:firstRow="1" w:lastRow="0" w:firstColumn="1" w:lastColumn="0" w:noHBand="0" w:noVBand="1"/>
      </w:tblPr>
      <w:tblGrid>
        <w:gridCol w:w="3168"/>
        <w:gridCol w:w="1728"/>
        <w:gridCol w:w="4752"/>
      </w:tblGrid>
      <w:tr w:rsidR="00776B9D" w14:paraId="4158BBD3" w14:textId="77777777">
        <w:trPr>
          <w:jc w:val="center"/>
        </w:trPr>
        <w:tc>
          <w:tcPr>
            <w:tcW w:w="3168" w:type="dxa"/>
            <w:shd w:val="clear" w:color="auto" w:fill="1A3A5F"/>
          </w:tcPr>
          <w:p w14:paraId="3F9ABA13" w14:textId="77777777" w:rsidR="00776B9D" w:rsidRDefault="00000000">
            <w:pPr>
              <w:spacing w:after="40"/>
            </w:pPr>
            <w:r>
              <w:rPr>
                <w:b/>
                <w:color w:val="FFFFFF"/>
                <w:sz w:val="19"/>
              </w:rPr>
              <w:t>Existing Solution</w:t>
            </w:r>
          </w:p>
        </w:tc>
        <w:tc>
          <w:tcPr>
            <w:tcW w:w="1728" w:type="dxa"/>
            <w:shd w:val="clear" w:color="auto" w:fill="1A3A5F"/>
          </w:tcPr>
          <w:p w14:paraId="2DE131B6" w14:textId="77777777" w:rsidR="00776B9D" w:rsidRDefault="00000000">
            <w:pPr>
              <w:spacing w:after="40"/>
            </w:pPr>
            <w:r>
              <w:rPr>
                <w:b/>
                <w:color w:val="FFFFFF"/>
                <w:sz w:val="19"/>
              </w:rPr>
              <w:t>Target Users</w:t>
            </w:r>
          </w:p>
        </w:tc>
        <w:tc>
          <w:tcPr>
            <w:tcW w:w="4752" w:type="dxa"/>
            <w:shd w:val="clear" w:color="auto" w:fill="1A3A5F"/>
          </w:tcPr>
          <w:p w14:paraId="333CDF8C" w14:textId="77777777" w:rsidR="00776B9D" w:rsidRDefault="00000000">
            <w:pPr>
              <w:spacing w:after="40"/>
            </w:pPr>
            <w:r>
              <w:rPr>
                <w:b/>
                <w:color w:val="FFFFFF"/>
                <w:sz w:val="19"/>
              </w:rPr>
              <w:t>Critical Limitation</w:t>
            </w:r>
          </w:p>
        </w:tc>
      </w:tr>
      <w:tr w:rsidR="00776B9D" w14:paraId="2ECC7792" w14:textId="77777777">
        <w:trPr>
          <w:jc w:val="center"/>
        </w:trPr>
        <w:tc>
          <w:tcPr>
            <w:tcW w:w="3168" w:type="dxa"/>
            <w:shd w:val="clear" w:color="auto" w:fill="F0F4F8"/>
          </w:tcPr>
          <w:p w14:paraId="042A6FD0" w14:textId="77777777" w:rsidR="00776B9D" w:rsidRDefault="00000000">
            <w:pPr>
              <w:spacing w:after="40"/>
            </w:pPr>
            <w:r>
              <w:rPr>
                <w:sz w:val="19"/>
              </w:rPr>
              <w:t>Paper-Trading Platforms</w:t>
            </w:r>
            <w:r>
              <w:rPr>
                <w:sz w:val="19"/>
              </w:rPr>
              <w:br/>
              <w:t>(e.g., Investopedia Simulator)</w:t>
            </w:r>
          </w:p>
        </w:tc>
        <w:tc>
          <w:tcPr>
            <w:tcW w:w="1728" w:type="dxa"/>
            <w:shd w:val="clear" w:color="auto" w:fill="F0F4F8"/>
          </w:tcPr>
          <w:p w14:paraId="6B103016" w14:textId="77777777" w:rsidR="00776B9D" w:rsidRDefault="00000000">
            <w:pPr>
              <w:spacing w:after="40"/>
            </w:pPr>
            <w:r>
              <w:rPr>
                <w:sz w:val="19"/>
              </w:rPr>
              <w:t>Retail investors</w:t>
            </w:r>
          </w:p>
        </w:tc>
        <w:tc>
          <w:tcPr>
            <w:tcW w:w="4752" w:type="dxa"/>
            <w:shd w:val="clear" w:color="auto" w:fill="F0F4F8"/>
          </w:tcPr>
          <w:p w14:paraId="6711BEAA" w14:textId="77777777" w:rsidR="00776B9D" w:rsidRDefault="00000000">
            <w:pPr>
              <w:spacing w:after="40"/>
            </w:pPr>
            <w:r>
              <w:rPr>
                <w:sz w:val="19"/>
              </w:rPr>
              <w:t>Static price mirrors; zero causal</w:t>
            </w:r>
            <w:r>
              <w:rPr>
                <w:sz w:val="19"/>
              </w:rPr>
              <w:br/>
              <w:t>reasoning or contextual explanation</w:t>
            </w:r>
          </w:p>
        </w:tc>
      </w:tr>
      <w:tr w:rsidR="00776B9D" w14:paraId="40296714" w14:textId="77777777">
        <w:trPr>
          <w:jc w:val="center"/>
        </w:trPr>
        <w:tc>
          <w:tcPr>
            <w:tcW w:w="3168" w:type="dxa"/>
            <w:shd w:val="clear" w:color="auto" w:fill="FFFFFF"/>
          </w:tcPr>
          <w:p w14:paraId="7513E085" w14:textId="77777777" w:rsidR="00776B9D" w:rsidRDefault="00000000">
            <w:pPr>
              <w:spacing w:after="40"/>
            </w:pPr>
            <w:r>
              <w:rPr>
                <w:sz w:val="19"/>
              </w:rPr>
              <w:t>Commercial Robo-Advisors</w:t>
            </w:r>
            <w:r>
              <w:rPr>
                <w:sz w:val="19"/>
              </w:rPr>
              <w:br/>
              <w:t>(e.g., Wealthfront, Endowus)</w:t>
            </w:r>
          </w:p>
        </w:tc>
        <w:tc>
          <w:tcPr>
            <w:tcW w:w="1728" w:type="dxa"/>
            <w:shd w:val="clear" w:color="auto" w:fill="FFFFFF"/>
          </w:tcPr>
          <w:p w14:paraId="16994F45" w14:textId="77777777" w:rsidR="00776B9D" w:rsidRDefault="00000000">
            <w:pPr>
              <w:spacing w:after="40"/>
            </w:pPr>
            <w:r>
              <w:rPr>
                <w:sz w:val="19"/>
              </w:rPr>
              <w:t>Passive investors</w:t>
            </w:r>
          </w:p>
        </w:tc>
        <w:tc>
          <w:tcPr>
            <w:tcW w:w="4752" w:type="dxa"/>
            <w:shd w:val="clear" w:color="auto" w:fill="FFFFFF"/>
          </w:tcPr>
          <w:p w14:paraId="1282D4C6" w14:textId="77777777" w:rsidR="00776B9D" w:rsidRDefault="00000000">
            <w:pPr>
              <w:spacing w:after="40"/>
            </w:pPr>
            <w:r>
              <w:rPr>
                <w:sz w:val="19"/>
              </w:rPr>
              <w:t>Opaque black boxes; no pedagogical</w:t>
            </w:r>
            <w:r>
              <w:rPr>
                <w:sz w:val="19"/>
              </w:rPr>
              <w:br/>
              <w:t>transparency or scenario modeling</w:t>
            </w:r>
          </w:p>
        </w:tc>
      </w:tr>
      <w:tr w:rsidR="00776B9D" w14:paraId="4EE687AF" w14:textId="77777777">
        <w:trPr>
          <w:jc w:val="center"/>
        </w:trPr>
        <w:tc>
          <w:tcPr>
            <w:tcW w:w="3168" w:type="dxa"/>
            <w:shd w:val="clear" w:color="auto" w:fill="F0F4F8"/>
          </w:tcPr>
          <w:p w14:paraId="0F64381F" w14:textId="77777777" w:rsidR="00776B9D" w:rsidRDefault="00000000">
            <w:pPr>
              <w:spacing w:after="40"/>
            </w:pPr>
            <w:r>
              <w:rPr>
                <w:sz w:val="19"/>
              </w:rPr>
              <w:t>University Finance Courses</w:t>
            </w:r>
          </w:p>
        </w:tc>
        <w:tc>
          <w:tcPr>
            <w:tcW w:w="1728" w:type="dxa"/>
            <w:shd w:val="clear" w:color="auto" w:fill="F0F4F8"/>
          </w:tcPr>
          <w:p w14:paraId="12C9A62D" w14:textId="77777777" w:rsidR="00776B9D" w:rsidRDefault="00000000">
            <w:pPr>
              <w:spacing w:after="40"/>
            </w:pPr>
            <w:r>
              <w:rPr>
                <w:sz w:val="19"/>
              </w:rPr>
              <w:t>Students</w:t>
            </w:r>
          </w:p>
        </w:tc>
        <w:tc>
          <w:tcPr>
            <w:tcW w:w="4752" w:type="dxa"/>
            <w:shd w:val="clear" w:color="auto" w:fill="F0F4F8"/>
          </w:tcPr>
          <w:p w14:paraId="5CF8C691" w14:textId="77777777" w:rsidR="00776B9D" w:rsidRDefault="00000000">
            <w:pPr>
              <w:spacing w:after="40"/>
            </w:pPr>
            <w:r>
              <w:rPr>
                <w:sz w:val="19"/>
              </w:rPr>
              <w:t>Purely theoretical; no hands-on crisis</w:t>
            </w:r>
            <w:r>
              <w:rPr>
                <w:sz w:val="19"/>
              </w:rPr>
              <w:br/>
              <w:t>simulation or real-time decision-making</w:t>
            </w:r>
          </w:p>
        </w:tc>
      </w:tr>
      <w:tr w:rsidR="00776B9D" w14:paraId="04E7C4AB" w14:textId="77777777">
        <w:trPr>
          <w:jc w:val="center"/>
        </w:trPr>
        <w:tc>
          <w:tcPr>
            <w:tcW w:w="3168" w:type="dxa"/>
            <w:shd w:val="clear" w:color="auto" w:fill="FFFFFF"/>
          </w:tcPr>
          <w:p w14:paraId="7CF02AB3" w14:textId="77777777" w:rsidR="00776B9D" w:rsidRDefault="00000000">
            <w:pPr>
              <w:spacing w:after="40"/>
            </w:pPr>
            <w:r>
              <w:rPr>
                <w:sz w:val="19"/>
              </w:rPr>
              <w:t>Trading Apps</w:t>
            </w:r>
            <w:r>
              <w:rPr>
                <w:sz w:val="19"/>
              </w:rPr>
              <w:br/>
              <w:t>(e.g., Robinhood, Tiger Brokers)</w:t>
            </w:r>
          </w:p>
        </w:tc>
        <w:tc>
          <w:tcPr>
            <w:tcW w:w="1728" w:type="dxa"/>
            <w:shd w:val="clear" w:color="auto" w:fill="FFFFFF"/>
          </w:tcPr>
          <w:p w14:paraId="24A304F9" w14:textId="77777777" w:rsidR="00776B9D" w:rsidRDefault="00000000">
            <w:pPr>
              <w:spacing w:after="40"/>
            </w:pPr>
            <w:r>
              <w:rPr>
                <w:sz w:val="19"/>
              </w:rPr>
              <w:t>Active traders</w:t>
            </w:r>
          </w:p>
        </w:tc>
        <w:tc>
          <w:tcPr>
            <w:tcW w:w="4752" w:type="dxa"/>
            <w:shd w:val="clear" w:color="auto" w:fill="FFFFFF"/>
          </w:tcPr>
          <w:p w14:paraId="1D028652" w14:textId="77777777" w:rsidR="00776B9D" w:rsidRDefault="00000000">
            <w:pPr>
              <w:spacing w:after="40"/>
            </w:pPr>
            <w:r>
              <w:rPr>
                <w:sz w:val="19"/>
              </w:rPr>
              <w:t>Encourage churning via gamification;</w:t>
            </w:r>
            <w:r>
              <w:rPr>
                <w:sz w:val="19"/>
              </w:rPr>
              <w:br/>
              <w:t>no friction awareness or tax discipline</w:t>
            </w:r>
          </w:p>
        </w:tc>
      </w:tr>
    </w:tbl>
    <w:p w14:paraId="4A709588" w14:textId="77777777" w:rsidR="00776B9D" w:rsidRDefault="00000000">
      <w:pPr>
        <w:spacing w:before="120"/>
      </w:pPr>
      <w:r>
        <w:rPr>
          <w:b/>
        </w:rPr>
        <w:t xml:space="preserve">Market Opportunity: </w:t>
      </w:r>
      <w:r>
        <w:t>No existing tool pairs realistic market dynamics with transparent causal reasoning and literature-grounded mentorship in a safe, friction-aware training environment. MarketSense addresses this gap with a neuro-symbolic approach that separates deterministic financial computation from explainable natural language reasoning.</w:t>
      </w:r>
    </w:p>
    <w:p w14:paraId="5C257233" w14:textId="77777777" w:rsidR="00776B9D" w:rsidRDefault="00000000">
      <w:pPr>
        <w:pStyle w:val="Heading1"/>
      </w:pPr>
      <w:r>
        <w:t>3. Project Scope</w:t>
      </w:r>
    </w:p>
    <w:p w14:paraId="239AE8AB" w14:textId="77777777" w:rsidR="00776B9D" w:rsidRDefault="00000000">
      <w:pPr>
        <w:pStyle w:val="Heading2"/>
      </w:pPr>
      <w:r>
        <w:t>3.1 Scope Definition</w:t>
      </w:r>
    </w:p>
    <w:p w14:paraId="08DCAF4F" w14:textId="77777777" w:rsidR="00776B9D" w:rsidRDefault="00000000">
      <w:pPr>
        <w:pStyle w:val="ListBullet"/>
        <w:spacing w:after="40"/>
      </w:pPr>
      <w:r>
        <w:rPr>
          <w:b/>
        </w:rPr>
        <w:t xml:space="preserve">Asset Universe: </w:t>
      </w:r>
      <w:r>
        <w:t>Multi-asset framework spanning Large-Cap, Mid-Cap, and Small-Cap Equities (across 6 economic sectors), Sovereign Bonds (short and long duration), Precious Metals (Gold, Silver), Cash Equivalents (SGD Money Market), and Digital Assets (Crypto Benchmark ETF) — totaling 24 tradeable instruments.</w:t>
      </w:r>
    </w:p>
    <w:p w14:paraId="153E0C3E" w14:textId="77777777" w:rsidR="00776B9D" w:rsidRDefault="00000000">
      <w:pPr>
        <w:pStyle w:val="ListBullet"/>
        <w:spacing w:after="40"/>
      </w:pPr>
      <w:r>
        <w:rPr>
          <w:b/>
        </w:rPr>
        <w:t xml:space="preserve">Scenario Engine: </w:t>
      </w:r>
      <w:r>
        <w:t>Dual-type event engine modeling both Forecastable/Seasonal Cycles (allowing pre-event strategic planning) and Sudden Black-Swan Shocks (requiring post-event damage control) — 22 curated scenarios covering monetary policy, geopolitical conflict, climate, fiscal policy, pandemics, and technology disruption.</w:t>
      </w:r>
    </w:p>
    <w:p w14:paraId="08687640" w14:textId="77777777" w:rsidR="00776B9D" w:rsidRDefault="00000000">
      <w:pPr>
        <w:pStyle w:val="ListBullet"/>
        <w:spacing w:after="40"/>
      </w:pPr>
      <w:r>
        <w:rPr>
          <w:b/>
        </w:rPr>
        <w:t xml:space="preserve">Market Archetypes: </w:t>
      </w:r>
      <w:r>
        <w:t>Configurable regional models (Global Reserve Mega-Market, Monsoon/Domestic Consumption Emerging Market, Resource Exporter) enabling geographic sensitivity simulation.</w:t>
      </w:r>
    </w:p>
    <w:p w14:paraId="2A8D32EB" w14:textId="77777777" w:rsidR="00776B9D" w:rsidRDefault="00000000">
      <w:pPr>
        <w:pStyle w:val="Heading2"/>
      </w:pPr>
      <w:r>
        <w:t>3.2 Intelligent Reasoning Focus</w:t>
      </w:r>
    </w:p>
    <w:p w14:paraId="05E727A8" w14:textId="77777777" w:rsidR="00776B9D" w:rsidRDefault="00000000">
      <w:pPr>
        <w:pStyle w:val="ListBullet"/>
        <w:spacing w:after="40"/>
      </w:pPr>
      <w:r>
        <w:t>Causal path extraction and neuro-symbolic explainability — tracing shock propagation from macro events through sector fundamentals to individual asset price movements via a directed knowledge graph.</w:t>
      </w:r>
    </w:p>
    <w:p w14:paraId="0FE91A0C" w14:textId="77777777" w:rsidR="00776B9D" w:rsidRDefault="00000000">
      <w:pPr>
        <w:pStyle w:val="ListBullet"/>
        <w:spacing w:after="40"/>
      </w:pPr>
      <w:r>
        <w:t>Context-aware decision critique using Retrieval-Augmented Generation (RAG) grounded in curated institutional investment literature.</w:t>
      </w:r>
    </w:p>
    <w:p w14:paraId="7C98F2CE" w14:textId="77777777" w:rsidR="00776B9D" w:rsidRDefault="00000000">
      <w:pPr>
        <w:pStyle w:val="ListBullet"/>
        <w:spacing w:after="40"/>
      </w:pPr>
      <w:r>
        <w:t>Counterfactual reasoning ("What-if" analysis) allowing users to simulate alternative allocation choices and compare NAV trajectories.</w:t>
      </w:r>
    </w:p>
    <w:p w14:paraId="12A7CEBC" w14:textId="77777777" w:rsidR="00776B9D" w:rsidRDefault="00000000">
      <w:pPr>
        <w:pStyle w:val="Heading2"/>
      </w:pPr>
      <w:r>
        <w:t>3.3 Scope Boundaries &amp; Constraints</w:t>
      </w:r>
    </w:p>
    <w:p w14:paraId="4AB2CC8D" w14:textId="77777777" w:rsidR="00776B9D" w:rsidRDefault="00000000">
      <w:pPr>
        <w:pStyle w:val="ListBullet"/>
        <w:spacing w:after="40"/>
      </w:pPr>
      <w:r>
        <w:t>No live real-money order routing — pure simulation environment for training purposes.</w:t>
      </w:r>
    </w:p>
    <w:p w14:paraId="485E1749" w14:textId="77777777" w:rsidR="00776B9D" w:rsidRDefault="00000000">
      <w:pPr>
        <w:pStyle w:val="ListBullet"/>
        <w:spacing w:after="40"/>
      </w:pPr>
      <w:r>
        <w:t>No black-box predictive price forecasting — focus is exclusively on cause-and-effect reasoning and portfolio resilience education.</w:t>
      </w:r>
    </w:p>
    <w:p w14:paraId="5CB03218" w14:textId="77777777" w:rsidR="00776B9D" w:rsidRDefault="00000000">
      <w:pPr>
        <w:pStyle w:val="ListBullet"/>
        <w:spacing w:after="40"/>
      </w:pPr>
      <w:r>
        <w:lastRenderedPageBreak/>
        <w:t>Privacy-preserving architecture: fully offline local LLM inference with zero external API dependencies.</w:t>
      </w:r>
    </w:p>
    <w:p w14:paraId="6E7EB61B" w14:textId="77777777" w:rsidR="00776B9D" w:rsidRDefault="00000000">
      <w:pPr>
        <w:pStyle w:val="Heading1"/>
      </w:pPr>
      <w:r>
        <w:t>4. Data Collection &amp; Preparation</w:t>
      </w:r>
    </w:p>
    <w:p w14:paraId="0E1D1F86" w14:textId="77777777" w:rsidR="00776B9D" w:rsidRDefault="00000000">
      <w:pPr>
        <w:pStyle w:val="Heading2"/>
      </w:pPr>
      <w:r>
        <w:t>4.1 Knowledge Sources</w:t>
      </w:r>
    </w:p>
    <w:p w14:paraId="0E4F18F2" w14:textId="77777777" w:rsidR="00776B9D" w:rsidRDefault="00000000">
      <w:pPr>
        <w:pStyle w:val="ListBullet"/>
        <w:spacing w:after="40"/>
      </w:pPr>
      <w:r>
        <w:rPr>
          <w:b/>
        </w:rPr>
        <w:t xml:space="preserve">Foundational Literature: </w:t>
      </w:r>
      <w:r>
        <w:t>Curated principles from seminal investment literature: Benjamin Graham (The Intelligent Investor), Ray Dalio (Principles for Navigating Big Debt Crises, How the Economic Machine Works), Howard Marks (The Most Important Thing, Mastering the Market Cycle), Peter Lynch (One Up On Wall Street), and Nassim Taleb (The Black Swan, Antifragile).</w:t>
      </w:r>
    </w:p>
    <w:p w14:paraId="0B7CB769" w14:textId="77777777" w:rsidR="00776B9D" w:rsidRDefault="00000000">
      <w:pPr>
        <w:pStyle w:val="ListBullet"/>
        <w:spacing w:after="40"/>
      </w:pPr>
      <w:r>
        <w:rPr>
          <w:b/>
        </w:rPr>
        <w:t xml:space="preserve">Macroeconomic Precedents: </w:t>
      </w:r>
      <w:r>
        <w:t>Empirical crisis case studies including the 1973 Oil Embargo, 1997 Asian Financial Crisis, 2000 Tech Bubble, 2008 Global Financial Crisis, 2020 COVID-19 Pandemic, and 2022-23 rate hike cycle.</w:t>
      </w:r>
    </w:p>
    <w:p w14:paraId="4A94F329" w14:textId="77777777" w:rsidR="00776B9D" w:rsidRDefault="00000000">
      <w:pPr>
        <w:pStyle w:val="ListBullet"/>
        <w:spacing w:after="40"/>
      </w:pPr>
      <w:r>
        <w:rPr>
          <w:b/>
        </w:rPr>
        <w:t xml:space="preserve">Policy Blueprints: </w:t>
      </w:r>
      <w:r>
        <w:t>Standard structural transmission channels for tariffs, monetary tightening, fiscal interventions, and seasonal climate impacts.</w:t>
      </w:r>
    </w:p>
    <w:p w14:paraId="4F4158B1" w14:textId="77777777" w:rsidR="00776B9D" w:rsidRDefault="00000000">
      <w:pPr>
        <w:pStyle w:val="Heading2"/>
      </w:pPr>
      <w:r>
        <w:t>4.2 Preparation Pipeline</w:t>
      </w:r>
    </w:p>
    <w:p w14:paraId="18F44E41" w14:textId="77777777" w:rsidR="00776B9D" w:rsidRDefault="00000000">
      <w:pPr>
        <w:pStyle w:val="ListBullet"/>
        <w:spacing w:after="40"/>
      </w:pPr>
      <w:r>
        <w:rPr>
          <w:b/>
        </w:rPr>
        <w:t xml:space="preserve">Semantic Chunking: </w:t>
      </w:r>
      <w:r>
        <w:t>Deconstructing literature into concept-based axioms rather than arbitrary page blocks, preserving semantic coherence.</w:t>
      </w:r>
    </w:p>
    <w:p w14:paraId="6F6ABFD2" w14:textId="77777777" w:rsidR="00776B9D" w:rsidRDefault="00000000">
      <w:pPr>
        <w:pStyle w:val="ListBullet"/>
        <w:spacing w:after="40"/>
      </w:pPr>
      <w:r>
        <w:rPr>
          <w:b/>
        </w:rPr>
        <w:t xml:space="preserve">Metadata Annotation: </w:t>
      </w:r>
      <w:r>
        <w:t>Tagging chunks by market cycle phase, asset class sensitivity, economic regime, and geographic applicability.</w:t>
      </w:r>
    </w:p>
    <w:p w14:paraId="6D4DBB92" w14:textId="77777777" w:rsidR="00776B9D" w:rsidRDefault="00000000">
      <w:pPr>
        <w:pStyle w:val="ListBullet"/>
        <w:spacing w:after="40"/>
      </w:pPr>
      <w:r>
        <w:rPr>
          <w:b/>
        </w:rPr>
        <w:t xml:space="preserve">Knowledge Graph Schema: </w:t>
      </w:r>
      <w:r>
        <w:t>Modeling entities (Central Banks, Interest Rates, Inflation, Commodity Prices, Sectors) and directed, weighted causal relationships for the knowledge graph schema.</w:t>
      </w:r>
    </w:p>
    <w:p w14:paraId="5A21B99D" w14:textId="77777777" w:rsidR="00776B9D" w:rsidRDefault="00000000">
      <w:pPr>
        <w:pStyle w:val="Heading1"/>
      </w:pPr>
      <w:r>
        <w:t>5. System Design</w:t>
      </w:r>
    </w:p>
    <w:p w14:paraId="5ADA9353" w14:textId="77777777" w:rsidR="00776B9D" w:rsidRDefault="00000000">
      <w:pPr>
        <w:pStyle w:val="Heading2"/>
      </w:pPr>
      <w:r>
        <w:t>5.1 High-Level Architecture</w:t>
      </w:r>
    </w:p>
    <w:p w14:paraId="0E52C873" w14:textId="77777777" w:rsidR="00776B9D" w:rsidRDefault="00000000">
      <w:r>
        <w:t>MarketSense employs a layered architecture that strictly separates numerical computation from natural language reasoning, ensuring mathematical correctness while enabling rich, explainable advisory output.</w:t>
      </w:r>
    </w:p>
    <w:tbl>
      <w:tblPr>
        <w:tblStyle w:val="TableGrid"/>
        <w:tblW w:w="0" w:type="auto"/>
        <w:jc w:val="center"/>
        <w:tblLook w:val="04A0" w:firstRow="1" w:lastRow="0" w:firstColumn="1" w:lastColumn="0" w:noHBand="0" w:noVBand="1"/>
      </w:tblPr>
      <w:tblGrid>
        <w:gridCol w:w="1728"/>
        <w:gridCol w:w="2160"/>
        <w:gridCol w:w="1872"/>
        <w:gridCol w:w="3888"/>
      </w:tblGrid>
      <w:tr w:rsidR="00776B9D" w14:paraId="299305BE" w14:textId="77777777">
        <w:trPr>
          <w:jc w:val="center"/>
        </w:trPr>
        <w:tc>
          <w:tcPr>
            <w:tcW w:w="1728" w:type="dxa"/>
            <w:shd w:val="clear" w:color="auto" w:fill="1A3A5F"/>
          </w:tcPr>
          <w:p w14:paraId="18E08978" w14:textId="77777777" w:rsidR="00776B9D" w:rsidRDefault="00000000">
            <w:pPr>
              <w:spacing w:after="40"/>
            </w:pPr>
            <w:r>
              <w:rPr>
                <w:b/>
                <w:color w:val="FFFFFF"/>
                <w:sz w:val="19"/>
              </w:rPr>
              <w:t>Layer</w:t>
            </w:r>
          </w:p>
        </w:tc>
        <w:tc>
          <w:tcPr>
            <w:tcW w:w="2160" w:type="dxa"/>
            <w:shd w:val="clear" w:color="auto" w:fill="1A3A5F"/>
          </w:tcPr>
          <w:p w14:paraId="79068214" w14:textId="77777777" w:rsidR="00776B9D" w:rsidRDefault="00000000">
            <w:pPr>
              <w:spacing w:after="40"/>
            </w:pPr>
            <w:r>
              <w:rPr>
                <w:b/>
                <w:color w:val="FFFFFF"/>
                <w:sz w:val="19"/>
              </w:rPr>
              <w:t>Component</w:t>
            </w:r>
          </w:p>
        </w:tc>
        <w:tc>
          <w:tcPr>
            <w:tcW w:w="1872" w:type="dxa"/>
            <w:shd w:val="clear" w:color="auto" w:fill="1A3A5F"/>
          </w:tcPr>
          <w:p w14:paraId="09B93008" w14:textId="77777777" w:rsidR="00776B9D" w:rsidRDefault="00000000">
            <w:pPr>
              <w:spacing w:after="40"/>
            </w:pPr>
            <w:r>
              <w:rPr>
                <w:b/>
                <w:color w:val="FFFFFF"/>
                <w:sz w:val="19"/>
              </w:rPr>
              <w:t>Technology</w:t>
            </w:r>
          </w:p>
        </w:tc>
        <w:tc>
          <w:tcPr>
            <w:tcW w:w="3888" w:type="dxa"/>
            <w:shd w:val="clear" w:color="auto" w:fill="1A3A5F"/>
          </w:tcPr>
          <w:p w14:paraId="207452A3" w14:textId="77777777" w:rsidR="00776B9D" w:rsidRDefault="00000000">
            <w:pPr>
              <w:spacing w:after="40"/>
            </w:pPr>
            <w:r>
              <w:rPr>
                <w:b/>
                <w:color w:val="FFFFFF"/>
                <w:sz w:val="19"/>
              </w:rPr>
              <w:t>Responsibility</w:t>
            </w:r>
          </w:p>
        </w:tc>
      </w:tr>
      <w:tr w:rsidR="00776B9D" w14:paraId="4C3BA718" w14:textId="77777777">
        <w:trPr>
          <w:jc w:val="center"/>
        </w:trPr>
        <w:tc>
          <w:tcPr>
            <w:tcW w:w="1728" w:type="dxa"/>
            <w:shd w:val="clear" w:color="auto" w:fill="F0F4F8"/>
          </w:tcPr>
          <w:p w14:paraId="08500B4A" w14:textId="77777777" w:rsidR="00776B9D" w:rsidRDefault="00000000">
            <w:pPr>
              <w:spacing w:after="40"/>
            </w:pPr>
            <w:r>
              <w:rPr>
                <w:sz w:val="19"/>
              </w:rPr>
              <w:t>Interaction &amp;</w:t>
            </w:r>
            <w:r>
              <w:rPr>
                <w:sz w:val="19"/>
              </w:rPr>
              <w:br/>
              <w:t>Interface</w:t>
            </w:r>
          </w:p>
        </w:tc>
        <w:tc>
          <w:tcPr>
            <w:tcW w:w="2160" w:type="dxa"/>
            <w:shd w:val="clear" w:color="auto" w:fill="F0F4F8"/>
          </w:tcPr>
          <w:p w14:paraId="01CDD161" w14:textId="77777777" w:rsidR="00776B9D" w:rsidRDefault="00000000">
            <w:pPr>
              <w:spacing w:after="40"/>
            </w:pPr>
            <w:r>
              <w:rPr>
                <w:sz w:val="19"/>
              </w:rPr>
              <w:t>Streamlit Dashboard</w:t>
            </w:r>
          </w:p>
        </w:tc>
        <w:tc>
          <w:tcPr>
            <w:tcW w:w="1872" w:type="dxa"/>
            <w:shd w:val="clear" w:color="auto" w:fill="F0F4F8"/>
          </w:tcPr>
          <w:p w14:paraId="4FE63241" w14:textId="77777777" w:rsidR="00776B9D" w:rsidRDefault="00000000">
            <w:pPr>
              <w:spacing w:after="40"/>
            </w:pPr>
            <w:r>
              <w:rPr>
                <w:sz w:val="19"/>
              </w:rPr>
              <w:t>Streamlit, Plotly,</w:t>
            </w:r>
            <w:r>
              <w:rPr>
                <w:sz w:val="19"/>
              </w:rPr>
              <w:br/>
              <w:t>Pandas</w:t>
            </w:r>
          </w:p>
        </w:tc>
        <w:tc>
          <w:tcPr>
            <w:tcW w:w="3888" w:type="dxa"/>
            <w:shd w:val="clear" w:color="auto" w:fill="F0F4F8"/>
          </w:tcPr>
          <w:p w14:paraId="4D22D469" w14:textId="77777777" w:rsidR="00776B9D" w:rsidRDefault="00000000">
            <w:pPr>
              <w:spacing w:after="40"/>
            </w:pPr>
            <w:r>
              <w:rPr>
                <w:sz w:val="19"/>
              </w:rPr>
              <w:t>Portfolio analytics, benchmark</w:t>
            </w:r>
            <w:r>
              <w:rPr>
                <w:sz w:val="19"/>
              </w:rPr>
              <w:br/>
              <w:t>charts, event cards, trading desk</w:t>
            </w:r>
          </w:p>
        </w:tc>
      </w:tr>
      <w:tr w:rsidR="00776B9D" w14:paraId="58CE4FED" w14:textId="77777777">
        <w:trPr>
          <w:jc w:val="center"/>
        </w:trPr>
        <w:tc>
          <w:tcPr>
            <w:tcW w:w="1728" w:type="dxa"/>
            <w:shd w:val="clear" w:color="auto" w:fill="FFFFFF"/>
          </w:tcPr>
          <w:p w14:paraId="27863397" w14:textId="77777777" w:rsidR="00776B9D" w:rsidRDefault="00000000">
            <w:pPr>
              <w:spacing w:after="40"/>
            </w:pPr>
            <w:r>
              <w:rPr>
                <w:sz w:val="19"/>
              </w:rPr>
              <w:t>Market Dynamics</w:t>
            </w:r>
            <w:r>
              <w:rPr>
                <w:sz w:val="19"/>
              </w:rPr>
              <w:br/>
              <w:t>Engine</w:t>
            </w:r>
          </w:p>
        </w:tc>
        <w:tc>
          <w:tcPr>
            <w:tcW w:w="2160" w:type="dxa"/>
            <w:shd w:val="clear" w:color="auto" w:fill="FFFFFF"/>
          </w:tcPr>
          <w:p w14:paraId="6275E299" w14:textId="77777777" w:rsidR="00776B9D" w:rsidRDefault="00000000">
            <w:pPr>
              <w:spacing w:after="40"/>
            </w:pPr>
            <w:r>
              <w:rPr>
                <w:sz w:val="19"/>
              </w:rPr>
              <w:t>Deterministic Pricing</w:t>
            </w:r>
            <w:r>
              <w:rPr>
                <w:sz w:val="19"/>
              </w:rPr>
              <w:br/>
              <w:t>Engine</w:t>
            </w:r>
          </w:p>
        </w:tc>
        <w:tc>
          <w:tcPr>
            <w:tcW w:w="1872" w:type="dxa"/>
            <w:shd w:val="clear" w:color="auto" w:fill="FFFFFF"/>
          </w:tcPr>
          <w:p w14:paraId="5F82F101" w14:textId="77777777" w:rsidR="00776B9D" w:rsidRDefault="00000000">
            <w:pPr>
              <w:spacing w:after="40"/>
            </w:pPr>
            <w:r>
              <w:rPr>
                <w:sz w:val="19"/>
              </w:rPr>
              <w:t>Pure Python</w:t>
            </w:r>
            <w:r>
              <w:rPr>
                <w:sz w:val="19"/>
              </w:rPr>
              <w:br/>
              <w:t>(engine/ package)</w:t>
            </w:r>
          </w:p>
        </w:tc>
        <w:tc>
          <w:tcPr>
            <w:tcW w:w="3888" w:type="dxa"/>
            <w:shd w:val="clear" w:color="auto" w:fill="FFFFFF"/>
          </w:tcPr>
          <w:p w14:paraId="3D64A302" w14:textId="77777777" w:rsidR="00776B9D" w:rsidRDefault="00000000">
            <w:pPr>
              <w:spacing w:after="40"/>
            </w:pPr>
            <w:r>
              <w:rPr>
                <w:sz w:val="19"/>
              </w:rPr>
              <w:t>Formulaic asset valuation using</w:t>
            </w:r>
            <w:r>
              <w:rPr>
                <w:sz w:val="19"/>
              </w:rPr>
              <w:br/>
              <w:t>Beta, Debt, Cash Resilience factors</w:t>
            </w:r>
          </w:p>
        </w:tc>
      </w:tr>
      <w:tr w:rsidR="00776B9D" w14:paraId="003FE92A" w14:textId="77777777">
        <w:trPr>
          <w:jc w:val="center"/>
        </w:trPr>
        <w:tc>
          <w:tcPr>
            <w:tcW w:w="1728" w:type="dxa"/>
            <w:shd w:val="clear" w:color="auto" w:fill="F0F4F8"/>
          </w:tcPr>
          <w:p w14:paraId="7DDD2CE2" w14:textId="77777777" w:rsidR="00776B9D" w:rsidRDefault="00000000">
            <w:pPr>
              <w:spacing w:after="40"/>
            </w:pPr>
            <w:r>
              <w:rPr>
                <w:sz w:val="19"/>
              </w:rPr>
              <w:t>Behavioral</w:t>
            </w:r>
            <w:r>
              <w:rPr>
                <w:sz w:val="19"/>
              </w:rPr>
              <w:br/>
              <w:t>Accounting</w:t>
            </w:r>
          </w:p>
        </w:tc>
        <w:tc>
          <w:tcPr>
            <w:tcW w:w="2160" w:type="dxa"/>
            <w:shd w:val="clear" w:color="auto" w:fill="F0F4F8"/>
          </w:tcPr>
          <w:p w14:paraId="290FC89F" w14:textId="77777777" w:rsidR="00776B9D" w:rsidRDefault="00000000">
            <w:pPr>
              <w:spacing w:after="40"/>
            </w:pPr>
            <w:r>
              <w:rPr>
                <w:sz w:val="19"/>
              </w:rPr>
              <w:t>Friction &amp; Tax</w:t>
            </w:r>
            <w:r>
              <w:rPr>
                <w:sz w:val="19"/>
              </w:rPr>
              <w:br/>
              <w:t>Calculator</w:t>
            </w:r>
          </w:p>
        </w:tc>
        <w:tc>
          <w:tcPr>
            <w:tcW w:w="1872" w:type="dxa"/>
            <w:shd w:val="clear" w:color="auto" w:fill="F0F4F8"/>
          </w:tcPr>
          <w:p w14:paraId="5D90529A" w14:textId="77777777" w:rsidR="00776B9D" w:rsidRDefault="00000000">
            <w:pPr>
              <w:spacing w:after="40"/>
            </w:pPr>
            <w:r>
              <w:rPr>
                <w:sz w:val="19"/>
              </w:rPr>
              <w:t>Pure Python</w:t>
            </w:r>
          </w:p>
        </w:tc>
        <w:tc>
          <w:tcPr>
            <w:tcW w:w="3888" w:type="dxa"/>
            <w:shd w:val="clear" w:color="auto" w:fill="F0F4F8"/>
          </w:tcPr>
          <w:p w14:paraId="04BDCBCB" w14:textId="77777777" w:rsidR="00776B9D" w:rsidRDefault="00000000">
            <w:pPr>
              <w:spacing w:after="40"/>
            </w:pPr>
            <w:r>
              <w:rPr>
                <w:sz w:val="19"/>
              </w:rPr>
              <w:t>STCG/LTCG taxes, brokerage fees,</w:t>
            </w:r>
            <w:r>
              <w:rPr>
                <w:sz w:val="19"/>
              </w:rPr>
              <w:br/>
              <w:t>holding period tracking, mentor tips</w:t>
            </w:r>
          </w:p>
        </w:tc>
      </w:tr>
      <w:tr w:rsidR="00776B9D" w14:paraId="0293DEF1" w14:textId="77777777">
        <w:trPr>
          <w:jc w:val="center"/>
        </w:trPr>
        <w:tc>
          <w:tcPr>
            <w:tcW w:w="1728" w:type="dxa"/>
            <w:shd w:val="clear" w:color="auto" w:fill="FFFFFF"/>
          </w:tcPr>
          <w:p w14:paraId="2EE0AF80" w14:textId="77777777" w:rsidR="00776B9D" w:rsidRDefault="00000000">
            <w:pPr>
              <w:spacing w:after="40"/>
            </w:pPr>
            <w:r>
              <w:rPr>
                <w:sz w:val="19"/>
              </w:rPr>
              <w:t>Neuro-Symbolic</w:t>
            </w:r>
            <w:r>
              <w:rPr>
                <w:sz w:val="19"/>
              </w:rPr>
              <w:br/>
              <w:t>Reasoning Core</w:t>
            </w:r>
          </w:p>
        </w:tc>
        <w:tc>
          <w:tcPr>
            <w:tcW w:w="2160" w:type="dxa"/>
            <w:shd w:val="clear" w:color="auto" w:fill="FFFFFF"/>
          </w:tcPr>
          <w:p w14:paraId="7CB980AA" w14:textId="77777777" w:rsidR="00776B9D" w:rsidRDefault="00000000">
            <w:pPr>
              <w:spacing w:after="40"/>
            </w:pPr>
            <w:r>
              <w:rPr>
                <w:sz w:val="19"/>
              </w:rPr>
              <w:t>Causal Knowledge</w:t>
            </w:r>
            <w:r>
              <w:rPr>
                <w:sz w:val="19"/>
              </w:rPr>
              <w:br/>
              <w:t>Graph</w:t>
            </w:r>
          </w:p>
        </w:tc>
        <w:tc>
          <w:tcPr>
            <w:tcW w:w="1872" w:type="dxa"/>
            <w:shd w:val="clear" w:color="auto" w:fill="FFFFFF"/>
          </w:tcPr>
          <w:p w14:paraId="7389E6B3" w14:textId="77777777" w:rsidR="00776B9D" w:rsidRDefault="00000000">
            <w:pPr>
              <w:spacing w:after="40"/>
            </w:pPr>
            <w:r>
              <w:rPr>
                <w:sz w:val="19"/>
              </w:rPr>
              <w:t>NetworkX</w:t>
            </w:r>
          </w:p>
        </w:tc>
        <w:tc>
          <w:tcPr>
            <w:tcW w:w="3888" w:type="dxa"/>
            <w:shd w:val="clear" w:color="auto" w:fill="FFFFFF"/>
          </w:tcPr>
          <w:p w14:paraId="0C64656E" w14:textId="77777777" w:rsidR="00776B9D" w:rsidRDefault="00000000">
            <w:pPr>
              <w:spacing w:after="40"/>
            </w:pPr>
            <w:r>
              <w:rPr>
                <w:sz w:val="19"/>
              </w:rPr>
              <w:t>Explicit directed graph mapping</w:t>
            </w:r>
            <w:r>
              <w:rPr>
                <w:sz w:val="19"/>
              </w:rPr>
              <w:br/>
              <w:t>shock propagation paths (~40 nodes)</w:t>
            </w:r>
          </w:p>
        </w:tc>
      </w:tr>
      <w:tr w:rsidR="00776B9D" w14:paraId="6BA8BEFF" w14:textId="77777777">
        <w:trPr>
          <w:jc w:val="center"/>
        </w:trPr>
        <w:tc>
          <w:tcPr>
            <w:tcW w:w="1728" w:type="dxa"/>
            <w:shd w:val="clear" w:color="auto" w:fill="F0F4F8"/>
          </w:tcPr>
          <w:p w14:paraId="7DDC7CF1" w14:textId="77777777" w:rsidR="00776B9D" w:rsidRDefault="00776B9D">
            <w:pPr>
              <w:spacing w:after="40"/>
            </w:pPr>
          </w:p>
        </w:tc>
        <w:tc>
          <w:tcPr>
            <w:tcW w:w="2160" w:type="dxa"/>
            <w:shd w:val="clear" w:color="auto" w:fill="F0F4F8"/>
          </w:tcPr>
          <w:p w14:paraId="0EB22F01" w14:textId="77777777" w:rsidR="00776B9D" w:rsidRDefault="00000000">
            <w:pPr>
              <w:spacing w:after="40"/>
            </w:pPr>
            <w:r>
              <w:rPr>
                <w:sz w:val="19"/>
              </w:rPr>
              <w:t>Contextual RAG &amp;</w:t>
            </w:r>
            <w:r>
              <w:rPr>
                <w:sz w:val="19"/>
              </w:rPr>
              <w:br/>
              <w:t>Local LLM</w:t>
            </w:r>
          </w:p>
        </w:tc>
        <w:tc>
          <w:tcPr>
            <w:tcW w:w="1872" w:type="dxa"/>
            <w:shd w:val="clear" w:color="auto" w:fill="F0F4F8"/>
          </w:tcPr>
          <w:p w14:paraId="64C1F0BC" w14:textId="77777777" w:rsidR="00776B9D" w:rsidRDefault="00000000">
            <w:pPr>
              <w:spacing w:after="40"/>
            </w:pPr>
            <w:r>
              <w:rPr>
                <w:sz w:val="19"/>
              </w:rPr>
              <w:t>Ollama + ChromaDB</w:t>
            </w:r>
          </w:p>
        </w:tc>
        <w:tc>
          <w:tcPr>
            <w:tcW w:w="3888" w:type="dxa"/>
            <w:shd w:val="clear" w:color="auto" w:fill="F0F4F8"/>
          </w:tcPr>
          <w:p w14:paraId="7F3D3F0D" w14:textId="77777777" w:rsidR="00776B9D" w:rsidRDefault="00000000">
            <w:pPr>
              <w:spacing w:after="40"/>
            </w:pPr>
            <w:r>
              <w:rPr>
                <w:sz w:val="19"/>
              </w:rPr>
              <w:t>Offline Socratic debriefs, counter-</w:t>
            </w:r>
            <w:r>
              <w:rPr>
                <w:sz w:val="19"/>
              </w:rPr>
              <w:br/>
              <w:t>factual reasoning, cited literature</w:t>
            </w:r>
          </w:p>
        </w:tc>
      </w:tr>
    </w:tbl>
    <w:p w14:paraId="43B41E6B" w14:textId="77777777" w:rsidR="00776B9D" w:rsidRDefault="00000000">
      <w:pPr>
        <w:pStyle w:val="Heading2"/>
      </w:pPr>
      <w:r>
        <w:t>5.2 Deterministic Pricing Engine</w:t>
      </w:r>
    </w:p>
    <w:p w14:paraId="6FFFCA5B" w14:textId="77777777" w:rsidR="00776B9D" w:rsidRDefault="00000000">
      <w:r>
        <w:t>The pricing engine is the mathematical core that guarantees numerical correctness. The LLM is strictly prohibited from computing prices — it only provides narrative explanation after prices are computed deterministically.</w:t>
      </w:r>
    </w:p>
    <w:p w14:paraId="4302FCF2" w14:textId="77777777" w:rsidR="00776B9D" w:rsidRDefault="00000000">
      <w:r>
        <w:rPr>
          <w:b/>
          <w:sz w:val="20"/>
        </w:rPr>
        <w:t>For equities, the price change formula is:</w:t>
      </w:r>
    </w:p>
    <w:p w14:paraId="64AE9B5D" w14:textId="77777777" w:rsidR="00776B9D" w:rsidRDefault="00000000">
      <w:pPr>
        <w:spacing w:before="80"/>
        <w:jc w:val="center"/>
      </w:pPr>
      <w:r>
        <w:rPr>
          <w:i/>
          <w:color w:val="1A3A5F"/>
        </w:rPr>
        <w:lastRenderedPageBreak/>
        <w:t>ΔP = β × SectorImpact × CapMultiplier × (1 + DebtPenalty – CashBuffer) + Noise</w:t>
      </w:r>
    </w:p>
    <w:p w14:paraId="198B3B9E" w14:textId="77777777" w:rsidR="00776B9D" w:rsidRDefault="00000000">
      <w:r>
        <w:rPr>
          <w:sz w:val="20"/>
        </w:rPr>
        <w:t>Where:</w:t>
      </w:r>
    </w:p>
    <w:p w14:paraId="0D7AE768" w14:textId="77777777" w:rsidR="00776B9D" w:rsidRDefault="00000000">
      <w:pPr>
        <w:pStyle w:val="ListBullet"/>
        <w:spacing w:after="40"/>
      </w:pPr>
      <w:r>
        <w:t>β (Beta): Asset-specific systematic risk coefficient (range: 0.0 for cash to 2.2 for crypto)</w:t>
      </w:r>
    </w:p>
    <w:p w14:paraId="3F0C2D70" w14:textId="77777777" w:rsidR="00776B9D" w:rsidRDefault="00000000">
      <w:pPr>
        <w:pStyle w:val="ListBullet"/>
        <w:spacing w:after="40"/>
      </w:pPr>
      <w:r>
        <w:t>SectorImpact: Event-specific signed percentage shift per sector (authored in crisis cards)</w:t>
      </w:r>
    </w:p>
    <w:p w14:paraId="5138056B" w14:textId="77777777" w:rsidR="00776B9D" w:rsidRDefault="00000000">
      <w:pPr>
        <w:pStyle w:val="ListBullet"/>
        <w:spacing w:after="40"/>
      </w:pPr>
      <w:r>
        <w:t>CapMultiplier: Large=1.00x, Mid=1.15x, Small=1.35x (smaller caps amplify volatility)</w:t>
      </w:r>
    </w:p>
    <w:p w14:paraId="6D34AAA4" w14:textId="77777777" w:rsidR="00776B9D" w:rsidRDefault="00000000">
      <w:pPr>
        <w:pStyle w:val="ListBullet"/>
        <w:spacing w:after="40"/>
      </w:pPr>
      <w:r>
        <w:t>DebtPenalty: Activates when debt_ratio &gt; 0.40, amplifying downturns by 35% of excess leverage</w:t>
      </w:r>
    </w:p>
    <w:p w14:paraId="18834E71" w14:textId="77777777" w:rsidR="00776B9D" w:rsidRDefault="00000000">
      <w:pPr>
        <w:pStyle w:val="ListBullet"/>
        <w:spacing w:after="40"/>
      </w:pPr>
      <w:r>
        <w:t>CashBuffer: cash_resilience x 0.20, cushioning drawdowns for cash-rich firms</w:t>
      </w:r>
    </w:p>
    <w:p w14:paraId="0064F815" w14:textId="77777777" w:rsidR="00776B9D" w:rsidRDefault="00000000">
      <w:pPr>
        <w:pStyle w:val="ListBullet"/>
        <w:spacing w:after="40"/>
      </w:pPr>
      <w:r>
        <w:t>Noise: Microscopic stochastic perturbation (±0.5%) for replay variety; deterministic with seed</w:t>
      </w:r>
    </w:p>
    <w:p w14:paraId="3C8DE57E" w14:textId="77777777" w:rsidR="00776B9D" w:rsidRDefault="00000000">
      <w:r>
        <w:rPr>
          <w:sz w:val="20"/>
        </w:rPr>
        <w:t>Safety bounds: maximum single-quarter decline capped at -85%; price floor at $0.01; Cash MMF principal is unconditionally protected (never declines).</w:t>
      </w:r>
    </w:p>
    <w:p w14:paraId="2AA9DE87" w14:textId="77777777" w:rsidR="00776B9D" w:rsidRDefault="00000000">
      <w:pPr>
        <w:pStyle w:val="Heading2"/>
      </w:pPr>
      <w:r>
        <w:t>5.3 Dual-Event Mechanics</w:t>
      </w:r>
    </w:p>
    <w:p w14:paraId="51CABB68" w14:textId="77777777" w:rsidR="00776B9D" w:rsidRDefault="00000000">
      <w:r>
        <w:t>The event system models two fundamentally different learning experiences, each requiring distinct cognitive skills from the trainee:</w:t>
      </w:r>
    </w:p>
    <w:tbl>
      <w:tblPr>
        <w:tblStyle w:val="TableGrid"/>
        <w:tblW w:w="0" w:type="auto"/>
        <w:jc w:val="center"/>
        <w:tblLook w:val="04A0" w:firstRow="1" w:lastRow="0" w:firstColumn="1" w:lastColumn="0" w:noHBand="0" w:noVBand="1"/>
      </w:tblPr>
      <w:tblGrid>
        <w:gridCol w:w="1872"/>
        <w:gridCol w:w="3888"/>
        <w:gridCol w:w="3888"/>
      </w:tblGrid>
      <w:tr w:rsidR="00776B9D" w14:paraId="23ADB2CA" w14:textId="77777777">
        <w:trPr>
          <w:jc w:val="center"/>
        </w:trPr>
        <w:tc>
          <w:tcPr>
            <w:tcW w:w="1872" w:type="dxa"/>
            <w:shd w:val="clear" w:color="auto" w:fill="1A3A5F"/>
          </w:tcPr>
          <w:p w14:paraId="698460DE" w14:textId="77777777" w:rsidR="00776B9D" w:rsidRDefault="00000000">
            <w:pPr>
              <w:spacing w:after="40"/>
            </w:pPr>
            <w:r>
              <w:rPr>
                <w:b/>
                <w:color w:val="FFFFFF"/>
                <w:sz w:val="19"/>
              </w:rPr>
              <w:t>Aspect</w:t>
            </w:r>
          </w:p>
        </w:tc>
        <w:tc>
          <w:tcPr>
            <w:tcW w:w="3888" w:type="dxa"/>
            <w:shd w:val="clear" w:color="auto" w:fill="1A3A5F"/>
          </w:tcPr>
          <w:p w14:paraId="1685078E" w14:textId="77777777" w:rsidR="00776B9D" w:rsidRDefault="00000000">
            <w:pPr>
              <w:spacing w:after="40"/>
            </w:pPr>
            <w:r>
              <w:rPr>
                <w:b/>
                <w:color w:val="FFFFFF"/>
                <w:sz w:val="19"/>
              </w:rPr>
              <w:t>Seasonal / Forecastable</w:t>
            </w:r>
          </w:p>
        </w:tc>
        <w:tc>
          <w:tcPr>
            <w:tcW w:w="3888" w:type="dxa"/>
            <w:shd w:val="clear" w:color="auto" w:fill="1A3A5F"/>
          </w:tcPr>
          <w:p w14:paraId="087FA370" w14:textId="77777777" w:rsidR="00776B9D" w:rsidRDefault="00000000">
            <w:pPr>
              <w:spacing w:after="40"/>
            </w:pPr>
            <w:r>
              <w:rPr>
                <w:b/>
                <w:color w:val="FFFFFF"/>
                <w:sz w:val="19"/>
              </w:rPr>
              <w:t>Sudden / Black Swan</w:t>
            </w:r>
          </w:p>
        </w:tc>
      </w:tr>
      <w:tr w:rsidR="00776B9D" w14:paraId="6D554537" w14:textId="77777777">
        <w:trPr>
          <w:jc w:val="center"/>
        </w:trPr>
        <w:tc>
          <w:tcPr>
            <w:tcW w:w="1872" w:type="dxa"/>
            <w:shd w:val="clear" w:color="auto" w:fill="F0F4F8"/>
          </w:tcPr>
          <w:p w14:paraId="59B0C493" w14:textId="77777777" w:rsidR="00776B9D" w:rsidRDefault="00000000">
            <w:pPr>
              <w:spacing w:after="40"/>
            </w:pPr>
            <w:r>
              <w:rPr>
                <w:sz w:val="19"/>
              </w:rPr>
              <w:t>Timing</w:t>
            </w:r>
          </w:p>
        </w:tc>
        <w:tc>
          <w:tcPr>
            <w:tcW w:w="3888" w:type="dxa"/>
            <w:shd w:val="clear" w:color="auto" w:fill="F0F4F8"/>
          </w:tcPr>
          <w:p w14:paraId="6D722965" w14:textId="77777777" w:rsidR="00776B9D" w:rsidRDefault="00000000">
            <w:pPr>
              <w:spacing w:after="40"/>
            </w:pPr>
            <w:r>
              <w:rPr>
                <w:sz w:val="19"/>
              </w:rPr>
              <w:t>User sees event before market moves</w:t>
            </w:r>
          </w:p>
        </w:tc>
        <w:tc>
          <w:tcPr>
            <w:tcW w:w="3888" w:type="dxa"/>
            <w:shd w:val="clear" w:color="auto" w:fill="F0F4F8"/>
          </w:tcPr>
          <w:p w14:paraId="4FAAFA68" w14:textId="77777777" w:rsidR="00776B9D" w:rsidRDefault="00000000">
            <w:pPr>
              <w:spacing w:after="40"/>
            </w:pPr>
            <w:r>
              <w:rPr>
                <w:sz w:val="19"/>
              </w:rPr>
              <w:t>User sees event after market moved</w:t>
            </w:r>
          </w:p>
        </w:tc>
      </w:tr>
      <w:tr w:rsidR="00776B9D" w14:paraId="366DEFDF" w14:textId="77777777">
        <w:trPr>
          <w:jc w:val="center"/>
        </w:trPr>
        <w:tc>
          <w:tcPr>
            <w:tcW w:w="1872" w:type="dxa"/>
            <w:shd w:val="clear" w:color="auto" w:fill="FFFFFF"/>
          </w:tcPr>
          <w:p w14:paraId="7B4D3C39" w14:textId="77777777" w:rsidR="00776B9D" w:rsidRDefault="00000000">
            <w:pPr>
              <w:spacing w:after="40"/>
            </w:pPr>
            <w:r>
              <w:rPr>
                <w:sz w:val="19"/>
              </w:rPr>
              <w:t>User Action</w:t>
            </w:r>
          </w:p>
        </w:tc>
        <w:tc>
          <w:tcPr>
            <w:tcW w:w="3888" w:type="dxa"/>
            <w:shd w:val="clear" w:color="auto" w:fill="FFFFFF"/>
          </w:tcPr>
          <w:p w14:paraId="5D0C509D" w14:textId="77777777" w:rsidR="00776B9D" w:rsidRDefault="00000000">
            <w:pPr>
              <w:spacing w:after="40"/>
            </w:pPr>
            <w:r>
              <w:rPr>
                <w:sz w:val="19"/>
              </w:rPr>
              <w:t>Rebalance proactively (anticipate)</w:t>
            </w:r>
          </w:p>
        </w:tc>
        <w:tc>
          <w:tcPr>
            <w:tcW w:w="3888" w:type="dxa"/>
            <w:shd w:val="clear" w:color="auto" w:fill="FFFFFF"/>
          </w:tcPr>
          <w:p w14:paraId="3C7D8541" w14:textId="77777777" w:rsidR="00776B9D" w:rsidRDefault="00000000">
            <w:pPr>
              <w:spacing w:after="40"/>
            </w:pPr>
            <w:r>
              <w:rPr>
                <w:sz w:val="19"/>
              </w:rPr>
              <w:t>React to damage (recover)</w:t>
            </w:r>
          </w:p>
        </w:tc>
      </w:tr>
      <w:tr w:rsidR="00776B9D" w14:paraId="01490AF0" w14:textId="77777777">
        <w:trPr>
          <w:jc w:val="center"/>
        </w:trPr>
        <w:tc>
          <w:tcPr>
            <w:tcW w:w="1872" w:type="dxa"/>
            <w:shd w:val="clear" w:color="auto" w:fill="F0F4F8"/>
          </w:tcPr>
          <w:p w14:paraId="32980F03" w14:textId="77777777" w:rsidR="00776B9D" w:rsidRDefault="00000000">
            <w:pPr>
              <w:spacing w:after="40"/>
            </w:pPr>
            <w:r>
              <w:rPr>
                <w:sz w:val="19"/>
              </w:rPr>
              <w:t>Market Behavior</w:t>
            </w:r>
          </w:p>
        </w:tc>
        <w:tc>
          <w:tcPr>
            <w:tcW w:w="3888" w:type="dxa"/>
            <w:shd w:val="clear" w:color="auto" w:fill="F0F4F8"/>
          </w:tcPr>
          <w:p w14:paraId="0E84A722" w14:textId="77777777" w:rsidR="00776B9D" w:rsidRDefault="00000000">
            <w:pPr>
              <w:spacing w:after="40"/>
            </w:pPr>
            <w:r>
              <w:rPr>
                <w:sz w:val="19"/>
              </w:rPr>
              <w:t>Gradual, partially priced-in</w:t>
            </w:r>
          </w:p>
        </w:tc>
        <w:tc>
          <w:tcPr>
            <w:tcW w:w="3888" w:type="dxa"/>
            <w:shd w:val="clear" w:color="auto" w:fill="F0F4F8"/>
          </w:tcPr>
          <w:p w14:paraId="120C69F1" w14:textId="77777777" w:rsidR="00776B9D" w:rsidRDefault="00000000">
            <w:pPr>
              <w:spacing w:after="40"/>
            </w:pPr>
            <w:r>
              <w:rPr>
                <w:sz w:val="19"/>
              </w:rPr>
              <w:t>Sharp, volatile, panic-driven</w:t>
            </w:r>
          </w:p>
        </w:tc>
      </w:tr>
      <w:tr w:rsidR="00776B9D" w14:paraId="2F447F94" w14:textId="77777777">
        <w:trPr>
          <w:jc w:val="center"/>
        </w:trPr>
        <w:tc>
          <w:tcPr>
            <w:tcW w:w="1872" w:type="dxa"/>
            <w:shd w:val="clear" w:color="auto" w:fill="FFFFFF"/>
          </w:tcPr>
          <w:p w14:paraId="6A353821" w14:textId="77777777" w:rsidR="00776B9D" w:rsidRDefault="00000000">
            <w:pPr>
              <w:spacing w:after="40"/>
            </w:pPr>
            <w:r>
              <w:rPr>
                <w:sz w:val="19"/>
              </w:rPr>
              <w:t>Pedagogical Focus</w:t>
            </w:r>
          </w:p>
        </w:tc>
        <w:tc>
          <w:tcPr>
            <w:tcW w:w="3888" w:type="dxa"/>
            <w:shd w:val="clear" w:color="auto" w:fill="FFFFFF"/>
          </w:tcPr>
          <w:p w14:paraId="16B74ADE" w14:textId="77777777" w:rsidR="00776B9D" w:rsidRDefault="00000000">
            <w:pPr>
              <w:spacing w:after="40"/>
            </w:pPr>
            <w:r>
              <w:rPr>
                <w:sz w:val="19"/>
              </w:rPr>
              <w:t>Planning and preparation</w:t>
            </w:r>
          </w:p>
        </w:tc>
        <w:tc>
          <w:tcPr>
            <w:tcW w:w="3888" w:type="dxa"/>
            <w:shd w:val="clear" w:color="auto" w:fill="FFFFFF"/>
          </w:tcPr>
          <w:p w14:paraId="10BFF5C7" w14:textId="77777777" w:rsidR="00776B9D" w:rsidRDefault="00000000">
            <w:pPr>
              <w:spacing w:after="40"/>
            </w:pPr>
            <w:r>
              <w:rPr>
                <w:sz w:val="19"/>
              </w:rPr>
              <w:t>Discipline and damage control</w:t>
            </w:r>
          </w:p>
        </w:tc>
      </w:tr>
      <w:tr w:rsidR="00776B9D" w14:paraId="0051B4FB" w14:textId="77777777">
        <w:trPr>
          <w:jc w:val="center"/>
        </w:trPr>
        <w:tc>
          <w:tcPr>
            <w:tcW w:w="1872" w:type="dxa"/>
            <w:shd w:val="clear" w:color="auto" w:fill="F0F4F8"/>
          </w:tcPr>
          <w:p w14:paraId="71DF11A7" w14:textId="77777777" w:rsidR="00776B9D" w:rsidRDefault="00000000">
            <w:pPr>
              <w:spacing w:after="40"/>
            </w:pPr>
            <w:r>
              <w:rPr>
                <w:sz w:val="19"/>
              </w:rPr>
              <w:t>AI Mentor Role</w:t>
            </w:r>
          </w:p>
        </w:tc>
        <w:tc>
          <w:tcPr>
            <w:tcW w:w="3888" w:type="dxa"/>
            <w:shd w:val="clear" w:color="auto" w:fill="F0F4F8"/>
          </w:tcPr>
          <w:p w14:paraId="15B5190D" w14:textId="77777777" w:rsidR="00776B9D" w:rsidRDefault="00000000">
            <w:pPr>
              <w:spacing w:after="40"/>
            </w:pPr>
            <w:r>
              <w:rPr>
                <w:sz w:val="19"/>
              </w:rPr>
              <w:t>Pre-event strategy insight</w:t>
            </w:r>
          </w:p>
        </w:tc>
        <w:tc>
          <w:tcPr>
            <w:tcW w:w="3888" w:type="dxa"/>
            <w:shd w:val="clear" w:color="auto" w:fill="F0F4F8"/>
          </w:tcPr>
          <w:p w14:paraId="5F8EB20E" w14:textId="77777777" w:rsidR="00776B9D" w:rsidRDefault="00000000">
            <w:pPr>
              <w:spacing w:after="40"/>
            </w:pPr>
            <w:r>
              <w:rPr>
                <w:sz w:val="19"/>
              </w:rPr>
              <w:t>Post-event causal explanation</w:t>
            </w:r>
          </w:p>
        </w:tc>
      </w:tr>
    </w:tbl>
    <w:p w14:paraId="5998B841" w14:textId="77777777" w:rsidR="00776B9D" w:rsidRDefault="00000000">
      <w:pPr>
        <w:pStyle w:val="Heading2"/>
      </w:pPr>
      <w:r>
        <w:t>5.4 Neuro-Symbolic Reasoning Justification</w:t>
      </w:r>
    </w:p>
    <w:p w14:paraId="52E182DC" w14:textId="77777777" w:rsidR="00776B9D" w:rsidRDefault="00000000">
      <w:r>
        <w:t>The choice of a neuro-symbolic architecture over pure approaches is grounded in the following analysis:</w:t>
      </w:r>
    </w:p>
    <w:tbl>
      <w:tblPr>
        <w:tblStyle w:val="TableGrid"/>
        <w:tblW w:w="0" w:type="auto"/>
        <w:jc w:val="center"/>
        <w:tblLook w:val="04A0" w:firstRow="1" w:lastRow="0" w:firstColumn="1" w:lastColumn="0" w:noHBand="0" w:noVBand="1"/>
      </w:tblPr>
      <w:tblGrid>
        <w:gridCol w:w="2016"/>
        <w:gridCol w:w="2016"/>
        <w:gridCol w:w="3024"/>
        <w:gridCol w:w="1872"/>
      </w:tblGrid>
      <w:tr w:rsidR="00776B9D" w14:paraId="12D88B2A" w14:textId="77777777">
        <w:trPr>
          <w:jc w:val="center"/>
        </w:trPr>
        <w:tc>
          <w:tcPr>
            <w:tcW w:w="2016" w:type="dxa"/>
            <w:shd w:val="clear" w:color="auto" w:fill="1A3A5F"/>
          </w:tcPr>
          <w:p w14:paraId="306613B4" w14:textId="77777777" w:rsidR="00776B9D" w:rsidRDefault="00000000">
            <w:pPr>
              <w:spacing w:after="40"/>
            </w:pPr>
            <w:r>
              <w:rPr>
                <w:b/>
                <w:color w:val="FFFFFF"/>
                <w:sz w:val="19"/>
              </w:rPr>
              <w:t>Approach</w:t>
            </w:r>
          </w:p>
        </w:tc>
        <w:tc>
          <w:tcPr>
            <w:tcW w:w="2016" w:type="dxa"/>
            <w:shd w:val="clear" w:color="auto" w:fill="1A3A5F"/>
          </w:tcPr>
          <w:p w14:paraId="570EBBCD" w14:textId="77777777" w:rsidR="00776B9D" w:rsidRDefault="00000000">
            <w:pPr>
              <w:spacing w:after="40"/>
            </w:pPr>
            <w:r>
              <w:rPr>
                <w:b/>
                <w:color w:val="FFFFFF"/>
                <w:sz w:val="19"/>
              </w:rPr>
              <w:t>Strength</w:t>
            </w:r>
          </w:p>
        </w:tc>
        <w:tc>
          <w:tcPr>
            <w:tcW w:w="3024" w:type="dxa"/>
            <w:shd w:val="clear" w:color="auto" w:fill="1A3A5F"/>
          </w:tcPr>
          <w:p w14:paraId="6B479863" w14:textId="77777777" w:rsidR="00776B9D" w:rsidRDefault="00000000">
            <w:pPr>
              <w:spacing w:after="40"/>
            </w:pPr>
            <w:r>
              <w:rPr>
                <w:b/>
                <w:color w:val="FFFFFF"/>
                <w:sz w:val="19"/>
              </w:rPr>
              <w:t>Critical Weakness</w:t>
            </w:r>
          </w:p>
        </w:tc>
        <w:tc>
          <w:tcPr>
            <w:tcW w:w="1872" w:type="dxa"/>
            <w:shd w:val="clear" w:color="auto" w:fill="1A3A5F"/>
          </w:tcPr>
          <w:p w14:paraId="34AE03E7" w14:textId="77777777" w:rsidR="00776B9D" w:rsidRDefault="00000000">
            <w:pPr>
              <w:spacing w:after="40"/>
            </w:pPr>
            <w:r>
              <w:rPr>
                <w:b/>
                <w:color w:val="FFFFFF"/>
                <w:sz w:val="19"/>
              </w:rPr>
              <w:t>Verdict</w:t>
            </w:r>
          </w:p>
        </w:tc>
      </w:tr>
      <w:tr w:rsidR="00776B9D" w14:paraId="0F5E0B1A" w14:textId="77777777">
        <w:trPr>
          <w:jc w:val="center"/>
        </w:trPr>
        <w:tc>
          <w:tcPr>
            <w:tcW w:w="2016" w:type="dxa"/>
            <w:shd w:val="clear" w:color="auto" w:fill="F0F4F8"/>
          </w:tcPr>
          <w:p w14:paraId="185F805C" w14:textId="77777777" w:rsidR="00776B9D" w:rsidRDefault="00000000">
            <w:pPr>
              <w:spacing w:after="40"/>
            </w:pPr>
            <w:r>
              <w:rPr>
                <w:sz w:val="19"/>
              </w:rPr>
              <w:t>Pure Neural</w:t>
            </w:r>
            <w:r>
              <w:rPr>
                <w:sz w:val="19"/>
              </w:rPr>
              <w:br/>
              <w:t>Networks</w:t>
            </w:r>
          </w:p>
        </w:tc>
        <w:tc>
          <w:tcPr>
            <w:tcW w:w="2016" w:type="dxa"/>
            <w:shd w:val="clear" w:color="auto" w:fill="F0F4F8"/>
          </w:tcPr>
          <w:p w14:paraId="22CC0272" w14:textId="77777777" w:rsidR="00776B9D" w:rsidRDefault="00000000">
            <w:pPr>
              <w:spacing w:after="40"/>
            </w:pPr>
            <w:r>
              <w:rPr>
                <w:sz w:val="19"/>
              </w:rPr>
              <w:t>Flexible NLU,</w:t>
            </w:r>
            <w:r>
              <w:rPr>
                <w:sz w:val="19"/>
              </w:rPr>
              <w:br/>
              <w:t>context-aware</w:t>
            </w:r>
          </w:p>
        </w:tc>
        <w:tc>
          <w:tcPr>
            <w:tcW w:w="3024" w:type="dxa"/>
            <w:shd w:val="clear" w:color="auto" w:fill="F0F4F8"/>
          </w:tcPr>
          <w:p w14:paraId="07868BA9" w14:textId="77777777" w:rsidR="00776B9D" w:rsidRDefault="00000000">
            <w:pPr>
              <w:spacing w:after="40"/>
            </w:pPr>
            <w:r>
              <w:rPr>
                <w:sz w:val="19"/>
              </w:rPr>
              <w:t>Hallucinate prices, brittle</w:t>
            </w:r>
            <w:r>
              <w:rPr>
                <w:sz w:val="19"/>
              </w:rPr>
              <w:br/>
              <w:t>under unseen shocks,</w:t>
            </w:r>
            <w:r>
              <w:rPr>
                <w:sz w:val="19"/>
              </w:rPr>
              <w:br/>
              <w:t>unexplainable</w:t>
            </w:r>
          </w:p>
        </w:tc>
        <w:tc>
          <w:tcPr>
            <w:tcW w:w="1872" w:type="dxa"/>
            <w:shd w:val="clear" w:color="auto" w:fill="F0F4F8"/>
          </w:tcPr>
          <w:p w14:paraId="4FA8875E" w14:textId="77777777" w:rsidR="00776B9D" w:rsidRDefault="00000000">
            <w:pPr>
              <w:spacing w:after="40"/>
            </w:pPr>
            <w:r>
              <w:rPr>
                <w:sz w:val="19"/>
              </w:rPr>
              <w:t>Insufficient</w:t>
            </w:r>
            <w:r>
              <w:rPr>
                <w:sz w:val="19"/>
              </w:rPr>
              <w:br/>
              <w:t>alone</w:t>
            </w:r>
          </w:p>
        </w:tc>
      </w:tr>
      <w:tr w:rsidR="00776B9D" w14:paraId="3E874E1D" w14:textId="77777777">
        <w:trPr>
          <w:jc w:val="center"/>
        </w:trPr>
        <w:tc>
          <w:tcPr>
            <w:tcW w:w="2016" w:type="dxa"/>
            <w:shd w:val="clear" w:color="auto" w:fill="FFFFFF"/>
          </w:tcPr>
          <w:p w14:paraId="25DC91C7" w14:textId="77777777" w:rsidR="00776B9D" w:rsidRDefault="00000000">
            <w:pPr>
              <w:spacing w:after="40"/>
            </w:pPr>
            <w:r>
              <w:rPr>
                <w:sz w:val="19"/>
              </w:rPr>
              <w:t>Pure Rule-Based</w:t>
            </w:r>
            <w:r>
              <w:rPr>
                <w:sz w:val="19"/>
              </w:rPr>
              <w:br/>
              <w:t>Systems</w:t>
            </w:r>
          </w:p>
        </w:tc>
        <w:tc>
          <w:tcPr>
            <w:tcW w:w="2016" w:type="dxa"/>
            <w:shd w:val="clear" w:color="auto" w:fill="FFFFFF"/>
          </w:tcPr>
          <w:p w14:paraId="19D15503" w14:textId="77777777" w:rsidR="00776B9D" w:rsidRDefault="00000000">
            <w:pPr>
              <w:spacing w:after="40"/>
            </w:pPr>
            <w:r>
              <w:rPr>
                <w:sz w:val="19"/>
              </w:rPr>
              <w:t>Deterministic,</w:t>
            </w:r>
            <w:r>
              <w:rPr>
                <w:sz w:val="19"/>
              </w:rPr>
              <w:br/>
              <w:t>auditable</w:t>
            </w:r>
          </w:p>
        </w:tc>
        <w:tc>
          <w:tcPr>
            <w:tcW w:w="3024" w:type="dxa"/>
            <w:shd w:val="clear" w:color="auto" w:fill="FFFFFF"/>
          </w:tcPr>
          <w:p w14:paraId="0EB72624" w14:textId="77777777" w:rsidR="00776B9D" w:rsidRDefault="00000000">
            <w:pPr>
              <w:spacing w:after="40"/>
            </w:pPr>
            <w:r>
              <w:rPr>
                <w:sz w:val="19"/>
              </w:rPr>
              <w:t>Rigid, cannot handle</w:t>
            </w:r>
            <w:r>
              <w:rPr>
                <w:sz w:val="19"/>
              </w:rPr>
              <w:br/>
              <w:t>nuanced NL or novel</w:t>
            </w:r>
            <w:r>
              <w:rPr>
                <w:sz w:val="19"/>
              </w:rPr>
              <w:br/>
              <w:t>market contexts</w:t>
            </w:r>
          </w:p>
        </w:tc>
        <w:tc>
          <w:tcPr>
            <w:tcW w:w="1872" w:type="dxa"/>
            <w:shd w:val="clear" w:color="auto" w:fill="FFFFFF"/>
          </w:tcPr>
          <w:p w14:paraId="233EE296" w14:textId="77777777" w:rsidR="00776B9D" w:rsidRDefault="00000000">
            <w:pPr>
              <w:spacing w:after="40"/>
            </w:pPr>
            <w:r>
              <w:rPr>
                <w:sz w:val="19"/>
              </w:rPr>
              <w:t>Insufficient</w:t>
            </w:r>
            <w:r>
              <w:rPr>
                <w:sz w:val="19"/>
              </w:rPr>
              <w:br/>
              <w:t>alone</w:t>
            </w:r>
          </w:p>
        </w:tc>
      </w:tr>
      <w:tr w:rsidR="00776B9D" w14:paraId="2CC523EE" w14:textId="77777777">
        <w:trPr>
          <w:jc w:val="center"/>
        </w:trPr>
        <w:tc>
          <w:tcPr>
            <w:tcW w:w="2016" w:type="dxa"/>
            <w:shd w:val="clear" w:color="auto" w:fill="F0F4F8"/>
          </w:tcPr>
          <w:p w14:paraId="67CC7C29" w14:textId="77777777" w:rsidR="00776B9D" w:rsidRDefault="00000000">
            <w:pPr>
              <w:spacing w:after="40"/>
            </w:pPr>
            <w:r>
              <w:rPr>
                <w:sz w:val="19"/>
              </w:rPr>
              <w:t>Neuro-Symbolic</w:t>
            </w:r>
            <w:r>
              <w:rPr>
                <w:sz w:val="19"/>
              </w:rPr>
              <w:br/>
              <w:t>(Our Approach)</w:t>
            </w:r>
          </w:p>
        </w:tc>
        <w:tc>
          <w:tcPr>
            <w:tcW w:w="2016" w:type="dxa"/>
            <w:shd w:val="clear" w:color="auto" w:fill="F0F4F8"/>
          </w:tcPr>
          <w:p w14:paraId="2AC411A1" w14:textId="77777777" w:rsidR="00776B9D" w:rsidRDefault="00000000">
            <w:pPr>
              <w:spacing w:after="40"/>
            </w:pPr>
            <w:r>
              <w:rPr>
                <w:sz w:val="19"/>
              </w:rPr>
              <w:t>Best of both:</w:t>
            </w:r>
            <w:r>
              <w:rPr>
                <w:sz w:val="19"/>
              </w:rPr>
              <w:br/>
              <w:t>math + language</w:t>
            </w:r>
          </w:p>
        </w:tc>
        <w:tc>
          <w:tcPr>
            <w:tcW w:w="3024" w:type="dxa"/>
            <w:shd w:val="clear" w:color="auto" w:fill="F0F4F8"/>
          </w:tcPr>
          <w:p w14:paraId="3EE51412" w14:textId="77777777" w:rsidR="00776B9D" w:rsidRDefault="00000000">
            <w:pPr>
              <w:spacing w:after="40"/>
            </w:pPr>
            <w:r>
              <w:rPr>
                <w:sz w:val="19"/>
              </w:rPr>
              <w:t>Higher integration</w:t>
            </w:r>
            <w:r>
              <w:rPr>
                <w:sz w:val="19"/>
              </w:rPr>
              <w:br/>
              <w:t>complexity</w:t>
            </w:r>
          </w:p>
        </w:tc>
        <w:tc>
          <w:tcPr>
            <w:tcW w:w="1872" w:type="dxa"/>
            <w:shd w:val="clear" w:color="auto" w:fill="F0F4F8"/>
          </w:tcPr>
          <w:p w14:paraId="753FD46C" w14:textId="77777777" w:rsidR="00776B9D" w:rsidRDefault="00000000">
            <w:pPr>
              <w:spacing w:after="40"/>
            </w:pPr>
            <w:r>
              <w:rPr>
                <w:sz w:val="19"/>
              </w:rPr>
              <w:t>Selected:</w:t>
            </w:r>
            <w:r>
              <w:rPr>
                <w:sz w:val="19"/>
              </w:rPr>
              <w:br/>
              <w:t>correctness +</w:t>
            </w:r>
            <w:r>
              <w:rPr>
                <w:sz w:val="19"/>
              </w:rPr>
              <w:br/>
              <w:t>explainability</w:t>
            </w:r>
          </w:p>
        </w:tc>
      </w:tr>
    </w:tbl>
    <w:p w14:paraId="22001C22" w14:textId="77777777" w:rsidR="00776B9D" w:rsidRDefault="00000000">
      <w:pPr>
        <w:spacing w:before="120"/>
      </w:pPr>
      <w:r>
        <w:t>The symbolic layer (pricing engine + knowledge graph) guarantees numerical correctness and structural causality, while the neural layer (local LLM + RAG) provides contextual natural language understanding, Socratic pedagogy, and literature-grounded advisory — with every statement traceable to a cited source.</w:t>
      </w:r>
    </w:p>
    <w:p w14:paraId="79440071" w14:textId="77777777" w:rsidR="00776B9D" w:rsidRDefault="00000000">
      <w:pPr>
        <w:pStyle w:val="Heading2"/>
      </w:pPr>
      <w:r>
        <w:t>5.5 Benchmarking &amp; Performance Evaluation</w:t>
      </w:r>
    </w:p>
    <w:p w14:paraId="40D1E2D1" w14:textId="77777777" w:rsidR="00776B9D" w:rsidRDefault="00000000">
      <w:r>
        <w:t>The user's active portfolio runs in parallel against three institutional passive benchmark strategies, enabling direct alpha measurement:</w:t>
      </w:r>
    </w:p>
    <w:tbl>
      <w:tblPr>
        <w:tblStyle w:val="TableGrid"/>
        <w:tblW w:w="0" w:type="auto"/>
        <w:jc w:val="center"/>
        <w:tblLook w:val="04A0" w:firstRow="1" w:lastRow="0" w:firstColumn="1" w:lastColumn="0" w:noHBand="0" w:noVBand="1"/>
      </w:tblPr>
      <w:tblGrid>
        <w:gridCol w:w="2448"/>
        <w:gridCol w:w="4032"/>
        <w:gridCol w:w="3168"/>
      </w:tblGrid>
      <w:tr w:rsidR="00776B9D" w14:paraId="5A9C72CA" w14:textId="77777777">
        <w:trPr>
          <w:jc w:val="center"/>
        </w:trPr>
        <w:tc>
          <w:tcPr>
            <w:tcW w:w="2448" w:type="dxa"/>
            <w:shd w:val="clear" w:color="auto" w:fill="1A3A5F"/>
          </w:tcPr>
          <w:p w14:paraId="4EF737D4" w14:textId="77777777" w:rsidR="00776B9D" w:rsidRDefault="00000000">
            <w:pPr>
              <w:spacing w:after="40"/>
            </w:pPr>
            <w:r>
              <w:rPr>
                <w:b/>
                <w:color w:val="FFFFFF"/>
                <w:sz w:val="19"/>
              </w:rPr>
              <w:t>Benchmark</w:t>
            </w:r>
          </w:p>
        </w:tc>
        <w:tc>
          <w:tcPr>
            <w:tcW w:w="4032" w:type="dxa"/>
            <w:shd w:val="clear" w:color="auto" w:fill="1A3A5F"/>
          </w:tcPr>
          <w:p w14:paraId="7D2599ED" w14:textId="77777777" w:rsidR="00776B9D" w:rsidRDefault="00000000">
            <w:pPr>
              <w:spacing w:after="40"/>
            </w:pPr>
            <w:r>
              <w:rPr>
                <w:b/>
                <w:color w:val="FFFFFF"/>
                <w:sz w:val="19"/>
              </w:rPr>
              <w:t>Allocation</w:t>
            </w:r>
          </w:p>
        </w:tc>
        <w:tc>
          <w:tcPr>
            <w:tcW w:w="3168" w:type="dxa"/>
            <w:shd w:val="clear" w:color="auto" w:fill="1A3A5F"/>
          </w:tcPr>
          <w:p w14:paraId="268F181A" w14:textId="77777777" w:rsidR="00776B9D" w:rsidRDefault="00000000">
            <w:pPr>
              <w:spacing w:after="40"/>
            </w:pPr>
            <w:r>
              <w:rPr>
                <w:b/>
                <w:color w:val="FFFFFF"/>
                <w:sz w:val="19"/>
              </w:rPr>
              <w:t>Teaching Purpose</w:t>
            </w:r>
          </w:p>
        </w:tc>
      </w:tr>
      <w:tr w:rsidR="00776B9D" w14:paraId="65FD9627" w14:textId="77777777">
        <w:trPr>
          <w:jc w:val="center"/>
        </w:trPr>
        <w:tc>
          <w:tcPr>
            <w:tcW w:w="2448" w:type="dxa"/>
            <w:shd w:val="clear" w:color="auto" w:fill="F0F4F8"/>
          </w:tcPr>
          <w:p w14:paraId="3EEC84F4" w14:textId="77777777" w:rsidR="00776B9D" w:rsidRDefault="00000000">
            <w:pPr>
              <w:spacing w:after="40"/>
            </w:pPr>
            <w:r>
              <w:rPr>
                <w:sz w:val="19"/>
              </w:rPr>
              <w:t>100% Pure Equity Index</w:t>
            </w:r>
          </w:p>
        </w:tc>
        <w:tc>
          <w:tcPr>
            <w:tcW w:w="4032" w:type="dxa"/>
            <w:shd w:val="clear" w:color="auto" w:fill="F0F4F8"/>
          </w:tcPr>
          <w:p w14:paraId="12B548C1" w14:textId="77777777" w:rsidR="00776B9D" w:rsidRDefault="00000000">
            <w:pPr>
              <w:spacing w:after="40"/>
            </w:pPr>
            <w:r>
              <w:rPr>
                <w:sz w:val="19"/>
              </w:rPr>
              <w:t>Average of all equity returns</w:t>
            </w:r>
          </w:p>
        </w:tc>
        <w:tc>
          <w:tcPr>
            <w:tcW w:w="3168" w:type="dxa"/>
            <w:shd w:val="clear" w:color="auto" w:fill="F0F4F8"/>
          </w:tcPr>
          <w:p w14:paraId="4FB4CBDC" w14:textId="77777777" w:rsidR="00776B9D" w:rsidRDefault="00000000">
            <w:pPr>
              <w:spacing w:after="40"/>
            </w:pPr>
            <w:r>
              <w:rPr>
                <w:sz w:val="19"/>
              </w:rPr>
              <w:t>Raw market risk vs. reward</w:t>
            </w:r>
          </w:p>
        </w:tc>
      </w:tr>
      <w:tr w:rsidR="00776B9D" w14:paraId="08B28578" w14:textId="77777777">
        <w:trPr>
          <w:jc w:val="center"/>
        </w:trPr>
        <w:tc>
          <w:tcPr>
            <w:tcW w:w="2448" w:type="dxa"/>
            <w:shd w:val="clear" w:color="auto" w:fill="FFFFFF"/>
          </w:tcPr>
          <w:p w14:paraId="4C765133" w14:textId="77777777" w:rsidR="00776B9D" w:rsidRDefault="00000000">
            <w:pPr>
              <w:spacing w:after="40"/>
            </w:pPr>
            <w:r>
              <w:rPr>
                <w:sz w:val="19"/>
              </w:rPr>
              <w:t>Classic 60/40</w:t>
            </w:r>
          </w:p>
        </w:tc>
        <w:tc>
          <w:tcPr>
            <w:tcW w:w="4032" w:type="dxa"/>
            <w:shd w:val="clear" w:color="auto" w:fill="FFFFFF"/>
          </w:tcPr>
          <w:p w14:paraId="7215F51B" w14:textId="77777777" w:rsidR="00776B9D" w:rsidRDefault="00000000">
            <w:pPr>
              <w:spacing w:after="40"/>
            </w:pPr>
            <w:r>
              <w:rPr>
                <w:sz w:val="19"/>
              </w:rPr>
              <w:t>60% Equity + 20% T-Bills + 20% Long Bonds</w:t>
            </w:r>
          </w:p>
        </w:tc>
        <w:tc>
          <w:tcPr>
            <w:tcW w:w="3168" w:type="dxa"/>
            <w:shd w:val="clear" w:color="auto" w:fill="FFFFFF"/>
          </w:tcPr>
          <w:p w14:paraId="4F68F602" w14:textId="77777777" w:rsidR="00776B9D" w:rsidRDefault="00000000">
            <w:pPr>
              <w:spacing w:after="40"/>
            </w:pPr>
            <w:r>
              <w:rPr>
                <w:sz w:val="19"/>
              </w:rPr>
              <w:t>Traditional diversification benefit</w:t>
            </w:r>
          </w:p>
        </w:tc>
      </w:tr>
      <w:tr w:rsidR="00776B9D" w14:paraId="4F92F881" w14:textId="77777777">
        <w:trPr>
          <w:jc w:val="center"/>
        </w:trPr>
        <w:tc>
          <w:tcPr>
            <w:tcW w:w="2448" w:type="dxa"/>
            <w:shd w:val="clear" w:color="auto" w:fill="F0F4F8"/>
          </w:tcPr>
          <w:p w14:paraId="43B6FECC" w14:textId="77777777" w:rsidR="00776B9D" w:rsidRDefault="00000000">
            <w:pPr>
              <w:spacing w:after="40"/>
            </w:pPr>
            <w:r>
              <w:rPr>
                <w:sz w:val="19"/>
              </w:rPr>
              <w:lastRenderedPageBreak/>
              <w:t>Dalio All-Weather</w:t>
            </w:r>
            <w:r>
              <w:rPr>
                <w:sz w:val="19"/>
              </w:rPr>
              <w:br/>
              <w:t>(Risk Parity)</w:t>
            </w:r>
          </w:p>
        </w:tc>
        <w:tc>
          <w:tcPr>
            <w:tcW w:w="4032" w:type="dxa"/>
            <w:shd w:val="clear" w:color="auto" w:fill="F0F4F8"/>
          </w:tcPr>
          <w:p w14:paraId="5E59A668" w14:textId="77777777" w:rsidR="00776B9D" w:rsidRDefault="00000000">
            <w:pPr>
              <w:spacing w:after="40"/>
            </w:pPr>
            <w:r>
              <w:rPr>
                <w:sz w:val="19"/>
              </w:rPr>
              <w:t>30% Equity + 40% Long Bonds + 15% T-Bills</w:t>
            </w:r>
            <w:r>
              <w:rPr>
                <w:sz w:val="19"/>
              </w:rPr>
              <w:br/>
              <w:t>+ 7.5% Gold + 7.5% Commodities</w:t>
            </w:r>
          </w:p>
        </w:tc>
        <w:tc>
          <w:tcPr>
            <w:tcW w:w="3168" w:type="dxa"/>
            <w:shd w:val="clear" w:color="auto" w:fill="F0F4F8"/>
          </w:tcPr>
          <w:p w14:paraId="3051DCDE" w14:textId="77777777" w:rsidR="00776B9D" w:rsidRDefault="00000000">
            <w:pPr>
              <w:spacing w:after="40"/>
            </w:pPr>
            <w:r>
              <w:rPr>
                <w:sz w:val="19"/>
              </w:rPr>
              <w:t>All-weather resilience across</w:t>
            </w:r>
            <w:r>
              <w:rPr>
                <w:sz w:val="19"/>
              </w:rPr>
              <w:br/>
              <w:t>economic regimes</w:t>
            </w:r>
          </w:p>
        </w:tc>
      </w:tr>
    </w:tbl>
    <w:p w14:paraId="54544E1F" w14:textId="77777777" w:rsidR="00776B9D" w:rsidRDefault="00000000">
      <w:pPr>
        <w:pStyle w:val="Heading1"/>
      </w:pPr>
      <w:r>
        <w:t>6. Implementation Overview</w:t>
      </w:r>
    </w:p>
    <w:p w14:paraId="4145CC42" w14:textId="77777777" w:rsidR="00776B9D" w:rsidRDefault="00000000">
      <w:r>
        <w:t>The system is implemented as a modular Python application with a Streamlit web frontend. The codebase is organized into a clean separation of concerns:</w:t>
      </w:r>
    </w:p>
    <w:tbl>
      <w:tblPr>
        <w:tblStyle w:val="TableGrid"/>
        <w:tblW w:w="0" w:type="auto"/>
        <w:jc w:val="center"/>
        <w:tblLook w:val="04A0" w:firstRow="1" w:lastRow="0" w:firstColumn="1" w:lastColumn="0" w:noHBand="0" w:noVBand="1"/>
      </w:tblPr>
      <w:tblGrid>
        <w:gridCol w:w="2160"/>
        <w:gridCol w:w="2592"/>
        <w:gridCol w:w="4896"/>
      </w:tblGrid>
      <w:tr w:rsidR="00776B9D" w14:paraId="15317963" w14:textId="77777777">
        <w:trPr>
          <w:jc w:val="center"/>
        </w:trPr>
        <w:tc>
          <w:tcPr>
            <w:tcW w:w="2160" w:type="dxa"/>
            <w:shd w:val="clear" w:color="auto" w:fill="1A3A5F"/>
          </w:tcPr>
          <w:p w14:paraId="2DB9E761" w14:textId="77777777" w:rsidR="00776B9D" w:rsidRDefault="00000000">
            <w:pPr>
              <w:spacing w:after="40"/>
            </w:pPr>
            <w:r>
              <w:rPr>
                <w:b/>
                <w:color w:val="FFFFFF"/>
                <w:sz w:val="19"/>
              </w:rPr>
              <w:t>Module</w:t>
            </w:r>
          </w:p>
        </w:tc>
        <w:tc>
          <w:tcPr>
            <w:tcW w:w="2592" w:type="dxa"/>
            <w:shd w:val="clear" w:color="auto" w:fill="1A3A5F"/>
          </w:tcPr>
          <w:p w14:paraId="4FEE4130" w14:textId="77777777" w:rsidR="00776B9D" w:rsidRDefault="00000000">
            <w:pPr>
              <w:spacing w:after="40"/>
            </w:pPr>
            <w:r>
              <w:rPr>
                <w:b/>
                <w:color w:val="FFFFFF"/>
                <w:sz w:val="19"/>
              </w:rPr>
              <w:t>File</w:t>
            </w:r>
          </w:p>
        </w:tc>
        <w:tc>
          <w:tcPr>
            <w:tcW w:w="4896" w:type="dxa"/>
            <w:shd w:val="clear" w:color="auto" w:fill="1A3A5F"/>
          </w:tcPr>
          <w:p w14:paraId="0247BD30" w14:textId="77777777" w:rsidR="00776B9D" w:rsidRDefault="00000000">
            <w:pPr>
              <w:spacing w:after="40"/>
            </w:pPr>
            <w:r>
              <w:rPr>
                <w:b/>
                <w:color w:val="FFFFFF"/>
                <w:sz w:val="19"/>
              </w:rPr>
              <w:t>Responsibility</w:t>
            </w:r>
          </w:p>
        </w:tc>
      </w:tr>
      <w:tr w:rsidR="00776B9D" w14:paraId="266CCA24" w14:textId="77777777">
        <w:trPr>
          <w:jc w:val="center"/>
        </w:trPr>
        <w:tc>
          <w:tcPr>
            <w:tcW w:w="2160" w:type="dxa"/>
            <w:shd w:val="clear" w:color="auto" w:fill="F0F4F8"/>
          </w:tcPr>
          <w:p w14:paraId="260A7F1F" w14:textId="77777777" w:rsidR="00776B9D" w:rsidRDefault="00000000">
            <w:pPr>
              <w:spacing w:after="40"/>
            </w:pPr>
            <w:r>
              <w:rPr>
                <w:sz w:val="19"/>
              </w:rPr>
              <w:t>Streamlit Entry Point</w:t>
            </w:r>
          </w:p>
        </w:tc>
        <w:tc>
          <w:tcPr>
            <w:tcW w:w="2592" w:type="dxa"/>
            <w:shd w:val="clear" w:color="auto" w:fill="F0F4F8"/>
          </w:tcPr>
          <w:p w14:paraId="7BBB7C8F" w14:textId="77777777" w:rsidR="00776B9D" w:rsidRDefault="00000000">
            <w:pPr>
              <w:spacing w:after="40"/>
            </w:pPr>
            <w:r>
              <w:rPr>
                <w:sz w:val="19"/>
              </w:rPr>
              <w:t>app.py</w:t>
            </w:r>
          </w:p>
        </w:tc>
        <w:tc>
          <w:tcPr>
            <w:tcW w:w="4896" w:type="dxa"/>
            <w:shd w:val="clear" w:color="auto" w:fill="F0F4F8"/>
          </w:tcPr>
          <w:p w14:paraId="62A671E8" w14:textId="77777777" w:rsidR="00776B9D" w:rsidRDefault="00000000">
            <w:pPr>
              <w:spacing w:after="40"/>
            </w:pPr>
            <w:r>
              <w:rPr>
                <w:sz w:val="19"/>
              </w:rPr>
              <w:t>Dashboard UI: portfolio metrics, event cards, charts, trading desk</w:t>
            </w:r>
          </w:p>
        </w:tc>
      </w:tr>
      <w:tr w:rsidR="00776B9D" w14:paraId="4B61C6C5" w14:textId="77777777">
        <w:trPr>
          <w:jc w:val="center"/>
        </w:trPr>
        <w:tc>
          <w:tcPr>
            <w:tcW w:w="2160" w:type="dxa"/>
            <w:shd w:val="clear" w:color="auto" w:fill="FFFFFF"/>
          </w:tcPr>
          <w:p w14:paraId="3693A065" w14:textId="77777777" w:rsidR="00776B9D" w:rsidRDefault="00000000">
            <w:pPr>
              <w:spacing w:after="40"/>
            </w:pPr>
            <w:r>
              <w:rPr>
                <w:sz w:val="19"/>
              </w:rPr>
              <w:t>Pricing Engine</w:t>
            </w:r>
          </w:p>
        </w:tc>
        <w:tc>
          <w:tcPr>
            <w:tcW w:w="2592" w:type="dxa"/>
            <w:shd w:val="clear" w:color="auto" w:fill="FFFFFF"/>
          </w:tcPr>
          <w:p w14:paraId="587D09F2" w14:textId="77777777" w:rsidR="00776B9D" w:rsidRDefault="00000000">
            <w:pPr>
              <w:spacing w:after="40"/>
            </w:pPr>
            <w:r>
              <w:rPr>
                <w:sz w:val="19"/>
              </w:rPr>
              <w:t>engine/pricing.py</w:t>
            </w:r>
          </w:p>
        </w:tc>
        <w:tc>
          <w:tcPr>
            <w:tcW w:w="4896" w:type="dxa"/>
            <w:shd w:val="clear" w:color="auto" w:fill="FFFFFF"/>
          </w:tcPr>
          <w:p w14:paraId="4FF37F26" w14:textId="77777777" w:rsidR="00776B9D" w:rsidRDefault="00000000">
            <w:pPr>
              <w:spacing w:after="40"/>
            </w:pPr>
            <w:r>
              <w:rPr>
                <w:sz w:val="19"/>
              </w:rPr>
              <w:t>Deterministic price computation with Beta/Debt/Cash formula</w:t>
            </w:r>
          </w:p>
        </w:tc>
      </w:tr>
      <w:tr w:rsidR="00776B9D" w14:paraId="6DC736AF" w14:textId="77777777">
        <w:trPr>
          <w:jc w:val="center"/>
        </w:trPr>
        <w:tc>
          <w:tcPr>
            <w:tcW w:w="2160" w:type="dxa"/>
            <w:shd w:val="clear" w:color="auto" w:fill="F0F4F8"/>
          </w:tcPr>
          <w:p w14:paraId="011357F9" w14:textId="77777777" w:rsidR="00776B9D" w:rsidRDefault="00000000">
            <w:pPr>
              <w:spacing w:after="40"/>
            </w:pPr>
            <w:r>
              <w:rPr>
                <w:sz w:val="19"/>
              </w:rPr>
              <w:t>Portfolio Manager</w:t>
            </w:r>
          </w:p>
        </w:tc>
        <w:tc>
          <w:tcPr>
            <w:tcW w:w="2592" w:type="dxa"/>
            <w:shd w:val="clear" w:color="auto" w:fill="F0F4F8"/>
          </w:tcPr>
          <w:p w14:paraId="5E22AE37" w14:textId="77777777" w:rsidR="00776B9D" w:rsidRDefault="00000000">
            <w:pPr>
              <w:spacing w:after="40"/>
            </w:pPr>
            <w:r>
              <w:rPr>
                <w:sz w:val="19"/>
              </w:rPr>
              <w:t>engine/portfolio.py</w:t>
            </w:r>
          </w:p>
        </w:tc>
        <w:tc>
          <w:tcPr>
            <w:tcW w:w="4896" w:type="dxa"/>
            <w:shd w:val="clear" w:color="auto" w:fill="F0F4F8"/>
          </w:tcPr>
          <w:p w14:paraId="73826E1D" w14:textId="77777777" w:rsidR="00776B9D" w:rsidRDefault="00000000">
            <w:pPr>
              <w:spacing w:after="40"/>
            </w:pPr>
            <w:r>
              <w:rPr>
                <w:sz w:val="19"/>
              </w:rPr>
              <w:t>Holdings, NAV tracking, buy/sell, dividends, holding periods</w:t>
            </w:r>
          </w:p>
        </w:tc>
      </w:tr>
      <w:tr w:rsidR="00776B9D" w14:paraId="040A9EDA" w14:textId="77777777">
        <w:trPr>
          <w:jc w:val="center"/>
        </w:trPr>
        <w:tc>
          <w:tcPr>
            <w:tcW w:w="2160" w:type="dxa"/>
            <w:shd w:val="clear" w:color="auto" w:fill="FFFFFF"/>
          </w:tcPr>
          <w:p w14:paraId="0E89C400" w14:textId="77777777" w:rsidR="00776B9D" w:rsidRDefault="00000000">
            <w:pPr>
              <w:spacing w:after="40"/>
            </w:pPr>
            <w:r>
              <w:rPr>
                <w:sz w:val="19"/>
              </w:rPr>
              <w:t>Friction Calculator</w:t>
            </w:r>
          </w:p>
        </w:tc>
        <w:tc>
          <w:tcPr>
            <w:tcW w:w="2592" w:type="dxa"/>
            <w:shd w:val="clear" w:color="auto" w:fill="FFFFFF"/>
          </w:tcPr>
          <w:p w14:paraId="5630E12E" w14:textId="77777777" w:rsidR="00776B9D" w:rsidRDefault="00000000">
            <w:pPr>
              <w:spacing w:after="40"/>
            </w:pPr>
            <w:r>
              <w:rPr>
                <w:sz w:val="19"/>
              </w:rPr>
              <w:t>engine/friction.py</w:t>
            </w:r>
          </w:p>
        </w:tc>
        <w:tc>
          <w:tcPr>
            <w:tcW w:w="4896" w:type="dxa"/>
            <w:shd w:val="clear" w:color="auto" w:fill="FFFFFF"/>
          </w:tcPr>
          <w:p w14:paraId="2C3B8FDB" w14:textId="77777777" w:rsidR="00776B9D" w:rsidRDefault="00000000">
            <w:pPr>
              <w:spacing w:after="40"/>
            </w:pPr>
            <w:r>
              <w:rPr>
                <w:sz w:val="19"/>
              </w:rPr>
              <w:t>STCG/LTCG taxes, brokerage fees, pedagogical mentor tips</w:t>
            </w:r>
          </w:p>
        </w:tc>
      </w:tr>
      <w:tr w:rsidR="00776B9D" w14:paraId="6A3FB62F" w14:textId="77777777">
        <w:trPr>
          <w:jc w:val="center"/>
        </w:trPr>
        <w:tc>
          <w:tcPr>
            <w:tcW w:w="2160" w:type="dxa"/>
            <w:shd w:val="clear" w:color="auto" w:fill="F0F4F8"/>
          </w:tcPr>
          <w:p w14:paraId="267CBFF4" w14:textId="77777777" w:rsidR="00776B9D" w:rsidRDefault="00000000">
            <w:pPr>
              <w:spacing w:after="40"/>
            </w:pPr>
            <w:r>
              <w:rPr>
                <w:sz w:val="19"/>
              </w:rPr>
              <w:t>Benchmark Tracker</w:t>
            </w:r>
          </w:p>
        </w:tc>
        <w:tc>
          <w:tcPr>
            <w:tcW w:w="2592" w:type="dxa"/>
            <w:shd w:val="clear" w:color="auto" w:fill="F0F4F8"/>
          </w:tcPr>
          <w:p w14:paraId="1ADCB44E" w14:textId="77777777" w:rsidR="00776B9D" w:rsidRDefault="00000000">
            <w:pPr>
              <w:spacing w:after="40"/>
            </w:pPr>
            <w:r>
              <w:rPr>
                <w:sz w:val="19"/>
              </w:rPr>
              <w:t>engine/benchmarks.py</w:t>
            </w:r>
          </w:p>
        </w:tc>
        <w:tc>
          <w:tcPr>
            <w:tcW w:w="4896" w:type="dxa"/>
            <w:shd w:val="clear" w:color="auto" w:fill="F0F4F8"/>
          </w:tcPr>
          <w:p w14:paraId="1FFDE4D0" w14:textId="77777777" w:rsidR="00776B9D" w:rsidRDefault="00000000">
            <w:pPr>
              <w:spacing w:after="40"/>
            </w:pPr>
            <w:r>
              <w:rPr>
                <w:sz w:val="19"/>
              </w:rPr>
              <w:t>Three parallel passive benchmark NAV trackers</w:t>
            </w:r>
          </w:p>
        </w:tc>
      </w:tr>
      <w:tr w:rsidR="00776B9D" w14:paraId="6C01D55B" w14:textId="77777777">
        <w:trPr>
          <w:jc w:val="center"/>
        </w:trPr>
        <w:tc>
          <w:tcPr>
            <w:tcW w:w="2160" w:type="dxa"/>
            <w:shd w:val="clear" w:color="auto" w:fill="FFFFFF"/>
          </w:tcPr>
          <w:p w14:paraId="293D12E0" w14:textId="77777777" w:rsidR="00776B9D" w:rsidRDefault="00000000">
            <w:pPr>
              <w:spacing w:after="40"/>
            </w:pPr>
            <w:r>
              <w:rPr>
                <w:sz w:val="19"/>
              </w:rPr>
              <w:t>Asset Data Model</w:t>
            </w:r>
          </w:p>
        </w:tc>
        <w:tc>
          <w:tcPr>
            <w:tcW w:w="2592" w:type="dxa"/>
            <w:shd w:val="clear" w:color="auto" w:fill="FFFFFF"/>
          </w:tcPr>
          <w:p w14:paraId="2709E123" w14:textId="77777777" w:rsidR="00776B9D" w:rsidRDefault="00000000">
            <w:pPr>
              <w:spacing w:after="40"/>
            </w:pPr>
            <w:r>
              <w:rPr>
                <w:sz w:val="19"/>
              </w:rPr>
              <w:t>data/assets.json</w:t>
            </w:r>
          </w:p>
        </w:tc>
        <w:tc>
          <w:tcPr>
            <w:tcW w:w="4896" w:type="dxa"/>
            <w:shd w:val="clear" w:color="auto" w:fill="FFFFFF"/>
          </w:tcPr>
          <w:p w14:paraId="410EB350" w14:textId="77777777" w:rsidR="00776B9D" w:rsidRDefault="00000000">
            <w:pPr>
              <w:spacing w:after="40"/>
            </w:pPr>
            <w:r>
              <w:rPr>
                <w:sz w:val="19"/>
              </w:rPr>
              <w:t>24 instruments with 6 financial parameters each</w:t>
            </w:r>
          </w:p>
        </w:tc>
      </w:tr>
      <w:tr w:rsidR="00776B9D" w14:paraId="72E2815F" w14:textId="77777777">
        <w:trPr>
          <w:jc w:val="center"/>
        </w:trPr>
        <w:tc>
          <w:tcPr>
            <w:tcW w:w="2160" w:type="dxa"/>
            <w:shd w:val="clear" w:color="auto" w:fill="F0F4F8"/>
          </w:tcPr>
          <w:p w14:paraId="1D630756" w14:textId="77777777" w:rsidR="00776B9D" w:rsidRDefault="00000000">
            <w:pPr>
              <w:spacing w:after="40"/>
            </w:pPr>
            <w:r>
              <w:rPr>
                <w:sz w:val="19"/>
              </w:rPr>
              <w:t>Event Library</w:t>
            </w:r>
          </w:p>
        </w:tc>
        <w:tc>
          <w:tcPr>
            <w:tcW w:w="2592" w:type="dxa"/>
            <w:shd w:val="clear" w:color="auto" w:fill="F0F4F8"/>
          </w:tcPr>
          <w:p w14:paraId="7B1D2AB5" w14:textId="77777777" w:rsidR="00776B9D" w:rsidRDefault="00000000">
            <w:pPr>
              <w:spacing w:after="40"/>
            </w:pPr>
            <w:r>
              <w:rPr>
                <w:sz w:val="19"/>
              </w:rPr>
              <w:t>data/crisis_cards.json</w:t>
            </w:r>
          </w:p>
        </w:tc>
        <w:tc>
          <w:tcPr>
            <w:tcW w:w="4896" w:type="dxa"/>
            <w:shd w:val="clear" w:color="auto" w:fill="F0F4F8"/>
          </w:tcPr>
          <w:p w14:paraId="28FC5200" w14:textId="77777777" w:rsidR="00776B9D" w:rsidRDefault="00000000">
            <w:pPr>
              <w:spacing w:after="40"/>
            </w:pPr>
            <w:r>
              <w:rPr>
                <w:sz w:val="19"/>
              </w:rPr>
              <w:t>22 curated events with sector/asset impacts and wisdom quotes</w:t>
            </w:r>
          </w:p>
        </w:tc>
      </w:tr>
    </w:tbl>
    <w:p w14:paraId="7689FC44" w14:textId="77777777" w:rsidR="00776B9D" w:rsidRDefault="00000000">
      <w:pPr>
        <w:spacing w:before="120"/>
      </w:pPr>
      <w:r>
        <w:rPr>
          <w:b/>
        </w:rPr>
        <w:t xml:space="preserve">Technology Stack: </w:t>
      </w:r>
      <w:r>
        <w:t>Python 3.14, Streamlit (frontend), Plotly (charting), Pandas (data processing). Future components: Ollama (local LLM runtime), ChromaDB (vector store for RAG), NetworkX (causal knowledge graph), streamlit-agraph/pyvis (graph visualization).</w:t>
      </w:r>
    </w:p>
    <w:p w14:paraId="269FA621" w14:textId="77777777" w:rsidR="00776B9D" w:rsidRDefault="00000000">
      <w:pPr>
        <w:pStyle w:val="Heading1"/>
      </w:pPr>
      <w:r>
        <w:t>7. Technical Challenges &amp; Mitigations</w:t>
      </w:r>
    </w:p>
    <w:tbl>
      <w:tblPr>
        <w:tblStyle w:val="TableGrid"/>
        <w:tblW w:w="0" w:type="auto"/>
        <w:jc w:val="center"/>
        <w:tblLook w:val="04A0" w:firstRow="1" w:lastRow="0" w:firstColumn="1" w:lastColumn="0" w:noHBand="0" w:noVBand="1"/>
      </w:tblPr>
      <w:tblGrid>
        <w:gridCol w:w="2016"/>
        <w:gridCol w:w="2592"/>
        <w:gridCol w:w="5040"/>
      </w:tblGrid>
      <w:tr w:rsidR="00776B9D" w14:paraId="630B7021" w14:textId="77777777">
        <w:trPr>
          <w:jc w:val="center"/>
        </w:trPr>
        <w:tc>
          <w:tcPr>
            <w:tcW w:w="2016" w:type="dxa"/>
            <w:shd w:val="clear" w:color="auto" w:fill="1A3A5F"/>
          </w:tcPr>
          <w:p w14:paraId="55B50958" w14:textId="77777777" w:rsidR="00776B9D" w:rsidRDefault="00000000">
            <w:pPr>
              <w:spacing w:after="40"/>
            </w:pPr>
            <w:r>
              <w:rPr>
                <w:b/>
                <w:color w:val="FFFFFF"/>
                <w:sz w:val="19"/>
              </w:rPr>
              <w:t>Challenge</w:t>
            </w:r>
          </w:p>
        </w:tc>
        <w:tc>
          <w:tcPr>
            <w:tcW w:w="2592" w:type="dxa"/>
            <w:shd w:val="clear" w:color="auto" w:fill="1A3A5F"/>
          </w:tcPr>
          <w:p w14:paraId="1D344824" w14:textId="77777777" w:rsidR="00776B9D" w:rsidRDefault="00000000">
            <w:pPr>
              <w:spacing w:after="40"/>
            </w:pPr>
            <w:r>
              <w:rPr>
                <w:b/>
                <w:color w:val="FFFFFF"/>
                <w:sz w:val="19"/>
              </w:rPr>
              <w:t>Risk</w:t>
            </w:r>
          </w:p>
        </w:tc>
        <w:tc>
          <w:tcPr>
            <w:tcW w:w="5040" w:type="dxa"/>
            <w:shd w:val="clear" w:color="auto" w:fill="1A3A5F"/>
          </w:tcPr>
          <w:p w14:paraId="79C05861" w14:textId="77777777" w:rsidR="00776B9D" w:rsidRDefault="00000000">
            <w:pPr>
              <w:spacing w:after="40"/>
            </w:pPr>
            <w:r>
              <w:rPr>
                <w:b/>
                <w:color w:val="FFFFFF"/>
                <w:sz w:val="19"/>
              </w:rPr>
              <w:t>Mitigation Strategy</w:t>
            </w:r>
          </w:p>
        </w:tc>
      </w:tr>
      <w:tr w:rsidR="00776B9D" w14:paraId="214B1CB7" w14:textId="77777777">
        <w:trPr>
          <w:jc w:val="center"/>
        </w:trPr>
        <w:tc>
          <w:tcPr>
            <w:tcW w:w="2016" w:type="dxa"/>
            <w:shd w:val="clear" w:color="auto" w:fill="F0F4F8"/>
          </w:tcPr>
          <w:p w14:paraId="48D99B99" w14:textId="77777777" w:rsidR="00776B9D" w:rsidRDefault="00000000">
            <w:pPr>
              <w:spacing w:after="40"/>
            </w:pPr>
            <w:r>
              <w:rPr>
                <w:sz w:val="19"/>
              </w:rPr>
              <w:t>LLM Numerical</w:t>
            </w:r>
            <w:r>
              <w:rPr>
                <w:sz w:val="19"/>
              </w:rPr>
              <w:br/>
              <w:t>Hallucination</w:t>
            </w:r>
          </w:p>
        </w:tc>
        <w:tc>
          <w:tcPr>
            <w:tcW w:w="2592" w:type="dxa"/>
            <w:shd w:val="clear" w:color="auto" w:fill="F0F4F8"/>
          </w:tcPr>
          <w:p w14:paraId="5F330EDA" w14:textId="77777777" w:rsidR="00776B9D" w:rsidRDefault="00000000">
            <w:pPr>
              <w:spacing w:after="40"/>
            </w:pPr>
            <w:r>
              <w:rPr>
                <w:sz w:val="19"/>
              </w:rPr>
              <w:t>AI generates incorrect</w:t>
            </w:r>
            <w:r>
              <w:rPr>
                <w:sz w:val="19"/>
              </w:rPr>
              <w:br/>
              <w:t>or fantasy prices</w:t>
            </w:r>
          </w:p>
        </w:tc>
        <w:tc>
          <w:tcPr>
            <w:tcW w:w="5040" w:type="dxa"/>
            <w:shd w:val="clear" w:color="auto" w:fill="F0F4F8"/>
          </w:tcPr>
          <w:p w14:paraId="44CDABF8" w14:textId="77777777" w:rsidR="00776B9D" w:rsidRDefault="00000000">
            <w:pPr>
              <w:spacing w:after="40"/>
            </w:pPr>
            <w:r>
              <w:rPr>
                <w:sz w:val="19"/>
              </w:rPr>
              <w:t>LLM is strictly decoupled from pricing.</w:t>
            </w:r>
            <w:r>
              <w:rPr>
                <w:sz w:val="19"/>
              </w:rPr>
              <w:br/>
              <w:t>Deterministic engine handles all math.</w:t>
            </w:r>
            <w:r>
              <w:rPr>
                <w:sz w:val="19"/>
              </w:rPr>
              <w:br/>
              <w:t>Mathematical correctness guaranteed by design.</w:t>
            </w:r>
          </w:p>
        </w:tc>
      </w:tr>
      <w:tr w:rsidR="00776B9D" w14:paraId="20F42945" w14:textId="77777777">
        <w:trPr>
          <w:jc w:val="center"/>
        </w:trPr>
        <w:tc>
          <w:tcPr>
            <w:tcW w:w="2016" w:type="dxa"/>
            <w:shd w:val="clear" w:color="auto" w:fill="FFFFFF"/>
          </w:tcPr>
          <w:p w14:paraId="5999673B" w14:textId="77777777" w:rsidR="00776B9D" w:rsidRDefault="00000000">
            <w:pPr>
              <w:spacing w:after="40"/>
            </w:pPr>
            <w:r>
              <w:rPr>
                <w:sz w:val="19"/>
              </w:rPr>
              <w:t>Black-Box</w:t>
            </w:r>
            <w:r>
              <w:rPr>
                <w:sz w:val="19"/>
              </w:rPr>
              <w:br/>
              <w:t>Skepticism</w:t>
            </w:r>
          </w:p>
        </w:tc>
        <w:tc>
          <w:tcPr>
            <w:tcW w:w="2592" w:type="dxa"/>
            <w:shd w:val="clear" w:color="auto" w:fill="FFFFFF"/>
          </w:tcPr>
          <w:p w14:paraId="6D1A1899" w14:textId="77777777" w:rsidR="00776B9D" w:rsidRDefault="00000000">
            <w:pPr>
              <w:spacing w:after="40"/>
            </w:pPr>
            <w:r>
              <w:rPr>
                <w:sz w:val="19"/>
              </w:rPr>
              <w:t>Users distrust AI-generated</w:t>
            </w:r>
            <w:r>
              <w:rPr>
                <w:sz w:val="19"/>
              </w:rPr>
              <w:br/>
              <w:t>investment advice</w:t>
            </w:r>
          </w:p>
        </w:tc>
        <w:tc>
          <w:tcPr>
            <w:tcW w:w="5040" w:type="dxa"/>
            <w:shd w:val="clear" w:color="auto" w:fill="FFFFFF"/>
          </w:tcPr>
          <w:p w14:paraId="1D2EA171" w14:textId="77777777" w:rsidR="00776B9D" w:rsidRDefault="00000000">
            <w:pPr>
              <w:spacing w:after="40"/>
            </w:pPr>
            <w:r>
              <w:rPr>
                <w:sz w:val="19"/>
              </w:rPr>
              <w:t>Every narrative is paired with a visual</w:t>
            </w:r>
            <w:r>
              <w:rPr>
                <w:sz w:val="19"/>
              </w:rPr>
              <w:br/>
              <w:t>causal graph path AND a cited literature</w:t>
            </w:r>
            <w:r>
              <w:rPr>
                <w:sz w:val="19"/>
              </w:rPr>
              <w:br/>
              <w:t>source. 100% audit trail.</w:t>
            </w:r>
          </w:p>
        </w:tc>
      </w:tr>
      <w:tr w:rsidR="00776B9D" w14:paraId="7A5EBAE1" w14:textId="77777777">
        <w:trPr>
          <w:jc w:val="center"/>
        </w:trPr>
        <w:tc>
          <w:tcPr>
            <w:tcW w:w="2016" w:type="dxa"/>
            <w:shd w:val="clear" w:color="auto" w:fill="F0F4F8"/>
          </w:tcPr>
          <w:p w14:paraId="51DFFEE7" w14:textId="77777777" w:rsidR="00776B9D" w:rsidRDefault="00000000">
            <w:pPr>
              <w:spacing w:after="40"/>
            </w:pPr>
            <w:r>
              <w:rPr>
                <w:sz w:val="19"/>
              </w:rPr>
              <w:t>Offline Compute</w:t>
            </w:r>
            <w:r>
              <w:rPr>
                <w:sz w:val="19"/>
              </w:rPr>
              <w:br/>
              <w:t>Overhead</w:t>
            </w:r>
          </w:p>
        </w:tc>
        <w:tc>
          <w:tcPr>
            <w:tcW w:w="2592" w:type="dxa"/>
            <w:shd w:val="clear" w:color="auto" w:fill="F0F4F8"/>
          </w:tcPr>
          <w:p w14:paraId="1942BEA9" w14:textId="77777777" w:rsidR="00776B9D" w:rsidRDefault="00000000">
            <w:pPr>
              <w:spacing w:after="40"/>
            </w:pPr>
            <w:r>
              <w:rPr>
                <w:sz w:val="19"/>
              </w:rPr>
              <w:t>Local LLM requires GPU</w:t>
            </w:r>
            <w:r>
              <w:rPr>
                <w:sz w:val="19"/>
              </w:rPr>
              <w:br/>
              <w:t>or significant CPU</w:t>
            </w:r>
          </w:p>
        </w:tc>
        <w:tc>
          <w:tcPr>
            <w:tcW w:w="5040" w:type="dxa"/>
            <w:shd w:val="clear" w:color="auto" w:fill="F0F4F8"/>
          </w:tcPr>
          <w:p w14:paraId="30990B99" w14:textId="77777777" w:rsidR="00776B9D" w:rsidRDefault="00000000">
            <w:pPr>
              <w:spacing w:after="40"/>
            </w:pPr>
            <w:r>
              <w:rPr>
                <w:sz w:val="19"/>
              </w:rPr>
              <w:t>Lightweight quantized models (8B params).</w:t>
            </w:r>
            <w:r>
              <w:rPr>
                <w:sz w:val="19"/>
              </w:rPr>
              <w:br/>
              <w:t>Runs on consumer hardware. Zero recurring</w:t>
            </w:r>
            <w:r>
              <w:rPr>
                <w:sz w:val="19"/>
              </w:rPr>
              <w:br/>
              <w:t>API costs.</w:t>
            </w:r>
          </w:p>
        </w:tc>
      </w:tr>
      <w:tr w:rsidR="00776B9D" w14:paraId="5048320B" w14:textId="77777777">
        <w:trPr>
          <w:jc w:val="center"/>
        </w:trPr>
        <w:tc>
          <w:tcPr>
            <w:tcW w:w="2016" w:type="dxa"/>
            <w:shd w:val="clear" w:color="auto" w:fill="FFFFFF"/>
          </w:tcPr>
          <w:p w14:paraId="1F3442D3" w14:textId="77777777" w:rsidR="00776B9D" w:rsidRDefault="00000000">
            <w:pPr>
              <w:spacing w:after="40"/>
            </w:pPr>
            <w:r>
              <w:rPr>
                <w:sz w:val="19"/>
              </w:rPr>
              <w:t>Scenario</w:t>
            </w:r>
            <w:r>
              <w:rPr>
                <w:sz w:val="19"/>
              </w:rPr>
              <w:br/>
              <w:t>Repetitiveness</w:t>
            </w:r>
          </w:p>
        </w:tc>
        <w:tc>
          <w:tcPr>
            <w:tcW w:w="2592" w:type="dxa"/>
            <w:shd w:val="clear" w:color="auto" w:fill="FFFFFF"/>
          </w:tcPr>
          <w:p w14:paraId="32F46082" w14:textId="77777777" w:rsidR="00776B9D" w:rsidRDefault="00000000">
            <w:pPr>
              <w:spacing w:after="40"/>
            </w:pPr>
            <w:r>
              <w:rPr>
                <w:sz w:val="19"/>
              </w:rPr>
              <w:t>Simulator feels stale</w:t>
            </w:r>
            <w:r>
              <w:rPr>
                <w:sz w:val="19"/>
              </w:rPr>
              <w:br/>
              <w:t>after multiple sessions</w:t>
            </w:r>
          </w:p>
        </w:tc>
        <w:tc>
          <w:tcPr>
            <w:tcW w:w="5040" w:type="dxa"/>
            <w:shd w:val="clear" w:color="auto" w:fill="FFFFFF"/>
          </w:tcPr>
          <w:p w14:paraId="64273C7B" w14:textId="77777777" w:rsidR="00776B9D" w:rsidRDefault="00000000">
            <w:pPr>
              <w:spacing w:after="40"/>
            </w:pPr>
            <w:r>
              <w:rPr>
                <w:sz w:val="19"/>
              </w:rPr>
              <w:t>22+ events with stochastic noise.</w:t>
            </w:r>
            <w:r>
              <w:rPr>
                <w:sz w:val="19"/>
              </w:rPr>
              <w:br/>
              <w:t>Configurable market archetypes.</w:t>
            </w:r>
            <w:r>
              <w:rPr>
                <w:sz w:val="19"/>
              </w:rPr>
              <w:br/>
              <w:t>Campaign mode with narrative story arcs.</w:t>
            </w:r>
          </w:p>
        </w:tc>
      </w:tr>
    </w:tbl>
    <w:p w14:paraId="7CB4B765" w14:textId="77777777" w:rsidR="00776B9D" w:rsidRDefault="00000000">
      <w:pPr>
        <w:pStyle w:val="Heading1"/>
      </w:pPr>
      <w:r>
        <w:t>8. Future Work &amp; Conclusion</w:t>
      </w:r>
    </w:p>
    <w:p w14:paraId="3BEC9102" w14:textId="77777777" w:rsidR="00776B9D" w:rsidRDefault="00000000">
      <w:pPr>
        <w:pStyle w:val="Heading2"/>
      </w:pPr>
      <w:r>
        <w:t>8.1 Planned Extensions</w:t>
      </w:r>
    </w:p>
    <w:p w14:paraId="7D83C22E" w14:textId="77777777" w:rsidR="00776B9D" w:rsidRDefault="00000000">
      <w:pPr>
        <w:pStyle w:val="ListBullet"/>
        <w:spacing w:after="40"/>
      </w:pPr>
      <w:r>
        <w:rPr>
          <w:b/>
        </w:rPr>
        <w:t xml:space="preserve">Configurable Regional Archetypes: </w:t>
      </w:r>
      <w:r>
        <w:t>Dynamic market profiles simulating regional sensitivities — monsoon rainfall cycles, energy import dependencies, commodity super-cycles.</w:t>
      </w:r>
    </w:p>
    <w:p w14:paraId="42BD515A" w14:textId="77777777" w:rsidR="00776B9D" w:rsidRDefault="00000000">
      <w:pPr>
        <w:pStyle w:val="ListBullet"/>
        <w:spacing w:after="40"/>
      </w:pPr>
      <w:r>
        <w:rPr>
          <w:b/>
        </w:rPr>
        <w:t xml:space="preserve">Interactive Counterfactual Sandbox: </w:t>
      </w:r>
      <w:r>
        <w:t>Deep "What-If" engine allowing trainees to simulate alternative historical choices across customized crisis sequences.</w:t>
      </w:r>
    </w:p>
    <w:p w14:paraId="73E6C03C" w14:textId="77777777" w:rsidR="00776B9D" w:rsidRDefault="00000000">
      <w:pPr>
        <w:pStyle w:val="ListBullet"/>
        <w:spacing w:after="40"/>
      </w:pPr>
      <w:r>
        <w:rPr>
          <w:b/>
        </w:rPr>
        <w:lastRenderedPageBreak/>
        <w:t xml:space="preserve">Campaign Mode: </w:t>
      </w:r>
      <w:r>
        <w:t>Pre-defined 4-round story arcs (e.g., "The Great Inflation Arc", "Emerging Market Currency Crisis") for structured pedagogical progression.</w:t>
      </w:r>
    </w:p>
    <w:p w14:paraId="7669B621" w14:textId="77777777" w:rsidR="00776B9D" w:rsidRDefault="00000000">
      <w:pPr>
        <w:pStyle w:val="ListBullet"/>
        <w:spacing w:after="40"/>
      </w:pPr>
      <w:r>
        <w:rPr>
          <w:b/>
        </w:rPr>
        <w:t xml:space="preserve">Cloud Deployment: </w:t>
      </w:r>
      <w:r>
        <w:t>Containerized Docker deployment for broader educational distribution and cloud hosting (AWS EC2 with GPU support for LLM inference).</w:t>
      </w:r>
    </w:p>
    <w:p w14:paraId="507D0566" w14:textId="77777777" w:rsidR="00776B9D" w:rsidRDefault="00000000">
      <w:pPr>
        <w:pStyle w:val="Heading2"/>
      </w:pPr>
      <w:r>
        <w:t>8.2 Conclusion</w:t>
      </w:r>
    </w:p>
    <w:p w14:paraId="67450C2B" w14:textId="77777777" w:rsidR="00776B9D" w:rsidRDefault="00000000">
      <w:r>
        <w:t>MarketSense proposes a novel neuro-symbolic intelligent reasoning framework for financial education that solves the dual challenges of unexplainable AI and gamified trading traps. By strictly decoupling deterministic financial computation from contextual natural language reasoning, the system guarantees numerical correctness while delivering rich, auditable, and literature-grounded explanations.</w:t>
      </w:r>
    </w:p>
    <w:p w14:paraId="5EF0BFF6" w14:textId="77777777" w:rsidR="00776B9D" w:rsidRDefault="00000000">
      <w:r>
        <w:t>The platform bridges academic macroeconomic theory and real-world portfolio risk management, delivering a verifiable, transparent, and scalable training flight simulator for intelligent investing. Users build muscle memory with realistic friction mechanics, benchmark comparisons, and causal reasoning — skills that transfer directly to real-world capital allocation decisions.</w:t>
      </w:r>
    </w:p>
    <w:p w14:paraId="55012140" w14:textId="77777777" w:rsidR="00776B9D" w:rsidRDefault="00000000">
      <w:pPr>
        <w:pStyle w:val="Heading1"/>
      </w:pPr>
      <w:r>
        <w:t>9. Supplementary Materials</w:t>
      </w:r>
    </w:p>
    <w:p w14:paraId="276568C5" w14:textId="77777777" w:rsidR="00776B9D" w:rsidRDefault="00000000">
      <w:pPr>
        <w:pStyle w:val="Heading2"/>
      </w:pPr>
      <w:r>
        <w:t>Note on Use of AI Tools</w:t>
      </w:r>
    </w:p>
    <w:p w14:paraId="78712335" w14:textId="77777777" w:rsidR="00776B9D" w:rsidRDefault="00000000">
      <w:r>
        <w:t>This project uses local open-source LLM runtimes (via Ollama) exclusively for contextual natural language understanding and grounded text generation within the application. The pricing engine, causal knowledge graph, and all numerical computations remain strictly symbolic and deterministic — no AI model is involved in generating financial figures or asset prices.</w:t>
      </w:r>
    </w:p>
    <w:p w14:paraId="276099B2" w14:textId="77777777" w:rsidR="00776B9D" w:rsidRDefault="00000000">
      <w:pPr>
        <w:pStyle w:val="Heading2"/>
      </w:pPr>
      <w:r>
        <w:t>References</w:t>
      </w:r>
    </w:p>
    <w:p w14:paraId="3FF51BCE" w14:textId="77777777" w:rsidR="00776B9D" w:rsidRDefault="00000000">
      <w:pPr>
        <w:spacing w:after="40"/>
        <w:ind w:left="432" w:hanging="432"/>
      </w:pPr>
      <w:r>
        <w:rPr>
          <w:sz w:val="19"/>
        </w:rPr>
        <w:t>[1] Graham, B. (1949). The Intelligent Investor. Harper &amp; Brothers.</w:t>
      </w:r>
    </w:p>
    <w:p w14:paraId="39387505" w14:textId="77777777" w:rsidR="00776B9D" w:rsidRDefault="00000000">
      <w:pPr>
        <w:spacing w:after="40"/>
        <w:ind w:left="432" w:hanging="432"/>
      </w:pPr>
      <w:r>
        <w:rPr>
          <w:sz w:val="19"/>
        </w:rPr>
        <w:t>[2] Dalio, R. (2018). Principles for Navigating Big Debt Crises. Bridgewater Associates.</w:t>
      </w:r>
    </w:p>
    <w:p w14:paraId="45EE09B9" w14:textId="77777777" w:rsidR="00776B9D" w:rsidRDefault="00000000">
      <w:pPr>
        <w:spacing w:after="40"/>
        <w:ind w:left="432" w:hanging="432"/>
      </w:pPr>
      <w:r>
        <w:rPr>
          <w:sz w:val="19"/>
        </w:rPr>
        <w:t>[3] Dalio, R. (2013). How the Economic Machine Works. Bridgewater Associates (Video &amp; Essay).</w:t>
      </w:r>
    </w:p>
    <w:p w14:paraId="57F7CDEE" w14:textId="77777777" w:rsidR="00776B9D" w:rsidRDefault="00000000">
      <w:pPr>
        <w:spacing w:after="40"/>
        <w:ind w:left="432" w:hanging="432"/>
      </w:pPr>
      <w:r>
        <w:rPr>
          <w:sz w:val="19"/>
        </w:rPr>
        <w:t>[4] Marks, H. (2011). The Most Important Thing: Uncommon Sense for the Thoughtful Investor. Columbia Business School Publishing.</w:t>
      </w:r>
    </w:p>
    <w:p w14:paraId="58A4077D" w14:textId="77777777" w:rsidR="00776B9D" w:rsidRDefault="00000000">
      <w:pPr>
        <w:spacing w:after="40"/>
        <w:ind w:left="432" w:hanging="432"/>
      </w:pPr>
      <w:r>
        <w:rPr>
          <w:sz w:val="19"/>
        </w:rPr>
        <w:t>[5] Marks, H. (2018). Mastering the Market Cycle: Getting the Odds on Your Side. Houghton Mifflin Harcourt.</w:t>
      </w:r>
    </w:p>
    <w:p w14:paraId="27C0330F" w14:textId="77777777" w:rsidR="00776B9D" w:rsidRDefault="00000000">
      <w:pPr>
        <w:spacing w:after="40"/>
        <w:ind w:left="432" w:hanging="432"/>
      </w:pPr>
      <w:r>
        <w:rPr>
          <w:sz w:val="19"/>
        </w:rPr>
        <w:t>[6] Lynch, P. (1989). One Up On Wall Street. Simon &amp; Schuster.</w:t>
      </w:r>
    </w:p>
    <w:p w14:paraId="13738877" w14:textId="77777777" w:rsidR="00776B9D" w:rsidRDefault="00000000">
      <w:pPr>
        <w:spacing w:after="40"/>
        <w:ind w:left="432" w:hanging="432"/>
      </w:pPr>
      <w:r>
        <w:rPr>
          <w:sz w:val="19"/>
        </w:rPr>
        <w:t>[7] Taleb, N.N. (2007). The Black Swan: The Impact of the Highly Improbable. Random House.</w:t>
      </w:r>
    </w:p>
    <w:p w14:paraId="5246F1AE" w14:textId="77777777" w:rsidR="00776B9D" w:rsidRDefault="00000000">
      <w:pPr>
        <w:spacing w:after="40"/>
        <w:ind w:left="432" w:hanging="432"/>
      </w:pPr>
      <w:r>
        <w:rPr>
          <w:sz w:val="19"/>
        </w:rPr>
        <w:t>[8] Taleb, N.N. (2012). Antifragile: Things That Gain from Disorder. Random House.</w:t>
      </w:r>
    </w:p>
    <w:p w14:paraId="06B27FC0" w14:textId="77777777" w:rsidR="00776B9D" w:rsidRDefault="00000000">
      <w:pPr>
        <w:spacing w:after="40"/>
        <w:ind w:left="432" w:hanging="432"/>
      </w:pPr>
      <w:r>
        <w:rPr>
          <w:sz w:val="19"/>
        </w:rPr>
        <w:t>[9] Bogle, J.C. (2007). The Little Book of Common Sense Investing. John Wiley &amp; Sons.</w:t>
      </w:r>
    </w:p>
    <w:p w14:paraId="08DB8C92" w14:textId="77777777" w:rsidR="00776B9D" w:rsidRDefault="00000000">
      <w:pPr>
        <w:spacing w:after="40"/>
        <w:ind w:left="432" w:hanging="432"/>
      </w:pPr>
      <w:r>
        <w:rPr>
          <w:sz w:val="19"/>
        </w:rPr>
        <w:t>[10] NUS-ISS Intelligent Reasoning Systems (IRS) Course Materials.</w:t>
      </w:r>
    </w:p>
    <w:sectPr w:rsidR="00776B9D" w:rsidSect="00034616">
      <w:pgSz w:w="12240" w:h="15840"/>
      <w:pgMar w:top="1152"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0128810">
    <w:abstractNumId w:val="8"/>
  </w:num>
  <w:num w:numId="2" w16cid:durableId="1578783015">
    <w:abstractNumId w:val="6"/>
  </w:num>
  <w:num w:numId="3" w16cid:durableId="1104498601">
    <w:abstractNumId w:val="5"/>
  </w:num>
  <w:num w:numId="4" w16cid:durableId="1533373030">
    <w:abstractNumId w:val="4"/>
  </w:num>
  <w:num w:numId="5" w16cid:durableId="2142918832">
    <w:abstractNumId w:val="7"/>
  </w:num>
  <w:num w:numId="6" w16cid:durableId="361974502">
    <w:abstractNumId w:val="3"/>
  </w:num>
  <w:num w:numId="7" w16cid:durableId="498469697">
    <w:abstractNumId w:val="2"/>
  </w:num>
  <w:num w:numId="8" w16cid:durableId="1345547160">
    <w:abstractNumId w:val="1"/>
  </w:num>
  <w:num w:numId="9" w16cid:durableId="291323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6730"/>
    <w:rsid w:val="00561EC5"/>
    <w:rsid w:val="00776B9D"/>
    <w:rsid w:val="00A30157"/>
    <w:rsid w:val="00AA1D8D"/>
    <w:rsid w:val="00B47730"/>
    <w:rsid w:val="00BC4F1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6589A0"/>
  <w14:defaultImageDpi w14:val="300"/>
  <w15:docId w15:val="{278197E0-F9A1-4E4F-AFEF-4D4670BE7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40" w:after="80"/>
    </w:pPr>
    <w:rPr>
      <w:rFonts w:ascii="Calibri" w:hAnsi="Calibri"/>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1A3A5F"/>
      <w:sz w:val="3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A3A5F"/>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2D5F8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2203</Words>
  <Characters>12563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Swaraj Gupta</cp:lastModifiedBy>
  <cp:revision>3</cp:revision>
  <dcterms:created xsi:type="dcterms:W3CDTF">2013-12-23T23:15:00Z</dcterms:created>
  <dcterms:modified xsi:type="dcterms:W3CDTF">2026-10-25T12:09:00Z</dcterms:modified>
  <cp:category/>
</cp:coreProperties>
</file>