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Acrylonitrile NBR: Patent Landscape on Acrylonitrile-Rich Rubber Synthesis and Related Copolymer Technologies</w:t>
      </w:r>
    </w:p>
    <w:p>
      <w:pPr>
        <w:pStyle w:val="Heading2"/>
      </w:pPr>
      <w:r>
        <w:t>1. Abstract</w:t>
      </w:r>
    </w:p>
    <w:p>
      <w:r>
        <w:t>This report surveys a patent set relevant to high-acrylonitrile nitrile butadiene rubber (NBR) and closely related acrylonitrile-containing elastomer/copolymer technologies. The target material is defined as nitrile butadiene rubber with elevated acrylonitrile content, emphasizing monomer ratio control, polymerization route, and molecular-weight/particle-structure management. Within the manifest, the most directly relevant NBR synthesis evidence is limited: several patents address acrylonitrile-containing rubber systems indirectly through ABS graft copolymers, styrene-butadiene binders, or functionalized rubbery polymers rather than dedicated high-ACN NBR recipes. The landscape therefore spans three main technical directions. First, emulsion and graft polymerization approaches dominate the older ABS-related patents, where butadiene rubber latex is grafted with styrene and acrylonitrile, and process variables such as emulsifier loading, initiator level, molecular-weight modifier, electrolyte, staged monomer addition, conversion thresholds, and reaction time are used to control particle formation and impact strength. Second, newer patents focus on application-driven formulations that use nitrile-containing polymers as dispersants or binders in battery electrodes, but these are not NBR synthesis disclosures; they instead highlight the importance of polarity, viscosity, gel content, and glass-transition tuning in acrylonitrile-containing elastomer systems. Third, a controlled emulsion polymerization patent demonstrates a broader methodology for synthesizing block and random copolymers in water using in-situ emulsifier formation and controlled radical techniques, which is conceptually relevant to modern NBR process design even though it is not NBR-specific. Across the set, recurring themes are high-polarity monomer incorporation, control of molecular weight by initiator/chain-transfer strategy, and the use of emulsion or solution polymerization to balance processability with final performance. However, the evidence base here does not provide a direct, parameter-rich high-ACN NBR recipe; instead, it supports the conclusion that high-acrylonitrile NBR synthesis would most plausibly rely on controlled free-radical emulsion or solution polymerization with careful monomer-feed staging and molecular-weight control, while avoiding over-reliance on formulations intended for downstream ABS or battery applications.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US9976027B2 — Polymer fine particle-containing curable resin composition having improved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US9976027B2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Polymer fine particle-containing curable resin composition having improved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</w:t>
        <w:br/>
        <w:t>Composition: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1-1: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2: US11827830B2 — Dispersant, conductive material dispersion and slurry for electrode film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US11827830B2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Dispersant, conductive material dispersion and slurry for electrode film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has:</w:t>
      </w:r>
    </w:p>
    <w:p>
      <w:pPr>
        <w:pStyle w:val="ListBullet"/>
      </w:pPr>
      <w:r>
        <w:t>Example Extracted Examples comparative example is: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Synthesis Example 2: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1-13:</w:t>
      </w:r>
    </w:p>
    <w:p>
      <w:pPr>
        <w:pStyle w:val="ListBullet"/>
      </w:pPr>
      <w:r>
        <w:t>Example Extracted Examples Example 1-13: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1-3:</w:t>
      </w:r>
    </w:p>
    <w:p>
      <w:pPr>
        <w:pStyle w:val="ListBullet"/>
      </w:pPr>
      <w:r>
        <w:t>Example Extracted Examples Example 1-4:</w:t>
      </w:r>
    </w:p>
    <w:p>
      <w:pPr>
        <w:pStyle w:val="ListBullet"/>
      </w:pPr>
      <w:r>
        <w:t>Example Extracted Examples Example 1-5:</w:t>
      </w:r>
    </w:p>
    <w:p>
      <w:pPr>
        <w:pStyle w:val="ListBullet"/>
      </w:pPr>
      <w:r>
        <w:t>Example Extracted Examples Example 1-6: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3: US10266615B2 — Method for preparing acrylonitrile-butadiene-styrene graft copolymer and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US10266615B2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Method for preparing acrylonitrile-butadiene-styrene graft copolymer and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EXAMPLE</w:t>
        <w:br/>
        <w:t>Example: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4: US4559386A — ABS compositions and process for preparing same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US4559386A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ABS compositions and process for preparing same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1985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2--COMPARATIVE: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1--CONTROL:</w:t>
      </w:r>
    </w:p>
    <w:p>
      <w:pPr>
        <w:pStyle w:val="ListBullet"/>
      </w:pPr>
      <w:r>
        <w:t>Example Extracted Examples Example illustrates: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is: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is: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5: US9583768B2 — Negative electrode slurry composition, lithium ion secondary battery negative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US9583768B2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Negative electrode slurry composition, lithium ion secondary battery negative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Comparative Example 5:</w:t>
      </w:r>
    </w:p>
    <w:p>
      <w:pPr>
        <w:pStyle w:val="ListBullet"/>
      </w:pPr>
      <w:r>
        <w:t>Example Extracted Examples Comparative Example 6:</w:t>
      </w:r>
    </w:p>
    <w:p>
      <w:pPr>
        <w:pStyle w:val="ListBullet"/>
      </w:pPr>
      <w:r>
        <w:t>Example Extracted Examples Comparative Example 7:</w:t>
      </w:r>
    </w:p>
    <w:p>
      <w:pPr>
        <w:pStyle w:val="ListBullet"/>
      </w:pPr>
      <w:r>
        <w:t>Example Extracted Examples example cokes: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7: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6: US7592409B2 — Styrene acrylonitrile isoprene triblock copolymer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US7592409B2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Styrene acrylonitrile isoprene triblock copolymer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9: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better:</w:t>
      </w:r>
    </w:p>
    <w:p>
      <w:pPr>
        <w:pStyle w:val="ListBullet"/>
      </w:pPr>
      <w:r>
        <w:t>Example Extracted Examples example buffering:</w:t>
      </w:r>
    </w:p>
    <w:p>
      <w:pPr>
        <w:pStyle w:val="ListBullet"/>
      </w:pPr>
      <w:r>
        <w:t>Example Extracted Examples example mineral:</w:t>
      </w:r>
    </w:p>
    <w:p>
      <w:pPr>
        <w:pStyle w:val="ListBullet"/>
      </w:pPr>
      <w:r>
        <w:t>Example Extracted Examples example succinic:</w:t>
      </w:r>
    </w:p>
    <w:p>
      <w:pPr>
        <w:pStyle w:val="ListBullet"/>
      </w:pPr>
      <w:r>
        <w:t>Example Extracted Examples example ROMP:</w:t>
      </w:r>
    </w:p>
    <w:p>
      <w:pPr>
        <w:pStyle w:val="ListBullet"/>
      </w:pPr>
      <w:r>
        <w:t>Example Extracted Examples example RAFT:</w:t>
      </w:r>
    </w:p>
    <w:p>
      <w:pPr>
        <w:pStyle w:val="ListBullet"/>
      </w:pPr>
      <w:r>
        <w:t>Example Extracted Examples example cleavage:</w:t>
      </w:r>
    </w:p>
    <w:p>
      <w:pPr>
        <w:pStyle w:val="ListBullet"/>
      </w:pPr>
      <w:r>
        <w:t>Example Extracted Examples example thermoplastics: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7: US9461308B2 — Electrode for lithium ion secondary battery, lithium ion secondary battery,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US9461308B2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Electrode for lithium ion secondary battery, lithium ion secondary battery,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Comparative Example 5:</w:t>
      </w:r>
    </w:p>
    <w:p>
      <w:pPr>
        <w:pStyle w:val="ListBullet"/>
      </w:pPr>
      <w:r>
        <w:t>Example Extracted Examples Comparative Example 6:</w:t>
      </w:r>
    </w:p>
    <w:p>
      <w:pPr>
        <w:pStyle w:val="ListBullet"/>
      </w:pPr>
      <w:r>
        <w:t>Example Extracted Examples Comparative Example 7:</w:t>
      </w:r>
    </w:p>
    <w:p>
      <w:pPr>
        <w:pStyle w:val="ListBullet"/>
      </w:pPr>
      <w:r>
        <w:t>Example Extracted Examples Comparative Example 8:</w:t>
      </w:r>
    </w:p>
    <w:p>
      <w:pPr>
        <w:pStyle w:val="ListBullet"/>
      </w:pPr>
      <w:r>
        <w:t>Example Extracted Examples Comparative Example 7: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6: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8: US10344104B2 — Copolymer for polymer blend compatibilizer and resin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US10344104B2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Copolymer for polymer blend compatibilizer and resin composition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was:</w:t>
      </w:r>
    </w:p>
    <w:p>
      <w:pPr>
        <w:pStyle w:val="ListBullet"/>
      </w:pPr>
      <w:r>
        <w:t>Example Extracted Examples example heat: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9: US10344158B2 — Elastomeric film-forming compositions and articles made from the elastomeric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US10344158B2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Elastomeric film-forming compositions and articles made from the elastomeric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a:</w:t>
      </w:r>
    </w:p>
    <w:p>
      <w:pPr>
        <w:pStyle w:val="ListBullet"/>
      </w:pPr>
      <w:r>
        <w:t>Example Extracted Examples example sulphur:</w:t>
      </w:r>
    </w:p>
    <w:p>
      <w:pPr>
        <w:pStyle w:val="ListBullet"/>
      </w:pPr>
      <w:r>
        <w:t>Example Extracted Examples example a:</w:t>
      </w:r>
    </w:p>
    <w:p>
      <w:pPr>
        <w:pStyle w:val="ListBullet"/>
      </w:pPr>
      <w:r>
        <w:t>Example Extracted Examples example sulphur:</w:t>
      </w:r>
    </w:p>
    <w:p>
      <w:pPr>
        <w:pStyle w:val="ListBullet"/>
      </w:pPr>
      <w:r>
        <w:t>Example Extracted Examples example a:</w:t>
      </w:r>
    </w:p>
    <w:p>
      <w:pPr>
        <w:pStyle w:val="ListBullet"/>
      </w:pPr>
      <w:r>
        <w:t>Example Extracted Examples example only: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be: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TMTD:</w:t>
      </w:r>
    </w:p>
    <w:p>
      <w:pPr>
        <w:pStyle w:val="ListBullet"/>
      </w:pPr>
      <w:r>
        <w:t>Example Extracted Examples example a:</w:t>
      </w:r>
    </w:p>
    <w:p>
      <w:pPr>
        <w:pStyle w:val="ListBullet"/>
      </w:pPr>
      <w:r>
        <w:t>Example Extracted Examples example be:</w:t>
      </w:r>
    </w:p>
    <w:p>
      <w:pPr>
        <w:pStyle w:val="ListBullet"/>
      </w:pPr>
      <w:r>
        <w:t>Example Extracted Examples example between:</w:t>
      </w:r>
    </w:p>
    <w:p>
      <w:pPr>
        <w:pStyle w:val="ListBullet"/>
      </w:pPr>
      <w:r>
        <w:t>Example Extracted Examples example involves: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the: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10: US6812307B2 — Functionalized monomers for synthesis of rubbery polymers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US6812307B2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Functionalized monomers for synthesis of rubbery polymers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10:</w:t>
      </w:r>
    </w:p>
    <w:p>
      <w:pPr>
        <w:pStyle w:val="ListBullet"/>
      </w:pPr>
      <w:r>
        <w:t>Example Extracted Examples COMPARATIVE EXAMPLE 18:</w:t>
      </w:r>
    </w:p>
    <w:p>
      <w:pPr>
        <w:pStyle w:val="ListBullet"/>
      </w:pPr>
      <w:r>
        <w:t>Example Extracted Examples COMPARATIVE EXAMPLE 27:</w:t>
      </w:r>
    </w:p>
    <w:p>
      <w:pPr>
        <w:pStyle w:val="ListBullet"/>
      </w:pPr>
      <w:r>
        <w:t>Example Extracted Examples COMPARATIVE EXAMPLE 35:</w:t>
      </w:r>
    </w:p>
    <w:p>
      <w:pPr>
        <w:pStyle w:val="ListBullet"/>
      </w:pPr>
      <w:r>
        <w:t>Example Extracted Examples COMPARATIVE EXAMPLE 113:</w:t>
      </w:r>
    </w:p>
    <w:p>
      <w:pPr>
        <w:pStyle w:val="ListBullet"/>
      </w:pPr>
      <w:r>
        <w:t>Example Extracted Examples COMPARATIVE EXAMPLE 116: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9: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No:</w:t>
      </w:r>
    </w:p>
    <w:p>
      <w:pPr>
        <w:pStyle w:val="ListBullet"/>
      </w:pPr>
      <w:r>
        <w:t>Example Extracted Examples EXAMPLE 11: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11:</w:t>
      </w:r>
    </w:p>
    <w:p>
      <w:pPr>
        <w:pStyle w:val="ListBullet"/>
      </w:pPr>
      <w:r>
        <w:t>Example Extracted Examples EXAMPLE 14:</w:t>
      </w:r>
    </w:p>
    <w:p>
      <w:pPr>
        <w:pStyle w:val="ListBullet"/>
      </w:pPr>
      <w:r>
        <w:t>Example Extracted Examples Example 6: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US10266615B2 and US4559386A both use acrylonitrile-containing graft/ABS chemistry, but US10266615B2 emphasizes emulsion polymerization with staged monomer addition, acrylate cross-linking agent, emulsifier, initiator, electrolyte, and molecular-weight modifier, whereas US4559386A emphasizes continuous mass polymerization and a deliberate mismatch between surface-grafted and matrix acrylonitrile levels.</w:t>
      </w:r>
    </w:p>
    <w:p>
      <w:pPr>
        <w:pStyle w:val="ListBullet"/>
      </w:pPr>
      <w:r>
        <w:t>US10266615B2 provides explicit process ranges for diene-based rubber latex preparation: 50 to 75 parts conjugated diene monomer, 1 to 3 parts emulsifier, 0.1 to 0.4 parts initiator, 0.1 to 3 parts electrolyte, 0.1 to 0.5 part molecular-weight modifier, and 65 to 100 parts water; US4559386A does not disclose comparable numeric formulation ranges in the retained text.</w:t>
      </w:r>
    </w:p>
    <w:p>
      <w:pPr>
        <w:pStyle w:val="ListBullet"/>
      </w:pPr>
      <w:r>
        <w:t>US7592409B2 is the most methodologically modern polymerization disclosure in the set, using in-situ emulsifier formation in emulsion polymerization with a polymerization control agent; it is broader than NBR and does not provide NBR-specific monomer ratios, but it is relevant as a controlled emulsion framework for acrylonitrile-containing elastomers.</w:t>
      </w:r>
    </w:p>
    <w:p>
      <w:pPr>
        <w:pStyle w:val="ListBullet"/>
      </w:pPr>
      <w:r>
        <w:t>US6812307B2 is solution/anionic rather than emulsion-based: it copolymerizes conjugated diolefin monomers with functionalized monomers in organic solvent at 20 to 100 C, initiated by an anionic initiator and without conventional polar modifiers; this contrasts with the radical emulsion routes used in the ABS-related patents.</w:t>
      </w:r>
    </w:p>
    <w:p>
      <w:pPr>
        <w:pStyle w:val="ListBullet"/>
      </w:pPr>
      <w:r>
        <w:t>US11827830B2 and US9461308B2 are application-oriented rather than synthesis-oriented. US11827830B2 uses a copolymer containing 15 to 50 mass % nitrile-group structural units and 40 to &lt;85 mass % aliphatic hydrocarbon units as a dispersant; US9461308B2 uses a water-soluble polymer with aromatic vinyl, unsaturated carboxylic acid, and crosslinkable units as an electrode binder. Neither discloses NBR synthesis conditions.</w:t>
      </w:r>
    </w:p>
    <w:p>
      <w:pPr>
        <w:pStyle w:val="ListBullet"/>
      </w:pPr>
      <w:r>
        <w:t>US9976027B2 and US10344158B2 are not NBR synthesis patents in the retained passages; they instead use diene-rubber core-shell particles in epoxy compositions and chlorobutadiene copolymers in dipped articles, respectively. They show that diene-rubber and elastomer design is often optimized for downstream performance rather than acrylonitrile-rich NBR monomer control.</w:t>
      </w:r>
    </w:p>
    <w:p>
      <w:pPr>
        <w:pStyle w:val="ListBullet"/>
      </w:pPr>
      <w:r>
        <w:t>US10344104B2 is an ABS/SAN compatibilizer patent that explicitly allows an acrylonitrile-based monomer unit in the compatibilizer, but its core composition is maleimide/styrene/anhydride and its focus is heat resistance and compatibility, not NBR preparation.</w:t>
      </w:r>
    </w:p>
    <w:p>
      <w:pPr>
        <w:pStyle w:val="ListBullet"/>
      </w:pPr>
      <w:r>
        <w:t>Across the set, the recurring historical approach is emulsion or mass graft polymerization for ABS-type materials, while the newer approach is controlled polymerization or application-specific binder/dispersant design; direct high-ACN NBR synthesis detail is sparse in both generations.</w:t>
      </w:r>
    </w:p>
    <w:p>
      <w:pPr>
        <w:pStyle w:val="Heading2"/>
      </w:pPr>
      <w:r>
        <w:t>4. Conclusion</w:t>
      </w:r>
    </w:p>
    <w:p>
      <w:r>
        <w:t>The patent evidence does not reveal a dedicated, parameter-complete high-acrylonitrile NBR synthesis recipe within the manifest, but it does identify the process families most relevant to acrylonitrile-rich elastomer design. The strongest synthesis guidance comes from emulsion/graft ABS patents and the broader controlled emulsion polymerization patent: acrylonitrile-containing systems are typically built by free-radical polymerization, often with staged monomer feed, emulsifier/initiator balance, and molecular-weight control. For a high-ACN NBR target, the most defensible evidence-based recommendation is to use a controlled emulsion or solution polymerization platform, maintain tight monomer-feed control to raise acrylonitrile incorporation, and manage molecular weight with initiator and chain-transfer strategy. The set also suggests that application-driven patents favor tuning polarity, gel content, and glass transition rather than disclosing synthesis conditions. Accordingly, the best-supported synthesis direction is a radical polymerization process with careful feed staging and molecular-weight control, while recognizing that the manifest provides only indirect support for exact high-ACN NBR composition windows.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US9976027B2 | Polymer fine particle-containing curable resin composition having improved … | Not disclosed | US | 2018 | https://patents.google.com/patent/US9976027B2/en</w:t>
      </w:r>
    </w:p>
    <w:p>
      <w:pPr>
        <w:pStyle w:val="ListBullet"/>
      </w:pPr>
      <w:r>
        <w:t>US11827830B2 | Dispersant, conductive material dispersion and slurry for electrode film | Not disclosed | US | 2023 | https://patents.google.com/patent/US11827830B2/en</w:t>
      </w:r>
    </w:p>
    <w:p>
      <w:pPr>
        <w:pStyle w:val="ListBullet"/>
      </w:pPr>
      <w:r>
        <w:t>US10266615B2 | Method for preparing acrylonitrile-butadiene-styrene graft copolymer and … | Not disclosed | US | 2019 | https://patents.google.com/patent/US10266615B2/en</w:t>
      </w:r>
    </w:p>
    <w:p>
      <w:pPr>
        <w:pStyle w:val="ListBullet"/>
      </w:pPr>
      <w:r>
        <w:t>US4559386A | ABS compositions and process for preparing same | Not disclosed | US | 1985 | https://patents.google.com/patent/US4559386A/en</w:t>
      </w:r>
    </w:p>
    <w:p>
      <w:pPr>
        <w:pStyle w:val="ListBullet"/>
      </w:pPr>
      <w:r>
        <w:t>US9583768B2 | Negative electrode slurry composition, lithium ion secondary battery negative … | Not disclosed | US | 2017 | https://patents.google.com/patent/US9583768B2/en</w:t>
      </w:r>
    </w:p>
    <w:p>
      <w:pPr>
        <w:pStyle w:val="ListBullet"/>
      </w:pPr>
      <w:r>
        <w:t>US7592409B2 | Styrene acrylonitrile isoprene triblock copolymer | Not disclosed | US | 2009 | https://patents.google.com/patent/US7592409B2/en</w:t>
      </w:r>
    </w:p>
    <w:p>
      <w:pPr>
        <w:pStyle w:val="ListBullet"/>
      </w:pPr>
      <w:r>
        <w:t>US9461308B2 | Electrode for lithium ion secondary battery, lithium ion secondary battery, … | Not disclosed | US | 2016 | https://patents.google.com/patent/US9461308B2/en</w:t>
      </w:r>
    </w:p>
    <w:p>
      <w:pPr>
        <w:pStyle w:val="ListBullet"/>
      </w:pPr>
      <w:r>
        <w:t>US10344104B2 | Copolymer for polymer blend compatibilizer and resin composition | Not disclosed | US | 2019 | https://patents.google.com/patent/US10344104B2/en</w:t>
      </w:r>
    </w:p>
    <w:p>
      <w:pPr>
        <w:pStyle w:val="ListBullet"/>
      </w:pPr>
      <w:r>
        <w:t>US10344158B2 | Elastomeric film-forming compositions and articles made from the elastomeric … | Not disclosed | US | 2019 | https://patents.google.com/patent/US10344158B2/en</w:t>
      </w:r>
    </w:p>
    <w:p>
      <w:pPr>
        <w:pStyle w:val="ListBullet"/>
      </w:pPr>
      <w:r>
        <w:t>US6812307B2 | Functionalized monomers for synthesis of rubbery polymers | Not disclosed | US | 2004 | https://patents.google.com/patent/US6812307B2/en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