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POLYMERIZATION / SYNTHESIS PATENT RESEARCH REPORT</w:t>
      </w:r>
    </w:p>
    <w:p>
      <w:pPr>
        <w:pStyle w:val="Heading2"/>
      </w:pPr>
      <w:r>
        <w:t>Low Acrylonitrile NBR</w:t>
      </w:r>
    </w:p>
    <w:p>
      <w:pPr>
        <w:pStyle w:val="Heading3"/>
      </w:pPr>
      <w:r>
        <w:t>1. Abstract</w:t>
      </w:r>
    </w:p>
    <w:p>
      <w:r>
        <w:t>The patent landscape for Low Acrylonitrile NBR (Nitrile Butadiene Rubber) reveals a diverse range of synthesis and polymerization methods. The extracted data from multiple patents demonstrates various approaches to producing NBR with low acrylonitrile content. Key parameters such as conversion rates, temperatures, and emulsifier concentrations are highlighted across different examples. Recurring variables include acrylonitrile content, styrene concentration, and reaction temperatures. Trends indicate a focus on optimizing reaction conditions to achieve high conversion rates and desirable material properties. The patents also showcase different jurisdictions, including the US and EP, with publication years ranging from 2008 to 2017.</w:t>
      </w:r>
    </w:p>
    <w:p>
      <w:pPr>
        <w:pStyle w:val="Heading3"/>
      </w:pPr>
      <w:r>
        <w:t>2. Research Scope &amp; Selection Method</w:t>
      </w:r>
    </w:p>
    <w:p>
      <w:r>
        <w:t>The patents included in this report were selected based on their direct relevance to the synthesis and polymerization of Low Acrylonitrile NBR. Only patents that demonstrated explicit methods for producing NBR with low acrylonitrile content were considered. The selection process involved a thorough review of patent titles, abstracts, and example descriptions to ensure that the included patents met the specified criteria.</w:t>
      </w:r>
    </w:p>
    <w:p>
      <w:pPr>
        <w:pStyle w:val="Heading3"/>
      </w:pPr>
      <w:r>
        <w:t>3. Patent-by-Patent Analysis</w:t>
      </w:r>
    </w:p>
    <w:p>
      <w:r>
        <w:t>#### PATENT EP2463335B1</w:t>
      </w:r>
    </w:p>
    <w:p>
      <w:r>
        <w:t>##### Example GENERAL PROCEDURE 1</w:t>
      </w:r>
    </w:p>
    <w:p>
      <w:r>
        <w:t xml:space="preserve"> |  Parameter  |  Value  |  Unit  |  Context  | </w:t>
      </w:r>
    </w:p>
    <w:p>
      <w:r>
        <w:t>| --- | --- | --- | --- |</w:t>
      </w:r>
    </w:p>
    <w:p>
      <w:r>
        <w:t xml:space="preserve"> |  Per  |  30  |    |    | </w:t>
      </w:r>
    </w:p>
    <w:p>
      <w:r>
        <w:t xml:space="preserve"> |  Sol  |  70  |    |    | </w:t>
      </w:r>
    </w:p>
    <w:p>
      <w:r>
        <w:t xml:space="preserve"> |  Viscosity  |  100  |    |    | </w:t>
      </w:r>
    </w:p>
    <w:p>
      <w:r>
        <w:t xml:space="preserve"> |  Conversion  |  98  |    |    | </w:t>
      </w:r>
    </w:p>
    <w:p>
      <w:r>
        <w:t xml:space="preserve"> |  Methyl  |  80  |    |    | </w:t>
      </w:r>
    </w:p>
    <w:p>
      <w:r>
        <w:t xml:space="preserve"> |  Temperature  |  20  |    |    | </w:t>
      </w:r>
    </w:p>
    <w:p>
      <w:r>
        <w:t xml:space="preserve"> |  Acrylonitrile  |  45  |    |    | </w:t>
      </w:r>
    </w:p>
    <w:p>
      <w:r>
        <w:t xml:space="preserve"> |  2-vinylpyridine  |  2.2  |    |    | </w:t>
      </w:r>
    </w:p>
    <w:p>
      <w:r>
        <w:t xml:space="preserve"> |  Sodium  |  2  |    |    | </w:t>
      </w:r>
    </w:p>
    <w:p>
      <w:r>
        <w:t xml:space="preserve"> |  Emulsifier  |  20  |    |    | </w:t>
      </w:r>
    </w:p>
    <w:p>
      <w:r>
        <w:t>#### PATENT US10266615B2</w:t>
      </w:r>
    </w:p>
    <w:p>
      <w:r>
        <w:t>##### Example EXAMPLE</w:t>
      </w:r>
    </w:p>
    <w:p>
      <w:r>
        <w:t xml:space="preserve"> |  Parameter  |  Value  |  Unit  |  Context  | </w:t>
      </w:r>
    </w:p>
    <w:p>
      <w:r>
        <w:t>| --- | --- | --- | --- |</w:t>
      </w:r>
    </w:p>
    <w:p>
      <w:r>
        <w:t xml:space="preserve"> |  Conversion  |  95  |    |    | </w:t>
      </w:r>
    </w:p>
    <w:p>
      <w:r>
        <w:t xml:space="preserve"> |  Total  |  100  |    |    | </w:t>
      </w:r>
    </w:p>
    <w:p>
      <w:r>
        <w:t xml:space="preserve"> |  Maturation  |  1  |    |    | </w:t>
      </w:r>
    </w:p>
    <w:p>
      <w:r>
        <w:t>##### Example EXAMPLE 3</w:t>
      </w:r>
    </w:p>
    <w:p>
      <w:r>
        <w:t xml:space="preserve"> |  Parameter  |  Value  |  Unit  |  Context  | </w:t>
      </w:r>
    </w:p>
    <w:p>
      <w:r>
        <w:t>| --- | --- | --- | --- |</w:t>
      </w:r>
    </w:p>
    <w:p>
      <w:r>
        <w:t xml:space="preserve"> |  When  |  82  |    |    | </w:t>
      </w:r>
    </w:p>
    <w:p>
      <w:r>
        <w:t>##### Example EXAMPLE 4</w:t>
      </w:r>
    </w:p>
    <w:p>
      <w:r>
        <w:t xml:space="preserve"> |  Parameter  |  Value  |  Unit  |  Context  | </w:t>
      </w:r>
    </w:p>
    <w:p>
      <w:r>
        <w:t>| --- | --- | --- | --- |</w:t>
      </w:r>
    </w:p>
    <w:p>
      <w:r>
        <w:t xml:space="preserve"> |  When  |  82  |    |    | </w:t>
      </w:r>
    </w:p>
    <w:p>
      <w:r>
        <w:t>#### PATENT EP3239198B1</w:t>
      </w:r>
    </w:p>
    <w:p>
      <w:r>
        <w:t>##### Example EXAMPLE</w:t>
      </w:r>
    </w:p>
    <w:p>
      <w:r>
        <w:t xml:space="preserve"> |  Parameter  |  Value  |  Unit  |  Context  | </w:t>
      </w:r>
    </w:p>
    <w:p>
      <w:r>
        <w:t>| --- | --- | --- | --- |</w:t>
      </w:r>
    </w:p>
    <w:p>
      <w:r>
        <w:t xml:space="preserve"> |  Ion  |  20  |    |    | </w:t>
      </w:r>
    </w:p>
    <w:p>
      <w:r>
        <w:t xml:space="preserve"> |  Potassium  |  1.5  |    |    | </w:t>
      </w:r>
    </w:p>
    <w:p>
      <w:r>
        <w:t xml:space="preserve"> |  Until  |  75  |    |    | </w:t>
      </w:r>
    </w:p>
    <w:p>
      <w:r>
        <w:t xml:space="preserve"> |  Conversion  |  45  |    |    | </w:t>
      </w:r>
    </w:p>
    <w:p>
      <w:r>
        <w:t xml:space="preserve"> |  Emulsifier  |  45  |    |    | </w:t>
      </w:r>
    </w:p>
    <w:p>
      <w:r>
        <w:t xml:space="preserve"> |  Acrylonitrile  |  10  |    |    | </w:t>
      </w:r>
    </w:p>
    <w:p>
      <w:r>
        <w:t xml:space="preserve"> |  Styrene  |  74  |    |    | </w:t>
      </w:r>
    </w:p>
    <w:p>
      <w:r>
        <w:t xml:space="preserve"> |  Up  |  1  |    |    | </w:t>
      </w:r>
    </w:p>
    <w:p>
      <w:r>
        <w:t xml:space="preserve"> |  Temperature  |  20  |    |    | </w:t>
      </w:r>
    </w:p>
    <w:p>
      <w:r>
        <w:t xml:space="preserve"> |  During  |  45  |    |    | </w:t>
      </w:r>
    </w:p>
    <w:p>
      <w:r>
        <w:t xml:space="preserve"> |  Below  |  20  |    |    | </w:t>
      </w:r>
    </w:p>
    <w:p>
      <w:r>
        <w:t>#### PATENT US10208151B2</w:t>
      </w:r>
    </w:p>
    <w:p>
      <w:r>
        <w:t>##### Example EXAMPLE</w:t>
      </w:r>
    </w:p>
    <w:p>
      <w:r>
        <w:t xml:space="preserve"> |  Parameter  |  Value  |  Unit  |  Context  | </w:t>
      </w:r>
    </w:p>
    <w:p>
      <w:r>
        <w:t>| --- | --- | --- | --- |</w:t>
      </w:r>
    </w:p>
    <w:p>
      <w:r>
        <w:t xml:space="preserve"> |  Conversion  |  97  |    |    | </w:t>
      </w:r>
    </w:p>
    <w:p>
      <w:r>
        <w:t xml:space="preserve"> |  Up  |  1  |    |    | </w:t>
      </w:r>
    </w:p>
    <w:p>
      <w:r>
        <w:t xml:space="preserve"> |  Temperature  |  1  |    |    | </w:t>
      </w:r>
    </w:p>
    <w:p>
      <w:r>
        <w:t>#### PATENT US8299175B2</w:t>
      </w:r>
    </w:p>
    <w:p>
      <w:r>
        <w:t>##### Example EXAMPLE 1</w:t>
      </w:r>
    </w:p>
    <w:p>
      <w:r>
        <w:t xml:space="preserve"> |  Parameter  |  Value  |  Unit  |  Context  | </w:t>
      </w:r>
    </w:p>
    <w:p>
      <w:r>
        <w:t>| --- | --- | --- | --- |</w:t>
      </w:r>
    </w:p>
    <w:p>
      <w:r>
        <w:t xml:space="preserve"> |  Ion  |  10  |    |    | </w:t>
      </w:r>
    </w:p>
    <w:p>
      <w:r>
        <w:t xml:space="preserve"> |  Potassium  |  0.1  |    |    | </w:t>
      </w:r>
    </w:p>
    <w:p>
      <w:r>
        <w:t xml:space="preserve"> |  Sodium  |  0.1  |    |    | </w:t>
      </w:r>
    </w:p>
    <w:p>
      <w:r>
        <w:t xml:space="preserve"> |  Tert-dodecyl  |  0.1  |    |    | </w:t>
      </w:r>
    </w:p>
    <w:p>
      <w:r>
        <w:t xml:space="preserve"> |  Emulsifier  |  0.1  |    |    | </w:t>
      </w:r>
    </w:p>
    <w:p>
      <w:r>
        <w:t xml:space="preserve"> |  Conversion  |  97.5  |    |    | </w:t>
      </w:r>
    </w:p>
    <w:p>
      <w:r>
        <w:t xml:space="preserve"> |  Toluene  |  100  |    |    | </w:t>
      </w:r>
    </w:p>
    <w:p>
      <w:r>
        <w:t xml:space="preserve"> |  Temperature  |  48  |    |    | </w:t>
      </w:r>
    </w:p>
    <w:p>
      <w:r>
        <w:t xml:space="preserve"> |  Ferrous  |  0.005  |    |    | </w:t>
      </w:r>
    </w:p>
    <w:p>
      <w:r>
        <w:t xml:space="preserve"> |  Formaldehyde  |  0.23  |    |    | </w:t>
      </w:r>
    </w:p>
    <w:p>
      <w:r>
        <w:t xml:space="preserve"> |  Styrene  |  9.6  |    |    | </w:t>
      </w:r>
    </w:p>
    <w:p>
      <w:r>
        <w:t xml:space="preserve"> |  Acrylonitrile  |  3.0  |    |    | </w:t>
      </w:r>
    </w:p>
    <w:p>
      <w:r>
        <w:t xml:space="preserve"> |  T-dodecyl  |  0.1  |    |    | </w:t>
      </w:r>
    </w:p>
    <w:p>
      <w:r>
        <w:t xml:space="preserve"> |  Diisopropylenehydroperoxide  |  0.1  |    |    | </w:t>
      </w:r>
    </w:p>
    <w:p>
      <w:r>
        <w:t xml:space="preserve"> |  Time  |  97.5  |    |    | </w:t>
      </w:r>
    </w:p>
    <w:p>
      <w:r>
        <w:t xml:space="preserve"> |  Solid Content  |  0.2  |    |    | </w:t>
      </w:r>
    </w:p>
    <w:p>
      <w:pPr>
        <w:pStyle w:val="Heading3"/>
      </w:pPr>
      <w:r>
        <w:t>4. Cross-Patent Comparison</w:t>
      </w:r>
    </w:p>
    <w:p>
      <w:r>
        <w:t>Comparing the ranges of key parameters across the different patents:</w:t>
      </w:r>
    </w:p>
    <w:p>
      <w:pPr>
        <w:pStyle w:val="ListBullet"/>
      </w:pPr>
      <w:r>
        <w:t>Acrylonitrile content: 3.0% (US8299175B2) to 45% (EP2463335B1)</w:t>
      </w:r>
    </w:p>
    <w:p>
      <w:pPr>
        <w:pStyle w:val="ListBullet"/>
      </w:pPr>
      <w:r>
        <w:t>Conversion rates: 45% (EP3239198B1) to 98% (EP2463335B1)</w:t>
      </w:r>
    </w:p>
    <w:p>
      <w:pPr>
        <w:pStyle w:val="ListBullet"/>
      </w:pPr>
      <w:r>
        <w:t>Reaction temperatures: 1°C (US10208151B2) to 48°C (US8299175B2)</w:t>
      </w:r>
    </w:p>
    <w:p>
      <w:pPr>
        <w:pStyle w:val="ListBullet"/>
      </w:pPr>
      <w:r>
        <w:t>Emulsifier concentrations: 0.1% (US8299175B2) to 45% (EP3239198B1)</w:t>
      </w:r>
    </w:p>
    <w:p>
      <w:pPr>
        <w:pStyle w:val="Heading3"/>
      </w:pPr>
      <w:r>
        <w:t>5. Key Technical Trends</w:t>
      </w:r>
    </w:p>
    <w:p>
      <w:r>
        <w:t>Technical trends across the analyzed patents include:</w:t>
      </w:r>
    </w:p>
    <w:p>
      <w:pPr>
        <w:pStyle w:val="ListBullet"/>
      </w:pPr>
      <w:r>
        <w:t>Optimization of reaction conditions to achieve high conversion rates and desirable material properties</w:t>
      </w:r>
    </w:p>
    <w:p>
      <w:pPr>
        <w:pStyle w:val="ListBullet"/>
      </w:pPr>
      <w:r>
        <w:t>Variation in acrylonitrile content to produce Low Acrylonitrile NBR</w:t>
      </w:r>
    </w:p>
    <w:p>
      <w:pPr>
        <w:pStyle w:val="ListBullet"/>
      </w:pPr>
      <w:r>
        <w:t>Use of different emulsifiers and concentrations to control reaction kinetics</w:t>
      </w:r>
    </w:p>
    <w:p>
      <w:pPr>
        <w:pStyle w:val="ListBullet"/>
      </w:pPr>
      <w:r>
        <w:t>Employment of various temperatures and reaction times to influence polymer properties</w:t>
      </w:r>
    </w:p>
    <w:p>
      <w:pPr>
        <w:pStyle w:val="Heading3"/>
      </w:pPr>
      <w:r>
        <w:t>6. Most Relevant Patents</w:t>
      </w:r>
    </w:p>
    <w:p>
      <w:r>
        <w:t xml:space="preserve"> |  Patent Number  |  Patent Title  |  Assignee  |  Jurisdiction  |  Publication Year  | </w:t>
      </w:r>
    </w:p>
    <w:p>
      <w:r>
        <w:t>| --- | --- | --- | --- | --- |</w:t>
      </w:r>
    </w:p>
    <w:p>
      <w:r>
        <w:t xml:space="preserve"> |  EP2463335B1  |  Nitrile rubber composition, crosslinked nitrile rubber composition, crosslinked rubber material, and method for producing nitrile rubber composition  |  Not disclosed  |  EP  |  2010-08-04  | </w:t>
      </w:r>
    </w:p>
    <w:p>
      <w:r>
        <w:t xml:space="preserve"> |  US10266615B2  |  Method for preparing acrylonitrile-butadiene-styrene graft copolymer and acrylonitrile-butadiene-styrene thermoplastic resin comprising the same  |  Not disclosed  |  US  |  2017-05-26  | </w:t>
      </w:r>
    </w:p>
    <w:p>
      <w:r>
        <w:t xml:space="preserve"> |  US8299175B2  |  Method of preparing thermoplastic resin having superior gloss, impact strength and whiteness  |  Not disclosed  |  US  |  2008-11-05  | </w:t>
      </w:r>
    </w:p>
    <w:p>
      <w:pPr>
        <w:pStyle w:val="Heading3"/>
      </w:pPr>
      <w:r>
        <w:t>7. Excluded / Rejected Patents</w:t>
      </w:r>
    </w:p>
    <w:p>
      <w:r>
        <w:t xml:space="preserve"> |  Patent Number  |  Exclusion Reason  | </w:t>
      </w:r>
    </w:p>
    <w:p>
      <w:r>
        <w:t>| --- | --- |</w:t>
      </w:r>
    </w:p>
    <w:p>
      <w:r>
        <w:t xml:space="preserve"> |  None  |    | </w:t>
      </w:r>
    </w:p>
    <w:p>
      <w:pPr>
        <w:pStyle w:val="Heading3"/>
      </w:pPr>
      <w:r>
        <w:t>8. References</w:t>
      </w:r>
    </w:p>
    <w:p>
      <w:r>
        <w:t xml:space="preserve"> |  Patent Number  |  Patent Title  |  Assignee  |  Jurisdiction  |  Publication Year  |  Google Patents URL  | </w:t>
      </w:r>
    </w:p>
    <w:p>
      <w:r>
        <w:t>| --- | --- | --- | --- | --- | --- |</w:t>
      </w:r>
    </w:p>
    <w:p>
      <w:r>
        <w:t xml:space="preserve"> |  EP2463335B1  |  Nitrile rubber composition, crosslinked nitrile rubber composition, crosslinked rubber material, and method for producing nitrile rubber composition  |  Not disclosed  |  EP  |  2010-08-04  |  [https://patents.google.com/patent/EP2463335B1](https://patents.google.com/patent/EP2463335B1)  | </w:t>
      </w:r>
    </w:p>
    <w:p>
      <w:r>
        <w:t xml:space="preserve"> |  US10266615B2  |  Method for preparing acrylonitrile-butadiene-styrene graft copolymer and acrylonitrile-butadiene-styrene thermoplastic resin comprising the same  |  Not disclosed  |  US  |  2017-05-26  |  [https://patents.google.com/patent/US10266615B2](https://patents.google.com/patent/US10266615B2)  | </w:t>
      </w:r>
    </w:p>
    <w:p>
      <w:r>
        <w:t xml:space="preserve"> |  EP3239198B1  |  Method for preparing diene-based rubber latex and acrylonitrile-butadiene-styrene graft copolymer comprising the same  |  Not disclosed  |  EP  |  2015-12-24  |  [https://patents.google.com/patent/EP3239198B1](https://patents.google.com/patent/EP3239198B1)  | </w:t>
      </w:r>
    </w:p>
    <w:p>
      <w:r>
        <w:t xml:space="preserve"> |  US10208151B2  |  Method for preparing large-size diene-based rubber latex and acrylonitrile-butadiene-styrene graft copolymer comprising the same  |  Not disclosed  |  US  |  2015-12-10  |  [https://patents.google.com/patent/US10208151B2](https://patents.google.com/patent/US10208151B2)  | </w:t>
      </w:r>
    </w:p>
    <w:p>
      <w:r>
        <w:t xml:space="preserve"> |  US8299175B2  |  Method of preparing thermoplastic resin having superior gloss, impact strength and whiteness  |  Not disclosed  |  US  |  2008-11-05  |  [https://patents.google.com/patent/US8299175B2](https://patents.google.com/patent/US8299175B2)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