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reviews patent evidence relevant to low acrylonitrile nitrile butadiene rubber (NBR), with emphasis on how acrylonitrile content is controlled during polymerization to obtain grades typically below about 20 wt% ACN. The single primary patent in the manifest, CN119978233A, discloses a low-temperature emulsion polymerization route for nitrile rubber in which butadiene and acrylonitrile are copolymerized with a reactive anti-aging agent containing amide functionality. The process uses staged or continuous acrylonitrile addition, a composite emulsifier system, a molecular weight regulator, and termination at controlled conversion to manage composition drift and final polymer properties. The patent explicitly targets a combined acrylonitrile content of 17-20%, placing it squarely in the low-ACN NBR domain.</w:t>
        <w:br/>
        <w:br/>
        <w:t>The disclosed formulation trends are consistent with industrial low-ACN NBR practice: low-temperature emulsion polymerization, controlled monomer feed, and use of a mixed emulsifier package based on disproportionated rosin soap, linear alkylbenzene sulfonic acid, and naphthalene sulfonate formaldehyde condensate. The initiator system is based on dicumyl peroxide with a reducing agent/chelating agent package, and tertiary dodecyl mercaptan is used as a molecular weight regulator. The patent further emphasizes adding acrylonitrile in multiple portions, with a preferred four-stage feed tied to conversion milestones, to stabilize composition and improve heat-oxidative aging resistance.</w:t>
        <w:br/>
        <w:br/>
        <w:t>Overall, the evidence indicates that low acrylonitrile NBR synthesis is best achieved by careful feed scheduling rather than simply lowering the initial monomer charge. The patent suggests that a butadiene/acrylonitrile ratio of 80-83/17-20 parts, polymerization at 5-15°C, and termination near 70-76% conversion are effective conditions for producing low-ACN NBR with improved thermal-oxidative durability for oil-resistant sealing applications.</w:t>
      </w:r>
    </w:p>
    <w:p>
      <w:pPr>
        <w:pStyle w:val="Heading2"/>
      </w:pPr>
      <w:r>
        <w:t>2. Primary Patent Evidence</w:t>
      </w:r>
    </w:p>
    <w:p>
      <w:pPr>
        <w:pStyle w:val="Heading3"/>
      </w:pPr>
      <w:r>
        <w:t>Patent 1: CN119978233A — A method for preparing nitrile rubber with improved heat-oxidative aging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CN119978233A</w:t>
            </w:r>
          </w:p>
        </w:tc>
      </w:tr>
      <w:tr>
        <w:tc>
          <w:tcPr>
            <w:tcW w:type="dxa" w:w="4320"/>
          </w:tcPr>
          <w:p>
            <w:r>
              <w:rPr>
                <w:b/>
              </w:rPr>
              <w:t>Title</w:t>
            </w:r>
          </w:p>
        </w:tc>
        <w:tc>
          <w:tcPr>
            <w:tcW w:type="dxa" w:w="4320"/>
          </w:tcPr>
          <w:p>
            <w:r>
              <w:t>A method for preparing nitrile rubber with improved heat-oxidative aging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CN</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low-temperature emulsion copolymerization of butadiene and acrylonitrile to prepare nitrile rubber, with a reactive anti-aging agent containing amide groups incorporated as a functional monomer. Acrylonitrile is added in batches or continuously, preferably in more than three additions, and the latex is terminated, coagulated, washed, and dried after controlled conversion.</w:t>
      </w:r>
    </w:p>
    <w:p>
      <w:pPr>
        <w:pStyle w:val="ListBullet"/>
      </w:pPr>
      <w:r>
        <w:t>Vacuum degree: -0.1 MPa — Example 1</w:t>
      </w:r>
    </w:p>
    <w:p>
      <w:pPr>
        <w:pStyle w:val="ListBullet"/>
      </w:pPr>
      <w:r>
        <w:t>Deionized water: 215 parts — Example 1</w:t>
      </w:r>
    </w:p>
    <w:p>
      <w:pPr>
        <w:pStyle w:val="ListBullet"/>
      </w:pPr>
      <w:r>
        <w:t>Butadiene: 80 parts — Example 1</w:t>
      </w:r>
    </w:p>
    <w:p>
      <w:pPr>
        <w:pStyle w:val="ListBullet"/>
      </w:pPr>
      <w:r>
        <w:t>Acrylonitrile: 11 parts — Example 1</w:t>
      </w:r>
    </w:p>
    <w:p>
      <w:pPr>
        <w:pStyle w:val="ListBullet"/>
      </w:pPr>
      <w:r>
        <w:t>Reactive anti-aging monomer (N-(4-(anilino)phenyl)methacrylamide): 2.3 parts — Example 1</w:t>
      </w:r>
    </w:p>
    <w:p>
      <w:pPr>
        <w:pStyle w:val="ListBullet"/>
      </w:pPr>
      <w:r>
        <w:t>Composite emulsifier: 2.8 parts — Example 1</w:t>
      </w:r>
    </w:p>
    <w:p>
      <w:pPr>
        <w:pStyle w:val="ListBullet"/>
      </w:pPr>
      <w:r>
        <w:t>Disproportionated potassium abietate soap: 2.8 parts — Example 1</w:t>
      </w:r>
    </w:p>
    <w:p>
      <w:pPr>
        <w:pStyle w:val="ListBullet"/>
      </w:pPr>
      <w:r>
        <w:t>Dodecylbenzenesulfonic acid: 1.1 parts — Example 1</w:t>
      </w:r>
    </w:p>
    <w:p>
      <w:pPr>
        <w:pStyle w:val="ListBullet"/>
      </w:pPr>
      <w:r>
        <w:t>Naphthalene sulfonic acid formaldehyde condensate sodium salt: 0.38 parts — Example 1</w:t>
      </w:r>
    </w:p>
    <w:p>
      <w:pPr>
        <w:pStyle w:val="ListBullet"/>
      </w:pPr>
      <w:r>
        <w:t>Sodium ethylenediamine tetraacetate: 0.11 parts — Example 1</w:t>
      </w:r>
    </w:p>
    <w:p>
      <w:pPr>
        <w:pStyle w:val="ListBullet"/>
      </w:pPr>
      <w:r>
        <w:t>Disodium ethylenediamine tetraacetate: 0.04 parts — Example 1</w:t>
      </w:r>
    </w:p>
    <w:p>
      <w:pPr>
        <w:pStyle w:val="ListBullet"/>
      </w:pPr>
      <w:r>
        <w:t>Tertiary dodecyl mercaptan: 0.6 parts — Example 1</w:t>
      </w:r>
    </w:p>
    <w:p>
      <w:pPr>
        <w:pStyle w:val="ListBullet"/>
      </w:pPr>
      <w:r>
        <w:t>Reaction temperature: 7 ℃ — Example 1</w:t>
      </w:r>
    </w:p>
    <w:p>
      <w:pPr>
        <w:pStyle w:val="ListBullet"/>
      </w:pPr>
      <w:r>
        <w:t>Dicumyl hydroperoxide: 0.2 part — Example 1</w:t>
      </w:r>
    </w:p>
    <w:p>
      <w:pPr>
        <w:pStyle w:val="ListBullet"/>
      </w:pPr>
      <w:r>
        <w:t>Secondary acrylonitrile addition at conversion: 30-35% — Example 1</w:t>
      </w:r>
    </w:p>
    <w:p>
      <w:pPr>
        <w:pStyle w:val="ListBullet"/>
      </w:pPr>
      <w:r>
        <w:t>Secondary acrylonitrile: 3 parts — Example 1</w:t>
      </w:r>
    </w:p>
    <w:p>
      <w:pPr>
        <w:pStyle w:val="ListBullet"/>
      </w:pPr>
      <w:r>
        <w:t>Tertiary acrylonitrile addition at conversion: 45-55% — Example 1</w:t>
      </w:r>
    </w:p>
    <w:p>
      <w:pPr>
        <w:pStyle w:val="ListBullet"/>
      </w:pPr>
      <w:r>
        <w:t>Tertiary acrylonitrile: 3 parts — Example 1</w:t>
      </w:r>
    </w:p>
    <w:p>
      <w:pPr>
        <w:pStyle w:val="ListBullet"/>
      </w:pPr>
      <w:r>
        <w:t>Quaternary acrylonitrile addition at conversion: 60-65% — Example 1</w:t>
      </w:r>
    </w:p>
    <w:p>
      <w:pPr>
        <w:pStyle w:val="ListBullet"/>
      </w:pPr>
      <w:r>
        <w:t>Quaternary acrylonitrile: 3 parts — Example 1</w:t>
      </w:r>
    </w:p>
    <w:p>
      <w:pPr>
        <w:pStyle w:val="ListBullet"/>
      </w:pPr>
      <w:r>
        <w:t>Sodium nitrite terminator: 0.07 part — Example 1</w:t>
      </w:r>
    </w:p>
    <w:p>
      <w:pPr>
        <w:pStyle w:val="ListBullet"/>
      </w:pPr>
      <w:r>
        <w:t>Terminator addition at conversion: 73% — Example 1</w:t>
      </w:r>
    </w:p>
    <w:p>
      <w:pPr>
        <w:pStyle w:val="ListBullet"/>
      </w:pPr>
      <w:r>
        <w:t>Butadiene content: 80-83 parts — Claim 2</w:t>
      </w:r>
    </w:p>
    <w:p>
      <w:pPr>
        <w:pStyle w:val="ListBullet"/>
      </w:pPr>
      <w:r>
        <w:t>Acrylonitrile content: 17-20 parts — Claim 2</w:t>
      </w:r>
    </w:p>
    <w:p>
      <w:pPr>
        <w:pStyle w:val="ListBullet"/>
      </w:pPr>
      <w:r>
        <w:t>Polymerization temperature: 5-15 ℃ — Description</w:t>
      </w:r>
    </w:p>
    <w:p>
      <w:pPr>
        <w:pStyle w:val="ListBullet"/>
      </w:pPr>
      <w:r>
        <w:t>Preferred polymerization temperature: 8-12 ℃ — Description</w:t>
      </w:r>
    </w:p>
    <w:p>
      <w:pPr>
        <w:pStyle w:val="ListBullet"/>
      </w:pPr>
      <w:r>
        <w:t>Disproportionated rosin acid soap: 2.0-4.0 parts — Description</w:t>
      </w:r>
    </w:p>
    <w:p>
      <w:pPr>
        <w:pStyle w:val="ListBullet"/>
      </w:pPr>
      <w:r>
        <w:t>Preferred disproportionated rosin acid soap: 2.5-4.0 parts — Description</w:t>
      </w:r>
    </w:p>
    <w:p>
      <w:pPr>
        <w:pStyle w:val="ListBullet"/>
      </w:pPr>
      <w:r>
        <w:t>C10-C13 linear alkylbenzene sulfonic acid: 1.0-2.0 parts — Description</w:t>
      </w:r>
    </w:p>
    <w:p>
      <w:pPr>
        <w:pStyle w:val="ListBullet"/>
      </w:pPr>
      <w:r>
        <w:t>Preferred C10-C13 linear alkylbenzene sulfonic acid: 1.0-1.5 parts — Description</w:t>
      </w:r>
    </w:p>
    <w:p>
      <w:pPr>
        <w:pStyle w:val="ListBullet"/>
      </w:pPr>
      <w:r>
        <w:t>Naphthalene sulfonic acid formaldehyde condensate sodium salt: 0.2-0.5 part — Description</w:t>
      </w:r>
    </w:p>
    <w:p>
      <w:pPr>
        <w:pStyle w:val="ListBullet"/>
      </w:pPr>
      <w:r>
        <w:t>Preferred naphthalene sulfonic acid formaldehyde condensate sodium salt: 0.3-0.5 part — Description</w:t>
      </w:r>
    </w:p>
    <w:p>
      <w:pPr>
        <w:pStyle w:val="ListBullet"/>
      </w:pPr>
      <w:r>
        <w:t>Dicumyl peroxide: 0.1-0.3 part — Description</w:t>
      </w:r>
    </w:p>
    <w:p>
      <w:pPr>
        <w:pStyle w:val="ListBullet"/>
      </w:pPr>
      <w:r>
        <w:t>Sodium ferric ethylenediamine tetraacetate: 0.01-0.15 part — Description</w:t>
      </w:r>
    </w:p>
    <w:p>
      <w:pPr>
        <w:pStyle w:val="ListBullet"/>
      </w:pPr>
      <w:r>
        <w:t>Disodium ethylenediamine tetraacetate: 0.01-0.05 part — Description</w:t>
      </w:r>
    </w:p>
    <w:p>
      <w:pPr>
        <w:pStyle w:val="ListBullet"/>
      </w:pPr>
      <w:r>
        <w:t>Tertiary dodecyl mercaptan: 0.3-0.8 part — Description</w:t>
      </w:r>
    </w:p>
    <w:p>
      <w:pPr>
        <w:pStyle w:val="ListBullet"/>
      </w:pPr>
      <w:r>
        <w:t>Preferred tertiary dodecyl mercaptan: 0.5-0.8 part — Description</w:t>
      </w:r>
    </w:p>
    <w:p>
      <w:pPr>
        <w:pStyle w:val="ListBullet"/>
      </w:pPr>
      <w:r>
        <w:t>Terminator: 0.05-0.15 part — Description</w:t>
      </w:r>
    </w:p>
    <w:p>
      <w:pPr>
        <w:pStyle w:val="ListBullet"/>
      </w:pPr>
      <w:r>
        <w:t>Terminator addition at conversion: 70-76% — Description</w:t>
      </w:r>
    </w:p>
    <w:p>
      <w:pPr>
        <w:pStyle w:val="ListBullet"/>
      </w:pPr>
      <w:r>
        <w:t>Deionized water: 200-230 parts — Description</w:t>
      </w:r>
    </w:p>
    <w:p>
      <w:pPr>
        <w:pStyle w:val="ListBullet"/>
      </w:pPr>
      <w:r>
        <w:t>Reactive anti-aging agent with amide groups: 1.5-2.5 parts — Description</w:t>
      </w:r>
    </w:p>
    <w:p>
      <w:pPr>
        <w:pStyle w:val="ListBullet"/>
      </w:pPr>
      <w:r>
        <w:t>Composite emulsifier: 3.2-6.5 parts — Description</w:t>
      </w:r>
    </w:p>
    <w:p>
      <w:pPr>
        <w:pStyle w:val="ListBullet"/>
      </w:pPr>
      <w:r>
        <w:t>Preferred composite emulsifier: 3.8-6.0 parts — Description</w:t>
      </w:r>
    </w:p>
    <w:p>
      <w:pPr>
        <w:pStyle w:val="Heading4"/>
      </w:pPr>
      <w:r>
        <w:t>Relevant Experimental Evidence</w:t>
      </w:r>
    </w:p>
    <w:p>
      <w:pPr>
        <w:pStyle w:val="ListBullet"/>
      </w:pPr>
      <w:r>
        <w:t>Example 1: Demonstrated low-temperature emulsion polymerization with staged acrylonitrile addition, yielding nitrile rubber after coagulation and drying.</w:t>
      </w:r>
    </w:p>
    <w:p>
      <w:pPr>
        <w:pStyle w:val="ListBullet"/>
      </w:pPr>
      <w:r>
        <w:t>Example 1: Showed a feed schedule where acrylonitrile was added at 30-35%, 45-55%, 60-65%, and termination at 73% conversion.</w:t>
      </w:r>
    </w:p>
    <w:p>
      <w:pPr>
        <w:pStyle w:val="ListBullet"/>
      </w:pPr>
      <w:r>
        <w:t>Examples 2-8: Used the same preparation route as Example 1 with Table 1 variations.</w:t>
      </w:r>
    </w:p>
    <w:p>
      <w:pPr>
        <w:pStyle w:val="ListBullet"/>
      </w:pPr>
      <w:r>
        <w:t>Comparative Examples 1-8: Used the same route with Table 2 variations for performance comparison.</w:t>
      </w:r>
    </w:p>
    <w:p>
      <w:pPr>
        <w:pStyle w:val="ListBullet"/>
      </w:pPr>
      <w:r>
        <w:t>Examples 1-8: Performance testing showed the invention can produce nitrile rubber with combined acrylonitrile content of 17-20% and improved thermal-oxidative aging resistance.</w:t>
      </w:r>
    </w:p>
    <w:p>
      <w:pPr>
        <w:pStyle w:val="Heading4"/>
      </w:pPr>
      <w:r>
        <w:t>Technical Relevance</w:t>
      </w:r>
    </w:p>
    <w:p>
      <w:r>
        <w:t>This patent is directly relevant because it targets low-ACN NBR in the 17-20% range and discloses a practical emulsion polymerization strategy to control acrylonitrile incorporation. Its staged feed, low-temperature operation, and emulsifier/initiator package are all central process levers for low acrylonitrile NBR synthesis.</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available evidence shows that low acrylonitrile NBR is best produced by low-temperature emulsion copolymerization of butadiene and acrylonitrile with tight feed control. For the disclosed primary patent, the most relevant synthesis window is 80-83 parts butadiene and 17-20 parts acrylonitrile, polymerized at 5-15°C, with acrylonitrile added in multiple stages and termination near 70-76% conversion. A mixed emulsifier system and mercaptan chain-transfer agent support stable latex formation and molecular weight control. These conditions are consistent with producing low-ACN NBR suitable for oil-resistant sealing applications with improved heat-oxidative aging resistance.</w:t>
      </w:r>
    </w:p>
    <w:p>
      <w:pPr>
        <w:pStyle w:val="Heading2"/>
      </w:pPr>
      <w:r>
        <w:t>5. References</w:t>
      </w:r>
    </w:p>
    <w:p>
      <w:pPr>
        <w:pStyle w:val="ListBullet"/>
      </w:pPr>
      <w:r>
        <w:t>CN119978233A | A method for preparing nitrile rubber with improved heat-oxidative aging … | Not disclosed | CN | 2025 | https://patents.google.com/patent/CN119978233A/en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