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Low Acrylonitrile NBR Patent Landscape Report</w:t>
      </w:r>
    </w:p>
    <w:p>
      <w:pPr>
        <w:pStyle w:val="Heading2"/>
      </w:pPr>
      <w:r>
        <w:t>1. Abstract</w:t>
      </w:r>
    </w:p>
    <w:p>
      <w:r>
        <w:t>This report reviews three primary patents relevant to low-acrylonitrile nitrile butadiene rubber (NBR) and closely related nitrile elastomer formulations. The target material is a butadiene/acrylonitrile copolymer with reduced acrylonitrile content, typically pursued to balance low-temperature flexibility, processability, and oil resistance while avoiding hydrogenated, carboxylated, epoxidized, or chlorinated variants unless directly relevant as comparative materials. The selected patents do not disclose a dedicated low-ACN NBR polymerization route in the narrow sense; instead, they address composition design and end-use performance of nitrile elastomers in demanding applications.</w:t>
        <w:br/>
        <w:br/>
        <w:t>US9926439B2 discloses a carboxylated nitrile-butadiene rubber latex formulation based on blending two acrylonitrile terpolymers, with the blended acrylonitrile content stated as 17-45 wt% and the terpolymer ratio at 60:40 to 40:60. It emphasizes soft, natural-rubber-like force-strain behavior in dipped articles and provides a process context for latex compounding, ionic crosslinking, and sulfur vulcanization. US10385647B2 focuses on swellable packer compositions using a nitrile elastomer together with butadiene rubber, sulfur curing agent, silica, and powder super absorbent polymer; it is relevant because it explicitly includes nitrile rubber as a matrix option and gives practical high-temperature/high-pressure service conditions, though the patent is centered on swellable downhole seals rather than NBR synthesis. US10443339B2 is a broader elastomeric-material patent for bore tools and packers reinforced with carbon-based nanoplatelets; it mentions NBR among candidate elastomers but does not disclose NBR synthesis or composition control.</w:t>
        <w:br/>
        <w:br/>
        <w:t>Across the landscape, the dominant trends are formulation-driven rather than monomer-feed-driven: blending of nitrile polymers to tune modulus, use of latex dipping and coagulant processes, sulfur/accelerator cure systems, and reinforcement or swell-control additives for downhole durability. For low-ACN NBR synthesis specifically, the evidence supports composition control by monomer ratio as the key lever, but the patents here provide limited direct polymerization recipes.</w:t>
      </w:r>
    </w:p>
    <w:p>
      <w:pPr>
        <w:pStyle w:val="Heading2"/>
      </w:pPr>
      <w:r>
        <w:t>2. Primary Patent Evidence</w:t>
      </w:r>
    </w:p>
    <w:p>
      <w:pPr>
        <w:pStyle w:val="Heading3"/>
      </w:pPr>
      <w:r>
        <w:t>Patent 1: US10385647B2 — Swellable rubber compositions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Patent Number</w:t>
            </w:r>
          </w:p>
        </w:tc>
        <w:tc>
          <w:tcPr>
            <w:tcW w:type="dxa" w:w="4320"/>
          </w:tcPr>
          <w:p>
            <w:r>
              <w:t>US10385647B2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Swellable rubber compositions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Not available from source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Jurisdiction</w:t>
            </w:r>
          </w:p>
        </w:tc>
        <w:tc>
          <w:tcPr>
            <w:tcW w:type="dxa" w:w="4320"/>
          </w:tcPr>
          <w:p>
            <w:r>
              <w:t>US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Publication Year</w:t>
            </w:r>
          </w:p>
        </w:tc>
        <w:tc>
          <w:tcPr>
            <w:tcW w:type="dxa" w:w="4320"/>
          </w:tcPr>
          <w:p>
            <w:r>
              <w:t>2019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 Date</w:t>
            </w:r>
          </w:p>
        </w:tc>
        <w:tc>
          <w:tcPr>
            <w:tcW w:type="dxa" w:w="4320"/>
          </w:tcPr>
          <w:p>
            <w:r>
              <w:t>Not available from source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Legal Status</w:t>
            </w:r>
          </w:p>
        </w:tc>
        <w:tc>
          <w:tcPr>
            <w:tcW w:type="dxa" w:w="4320"/>
          </w:tcPr>
          <w:p>
            <w:r>
              <w:t>Unknown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Polymer Type</w:t>
            </w:r>
          </w:p>
        </w:tc>
        <w:tc>
          <w:tcPr>
            <w:tcW w:type="dxa" w:w="4320"/>
          </w:tcPr>
          <w:p>
            <w:r>
              <w:t>Not available from source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Relevance Classification</w:t>
            </w:r>
          </w:p>
        </w:tc>
        <w:tc>
          <w:tcPr>
            <w:tcW w:type="dxa" w:w="4320"/>
          </w:tcPr>
          <w:p>
            <w:r>
              <w:t>PRIMARY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Relevance to Target</w:t>
            </w:r>
          </w:p>
        </w:tc>
        <w:tc>
          <w:tcPr>
            <w:tcW w:type="dxa" w:w="4320"/>
          </w:tcPr>
          <w:p>
            <w:r>
              <w:t>Automatically extracted candidate</w:t>
            </w:r>
          </w:p>
        </w:tc>
      </w:tr>
    </w:tbl>
    <w:p>
      <w:pPr>
        <w:pStyle w:val="Heading4"/>
      </w:pPr>
      <w:r>
        <w:t>Polymerization / Synthesis Method</w:t>
      </w:r>
    </w:p>
    <w:p>
      <w:pPr>
        <w:pStyle w:val="ListBullet"/>
      </w:pPr>
      <w:r>
        <w:t>Synthesis method: This patent discloses swellable rubber compositions for downhole packers rather than a direct NBR polymerization process. The compositions combine a nitrile elastomer with butadiene rubber, sulfur curing agent, silica, and powder super absorbent polymer, and are processed into packers that swell in brine under heat and pressure.</w:t>
      </w:r>
    </w:p>
    <w:p>
      <w:pPr>
        <w:pStyle w:val="ListBullet"/>
      </w:pPr>
      <w:r>
        <w:t>Powder super absorbent polymer loading: about 125 Phr to about 175 Phr — Claim 2</w:t>
      </w:r>
    </w:p>
    <w:p>
      <w:pPr>
        <w:pStyle w:val="ListBullet"/>
      </w:pPr>
      <w:r>
        <w:t>Powder super absorbent polymer loading: about 170 Phr to about 210 Phr — Claim 3</w:t>
      </w:r>
    </w:p>
    <w:p>
      <w:pPr>
        <w:pStyle w:val="ListBullet"/>
      </w:pPr>
      <w:r>
        <w:t>Powder super absorbent polymer loading: at least about 150 Phr, about 175 Phr, about 200 Phr or about 225 Phr — Claim 4</w:t>
      </w:r>
    </w:p>
    <w:p>
      <w:pPr>
        <w:pStyle w:val="ListBullet"/>
      </w:pPr>
      <w:r>
        <w:t>Powder super absorbent polymer fraction: at least about 50%, about 60%, about 70%, about 80%, about 90%, or about 95% by weight of total SAP — Claim 5</w:t>
      </w:r>
    </w:p>
    <w:p>
      <w:pPr>
        <w:pStyle w:val="ListBullet"/>
      </w:pPr>
      <w:r>
        <w:t>Curing temperature: 330 degrees Fahrenheit — Example 1</w:t>
      </w:r>
    </w:p>
    <w:p>
      <w:pPr>
        <w:pStyle w:val="ListBullet"/>
      </w:pPr>
      <w:r>
        <w:t>Curing pressure: 70 psi — Example 1</w:t>
      </w:r>
    </w:p>
    <w:p>
      <w:pPr>
        <w:pStyle w:val="ListBullet"/>
      </w:pPr>
      <w:r>
        <w:t>Curing time: 2.5 hours — Example 1</w:t>
      </w:r>
    </w:p>
    <w:p>
      <w:pPr>
        <w:pStyle w:val="ListBullet"/>
      </w:pPr>
      <w:r>
        <w:t>Test temperature: 275 degrees Fahrenheit — Example 1</w:t>
      </w:r>
    </w:p>
    <w:p>
      <w:pPr>
        <w:pStyle w:val="ListBullet"/>
      </w:pPr>
      <w:r>
        <w:t>Test salinity: 16% brine — Example 1</w:t>
      </w:r>
    </w:p>
    <w:p>
      <w:pPr>
        <w:pStyle w:val="ListBullet"/>
      </w:pPr>
      <w:r>
        <w:t>Test pressure requirement: 5000 psi — Example 1</w:t>
      </w:r>
    </w:p>
    <w:p>
      <w:pPr>
        <w:pStyle w:val="ListBullet"/>
      </w:pPr>
      <w:r>
        <w:t>SAP loading: 110 Phr — Example 2</w:t>
      </w:r>
    </w:p>
    <w:p>
      <w:pPr>
        <w:pStyle w:val="ListBullet"/>
      </w:pPr>
      <w:r>
        <w:t>SAP loading: 130 Phr — Example 2</w:t>
      </w:r>
    </w:p>
    <w:p>
      <w:pPr>
        <w:pStyle w:val="ListBullet"/>
      </w:pPr>
      <w:r>
        <w:t>SAP loading: 150 Phr — Example 2</w:t>
      </w:r>
    </w:p>
    <w:p>
      <w:pPr>
        <w:pStyle w:val="ListBullet"/>
      </w:pPr>
      <w:r>
        <w:t>SAP loading: 170 Phr — Example 2</w:t>
      </w:r>
    </w:p>
    <w:p>
      <w:pPr>
        <w:pStyle w:val="ListBullet"/>
      </w:pPr>
      <w:r>
        <w:t>Test temperature: 200 degrees Fahrenheit — Example 2</w:t>
      </w:r>
    </w:p>
    <w:p>
      <w:pPr>
        <w:pStyle w:val="ListBullet"/>
      </w:pPr>
      <w:r>
        <w:t>Test temperature: 275 degrees Fahrenheit — Example 2</w:t>
      </w:r>
    </w:p>
    <w:p>
      <w:pPr>
        <w:pStyle w:val="ListBullet"/>
      </w:pPr>
      <w:r>
        <w:t>Test brine concentration: 5% brine by volume — Example 2</w:t>
      </w:r>
    </w:p>
    <w:p>
      <w:pPr>
        <w:pStyle w:val="ListBullet"/>
      </w:pPr>
      <w:r>
        <w:t>Test brine concentration: 16% by volume brine — Example 2</w:t>
      </w:r>
    </w:p>
    <w:p>
      <w:pPr>
        <w:pStyle w:val="ListBullet"/>
      </w:pPr>
      <w:r>
        <w:t>Predicted SAP loading for 75% swell: about 205 Phr — Example 3</w:t>
      </w:r>
    </w:p>
    <w:p>
      <w:pPr>
        <w:pStyle w:val="ListBullet"/>
      </w:pPr>
      <w:r>
        <w:t>Predicted SAP loading for 75% swell: about 190 Phr — Example 3</w:t>
      </w:r>
    </w:p>
    <w:p>
      <w:pPr>
        <w:pStyle w:val="ListBullet"/>
      </w:pPr>
      <w:r>
        <w:t>Maximum load for medium granular SAP: about 170 Phr — Example 3</w:t>
      </w:r>
    </w:p>
    <w:p>
      <w:pPr>
        <w:pStyle w:val="ListBullet"/>
      </w:pPr>
      <w:r>
        <w:t>Predicted SAP loading for 75% swell: about 160 Phr — Example 3</w:t>
      </w:r>
    </w:p>
    <w:p>
      <w:pPr>
        <w:pStyle w:val="ListBullet"/>
      </w:pPr>
      <w:r>
        <w:t>Maximum load for large granular SAP: about 150 Phr — Example 3</w:t>
      </w:r>
    </w:p>
    <w:p>
      <w:pPr>
        <w:pStyle w:val="ListBullet"/>
      </w:pPr>
      <w:r>
        <w:t>Powder SAP loading: 205 Phr — Example 4</w:t>
      </w:r>
    </w:p>
    <w:p>
      <w:pPr>
        <w:pStyle w:val="ListBullet"/>
      </w:pPr>
      <w:r>
        <w:t>NBR rubber loading: 10% Nipol DN3350 — Example 4</w:t>
      </w:r>
    </w:p>
    <w:p>
      <w:pPr>
        <w:pStyle w:val="ListBullet"/>
      </w:pPr>
      <w:r>
        <w:t>HNBR loading: 10% Zetpol 2030L — Example 4</w:t>
      </w:r>
    </w:p>
    <w:p>
      <w:pPr>
        <w:pStyle w:val="ListBullet"/>
      </w:pPr>
      <w:r>
        <w:t>Swelling time: 96 hour — Example 4</w:t>
      </w:r>
    </w:p>
    <w:p>
      <w:pPr>
        <w:pStyle w:val="ListBullet"/>
      </w:pPr>
      <w:r>
        <w:t>Temperature: 200 degrees F. — Example 4</w:t>
      </w:r>
    </w:p>
    <w:p>
      <w:pPr>
        <w:pStyle w:val="ListBullet"/>
      </w:pPr>
      <w:r>
        <w:t>Temperature: 275 degrees F. — Example 4</w:t>
      </w:r>
    </w:p>
    <w:p>
      <w:pPr>
        <w:pStyle w:val="ListBullet"/>
      </w:pPr>
      <w:r>
        <w:t>Brine concentration: 5% brine — Example 4</w:t>
      </w:r>
    </w:p>
    <w:p>
      <w:pPr>
        <w:pStyle w:val="ListBullet"/>
      </w:pPr>
      <w:r>
        <w:t>Brine concentration: 16% brine — Example 4</w:t>
      </w:r>
    </w:p>
    <w:p>
      <w:pPr>
        <w:pStyle w:val="ListBullet"/>
      </w:pPr>
      <w:r>
        <w:t>Powder SAP loading: at least about 150 Phr, 175 Phr, 197 Phr, 200 Phr, 205 Phr or 225 Phr — Example 2A</w:t>
      </w:r>
    </w:p>
    <w:p>
      <w:pPr>
        <w:pStyle w:val="ListBullet"/>
      </w:pPr>
      <w:r>
        <w:t>Heat temperature: about 200 degrees Fahrenheit — Example 3A</w:t>
      </w:r>
    </w:p>
    <w:p>
      <w:pPr>
        <w:pStyle w:val="ListBullet"/>
      </w:pPr>
      <w:r>
        <w:t>Heat temperature: about 275 degrees Fahrenheit — Example 4A</w:t>
      </w:r>
    </w:p>
    <w:p>
      <w:pPr>
        <w:pStyle w:val="ListBullet"/>
      </w:pPr>
      <w:r>
        <w:t>Brine concentration: about 5% weight/volume — Example 5A</w:t>
      </w:r>
    </w:p>
    <w:p>
      <w:pPr>
        <w:pStyle w:val="ListBullet"/>
      </w:pPr>
      <w:r>
        <w:t>Brine concentration: about 16% weight/volume — Example 6A</w:t>
      </w:r>
    </w:p>
    <w:p>
      <w:pPr>
        <w:pStyle w:val="ListBullet"/>
      </w:pPr>
      <w:r>
        <w:t>Swelling: at least about 50%, 60%, 65%, 70%, 75%, 80%, or 90% by volume — Example 7A</w:t>
      </w:r>
    </w:p>
    <w:p>
      <w:pPr>
        <w:pStyle w:val="ListBullet"/>
      </w:pPr>
      <w:r>
        <w:t>Duration of time: about 2, 3, 4, or 5 days — Example 8A</w:t>
      </w:r>
    </w:p>
    <w:p>
      <w:pPr>
        <w:pStyle w:val="ListBullet"/>
      </w:pPr>
      <w:r>
        <w:t>Pressure resistance: at least about 3000, 4000, 5000, 6000, 70000, or 8000 psi — Example 9A</w:t>
      </w:r>
    </w:p>
    <w:p>
      <w:pPr>
        <w:pStyle w:val="ListBullet"/>
      </w:pPr>
      <w:r>
        <w:t>Pressure resistance: at least about 5000 psi — Example 11A</w:t>
      </w:r>
    </w:p>
    <w:p>
      <w:pPr>
        <w:pStyle w:val="ListBullet"/>
      </w:pPr>
      <w:r>
        <w:t>Temperature resistance: at least about 200 degrees Fahrenheit — Example 11A</w:t>
      </w:r>
    </w:p>
    <w:p>
      <w:pPr>
        <w:pStyle w:val="ListBullet"/>
      </w:pPr>
      <w:r>
        <w:t>Temperature resistance: at least about 275 degrees Fahrenheit — Example 12A</w:t>
      </w:r>
    </w:p>
    <w:p>
      <w:pPr>
        <w:pStyle w:val="Heading4"/>
      </w:pPr>
      <w:r>
        <w:t>Relevant Experimental Evidence</w:t>
      </w:r>
    </w:p>
    <w:p>
      <w:pPr>
        <w:pStyle w:val="ListBullet"/>
      </w:pPr>
      <w:r>
        <w:t>Example 1: A packer using Composition B was cured at 330°F and 70 psi for 2.5 hours and then withstood 16% brine at 275°F and about 300 psi, later surviving &gt;5000 psi differential pressure.</w:t>
      </w:r>
    </w:p>
    <w:p>
      <w:pPr>
        <w:pStyle w:val="ListBullet"/>
      </w:pPr>
      <w:r>
        <w:t>Example 2: Powder, medium granular, and large granular SAPs were compared at 110-170 Phr, showing strong dependence of swelling and leaching on SAP type and loading.</w:t>
      </w:r>
    </w:p>
    <w:p>
      <w:pPr>
        <w:pStyle w:val="ListBullet"/>
      </w:pPr>
      <w:r>
        <w:t>Example 3: The data were used to predict 75% swell targets, with powder SAP supporting the highest practical loading and best manufacturability.</w:t>
      </w:r>
    </w:p>
    <w:p>
      <w:pPr>
        <w:pStyle w:val="ListBullet"/>
      </w:pPr>
      <w:r>
        <w:t>Example 4: A 205 Phr powder SAP formulation with 10% NBR or 10% HNBR showed excellent green strength and acceptable processing, with comparable swelling performance.</w:t>
      </w:r>
    </w:p>
    <w:p>
      <w:pPr>
        <w:pStyle w:val="Heading4"/>
      </w:pPr>
      <w:r>
        <w:t>Technical Relevance</w:t>
      </w:r>
    </w:p>
    <w:p>
      <w:r>
        <w:t>This patent is relevant because it explicitly uses nitrile elastomer as a matrix component in a swellable rubber system and provides practical high-temperature/high-pressure service conditions. While not a synthesis patent for low-ACN NBR, it shows how nitrile rubber formulations are tuned for downhole sealing performance.</w:t>
      </w:r>
    </w:p>
    <w:p>
      <w:pPr>
        <w:pStyle w:val="Heading3"/>
      </w:pPr>
      <w:r>
        <w:t>Patent 2: US9926439B2 — Nitrile rubber article having natural rubber characteristics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Patent Number</w:t>
            </w:r>
          </w:p>
        </w:tc>
        <w:tc>
          <w:tcPr>
            <w:tcW w:type="dxa" w:w="4320"/>
          </w:tcPr>
          <w:p>
            <w:r>
              <w:t>US9926439B2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Nitrile rubber article having natural rubber characteristics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Not available from source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Jurisdiction</w:t>
            </w:r>
          </w:p>
        </w:tc>
        <w:tc>
          <w:tcPr>
            <w:tcW w:type="dxa" w:w="4320"/>
          </w:tcPr>
          <w:p>
            <w:r>
              <w:t>US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Publication Year</w:t>
            </w:r>
          </w:p>
        </w:tc>
        <w:tc>
          <w:tcPr>
            <w:tcW w:type="dxa" w:w="4320"/>
          </w:tcPr>
          <w:p>
            <w:r>
              <w:t>2018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 Date</w:t>
            </w:r>
          </w:p>
        </w:tc>
        <w:tc>
          <w:tcPr>
            <w:tcW w:type="dxa" w:w="4320"/>
          </w:tcPr>
          <w:p>
            <w:r>
              <w:t>Not available from source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Legal Status</w:t>
            </w:r>
          </w:p>
        </w:tc>
        <w:tc>
          <w:tcPr>
            <w:tcW w:type="dxa" w:w="4320"/>
          </w:tcPr>
          <w:p>
            <w:r>
              <w:t>Unknown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Polymer Type</w:t>
            </w:r>
          </w:p>
        </w:tc>
        <w:tc>
          <w:tcPr>
            <w:tcW w:type="dxa" w:w="4320"/>
          </w:tcPr>
          <w:p>
            <w:r>
              <w:t>Not available from source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Relevance Classification</w:t>
            </w:r>
          </w:p>
        </w:tc>
        <w:tc>
          <w:tcPr>
            <w:tcW w:type="dxa" w:w="4320"/>
          </w:tcPr>
          <w:p>
            <w:r>
              <w:t>PRIMARY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Relevance to Target</w:t>
            </w:r>
          </w:p>
        </w:tc>
        <w:tc>
          <w:tcPr>
            <w:tcW w:type="dxa" w:w="4320"/>
          </w:tcPr>
          <w:p>
            <w:r>
              <w:t>Automatically extracted candidate</w:t>
            </w:r>
          </w:p>
        </w:tc>
      </w:tr>
    </w:tbl>
    <w:p>
      <w:pPr>
        <w:pStyle w:val="Heading4"/>
      </w:pPr>
      <w:r>
        <w:t>Polymerization / Synthesis Method</w:t>
      </w:r>
    </w:p>
    <w:p>
      <w:pPr>
        <w:pStyle w:val="ListBullet"/>
      </w:pPr>
      <w:r>
        <w:t>Synthesis method: This patent discloses a carboxylated nitrile-butadiene rubber latex formulation made by blending a first and second acrylonitrile terpolymer in a defined ratio. The latex is designed for dipped elastomeric articles with soft, natural-rubber-like force-strain behavior, using ionic crosslinking and sulfur vulcanization to balance softness, strength, and processability.</w:t>
      </w:r>
    </w:p>
    <w:p>
      <w:pPr>
        <w:pStyle w:val="ListBullet"/>
      </w:pPr>
      <w:r>
        <w:t>Acrylonitrile content of blended terpolymers: between 17 and 45% by weight — Abstract/Claim 1</w:t>
      </w:r>
    </w:p>
    <w:p>
      <w:pPr>
        <w:pStyle w:val="ListBullet"/>
      </w:pPr>
      <w:r>
        <w:t>Methacrylic acid content: less than 15% by weight — Abstract/Claim 1</w:t>
      </w:r>
    </w:p>
    <w:p>
      <w:pPr>
        <w:pStyle w:val="ListBullet"/>
      </w:pPr>
      <w:r>
        <w:t>First/second terpolymer ratio: 60:40 to 40:60 — Claim 1</w:t>
      </w:r>
    </w:p>
    <w:p>
      <w:pPr>
        <w:pStyle w:val="ListBullet"/>
      </w:pPr>
      <w:r>
        <w:t>Alkali agent: 0-1.5 parts per 100 dry parts of rubber — Claim 3</w:t>
      </w:r>
    </w:p>
    <w:p>
      <w:pPr>
        <w:pStyle w:val="ListBullet"/>
      </w:pPr>
      <w:r>
        <w:t>Metallic oxide: 0.5-1.5 parts per 100 dry parts of rubber — Claim 3</w:t>
      </w:r>
    </w:p>
    <w:p>
      <w:pPr>
        <w:pStyle w:val="ListBullet"/>
      </w:pPr>
      <w:r>
        <w:t>Sulfur: 0.5-1.5 parts per 100 dry parts of rubber — Claim 4</w:t>
      </w:r>
    </w:p>
    <w:p>
      <w:pPr>
        <w:pStyle w:val="ListBullet"/>
      </w:pPr>
      <w:r>
        <w:t>Rubber accelerator: 0.5-1.5 parts per 100 dry parts of rubber — Claim 4</w:t>
      </w:r>
    </w:p>
    <w:p>
      <w:pPr>
        <w:pStyle w:val="ListBullet"/>
      </w:pPr>
      <w:r>
        <w:t>Formulation pH: 9 to 12.5 — Claim 5</w:t>
      </w:r>
    </w:p>
    <w:p>
      <w:pPr>
        <w:pStyle w:val="ListBullet"/>
      </w:pPr>
      <w:r>
        <w:t>Solids content of nitrile emulsion: 40-45% — Example section</w:t>
      </w:r>
    </w:p>
    <w:p>
      <w:pPr>
        <w:pStyle w:val="ListBullet"/>
      </w:pPr>
      <w:r>
        <w:t>Reduced solids content: approximately 23% — Example section</w:t>
      </w:r>
    </w:p>
    <w:p>
      <w:pPr>
        <w:pStyle w:val="ListBullet"/>
      </w:pPr>
      <w:r>
        <w:t>Further reduced solids content: approximately 20% — Example section</w:t>
      </w:r>
    </w:p>
    <w:p>
      <w:pPr>
        <w:pStyle w:val="ListBullet"/>
      </w:pPr>
      <w:r>
        <w:t>Mould preheat temperature: approximately 55-60 degrees C. — Example section</w:t>
      </w:r>
    </w:p>
    <w:p>
      <w:pPr>
        <w:pStyle w:val="ListBullet"/>
      </w:pPr>
      <w:r>
        <w:t>Preferred mould preheat temperature: about 58 degrees C. — Example section</w:t>
      </w:r>
    </w:p>
    <w:p>
      <w:pPr>
        <w:pStyle w:val="ListBullet"/>
      </w:pPr>
      <w:r>
        <w:t>Reheat temperature after coagulant dip: approximately 70 degrees C. ± 5 degrees C. — Example section</w:t>
      </w:r>
    </w:p>
    <w:p>
      <w:pPr>
        <w:pStyle w:val="ListBullet"/>
      </w:pPr>
      <w:r>
        <w:t>Drying temperature: about 80 degrees C. to below about 100 degrees C. — Example section</w:t>
      </w:r>
    </w:p>
    <w:p>
      <w:pPr>
        <w:pStyle w:val="ListBullet"/>
      </w:pPr>
      <w:r>
        <w:t>Stress relaxation time: about 10-15 minutes — synthesis/background section</w:t>
      </w:r>
    </w:p>
    <w:p>
      <w:pPr>
        <w:pStyle w:val="ListBullet"/>
      </w:pPr>
      <w:r>
        <w:t>Elastic modulus: about 3 MPa to about 6 MPa — summary section</w:t>
      </w:r>
    </w:p>
    <w:p>
      <w:pPr>
        <w:pStyle w:val="ListBullet"/>
      </w:pPr>
      <w:r>
        <w:t>Tensile strength: about 30 or 32 MPa to about 56 or 58 MPa — summary section</w:t>
      </w:r>
    </w:p>
    <w:p>
      <w:pPr>
        <w:pStyle w:val="ListBullet"/>
      </w:pPr>
      <w:r>
        <w:t>Glove thickness: about 0.05 mm to about 0.10 or 0.11 mm — summary section</w:t>
      </w:r>
    </w:p>
    <w:p>
      <w:pPr>
        <w:pStyle w:val="ListBullet"/>
      </w:pPr>
      <w:r>
        <w:t>Conventional glove thickness: about 0.14 ± 0.02 mm — summary section</w:t>
      </w:r>
    </w:p>
    <w:p>
      <w:pPr>
        <w:pStyle w:val="Heading4"/>
      </w:pPr>
      <w:r>
        <w:t>Relevant Experimental Evidence</w:t>
      </w:r>
    </w:p>
    <w:p>
      <w:pPr>
        <w:pStyle w:val="ListBullet"/>
      </w:pPr>
      <w:r>
        <w:t>Example 1: Demonstrated low force at 400% elongation for the inventive nitrile article relative to comparative nitrile gloves.</w:t>
      </w:r>
    </w:p>
    <w:p>
      <w:pPr>
        <w:pStyle w:val="ListBullet"/>
      </w:pPr>
      <w:r>
        <w:t>Example 2: Showed a similar soft-stretch response with the inventive formulation.</w:t>
      </w:r>
    </w:p>
    <w:p>
      <w:pPr>
        <w:pStyle w:val="ListBullet"/>
      </w:pPr>
      <w:r>
        <w:t>Example 3: Confirmed the inventive article maintained low force at high elongation while preserving nitrile properties.</w:t>
      </w:r>
    </w:p>
    <w:p>
      <w:pPr>
        <w:pStyle w:val="ListBullet"/>
      </w:pPr>
      <w:r>
        <w:t>Example 4: Reinforced the consistency of the soft-nitrile behavior across examples.</w:t>
      </w:r>
    </w:p>
    <w:p>
      <w:pPr>
        <w:pStyle w:val="ListBullet"/>
      </w:pPr>
      <w:r>
        <w:t>Example 12: Comparative data showed the inventive examples required only a fraction of the force of eight comparative nitrile examples.</w:t>
      </w:r>
    </w:p>
    <w:p>
      <w:pPr>
        <w:pStyle w:val="Heading4"/>
      </w:pPr>
      <w:r>
        <w:t>Technical Relevance</w:t>
      </w:r>
    </w:p>
    <w:p>
      <w:r>
        <w:t>This is the most directly relevant patent for low-ACN NBR because it explicitly defines acrylonitrile content in the 17-45 wt% range and uses blending of nitrile terpolymers to tune softness and film formation. It provides a clear composition-control strategy for nitrile rubber articles, even though the focus is on carboxylated latex rather than a pure low-ACN NBR synthesis route.</w:t>
      </w:r>
    </w:p>
    <w:p>
      <w:pPr>
        <w:pStyle w:val="Heading3"/>
      </w:pPr>
      <w:r>
        <w:t>Patent 3: US10443339B2 — Elastomeric materials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Patent Number</w:t>
            </w:r>
          </w:p>
        </w:tc>
        <w:tc>
          <w:tcPr>
            <w:tcW w:type="dxa" w:w="4320"/>
          </w:tcPr>
          <w:p>
            <w:r>
              <w:t>US10443339B2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Elastomeric materials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Not available from source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Jurisdiction</w:t>
            </w:r>
          </w:p>
        </w:tc>
        <w:tc>
          <w:tcPr>
            <w:tcW w:type="dxa" w:w="4320"/>
          </w:tcPr>
          <w:p>
            <w:r>
              <w:t>US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Publication Year</w:t>
            </w:r>
          </w:p>
        </w:tc>
        <w:tc>
          <w:tcPr>
            <w:tcW w:type="dxa" w:w="4320"/>
          </w:tcPr>
          <w:p>
            <w:r>
              <w:t>2019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 Date</w:t>
            </w:r>
          </w:p>
        </w:tc>
        <w:tc>
          <w:tcPr>
            <w:tcW w:type="dxa" w:w="4320"/>
          </w:tcPr>
          <w:p>
            <w:r>
              <w:t>Not available from source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Legal Status</w:t>
            </w:r>
          </w:p>
        </w:tc>
        <w:tc>
          <w:tcPr>
            <w:tcW w:type="dxa" w:w="4320"/>
          </w:tcPr>
          <w:p>
            <w:r>
              <w:t>Unknown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Polymer Type</w:t>
            </w:r>
          </w:p>
        </w:tc>
        <w:tc>
          <w:tcPr>
            <w:tcW w:type="dxa" w:w="4320"/>
          </w:tcPr>
          <w:p>
            <w:r>
              <w:t>Not available from source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Relevance Classification</w:t>
            </w:r>
          </w:p>
        </w:tc>
        <w:tc>
          <w:tcPr>
            <w:tcW w:type="dxa" w:w="4320"/>
          </w:tcPr>
          <w:p>
            <w:r>
              <w:t>PRIMARY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Relevance to Target</w:t>
            </w:r>
          </w:p>
        </w:tc>
        <w:tc>
          <w:tcPr>
            <w:tcW w:type="dxa" w:w="4320"/>
          </w:tcPr>
          <w:p>
            <w:r>
              <w:t>Automatically extracted candidate</w:t>
            </w:r>
          </w:p>
        </w:tc>
      </w:tr>
    </w:tbl>
    <w:p>
      <w:pPr>
        <w:pStyle w:val="Heading4"/>
      </w:pPr>
      <w:r>
        <w:t>Polymerization / Synthesis Method</w:t>
      </w:r>
    </w:p>
    <w:p>
      <w:pPr>
        <w:pStyle w:val="ListBullet"/>
      </w:pPr>
      <w:r>
        <w:t>Synthesis method: This patent discloses elastomeric bore-tool and packer components reinforced with carbon-based nanoplatelets in an elastomeric matrix. It is a materials and device patent rather than a nitrile polymerization patent, and it broadly contemplates elastomers such as NBR, HNBR, AFLAS, and EPDM as candidate matrices.</w:t>
      </w:r>
    </w:p>
    <w:p>
      <w:pPr>
        <w:pStyle w:val="ListBullet"/>
      </w:pPr>
      <w:r>
        <w:t>Carbon-based nanoplatelets content: less than approximately 10 percent by weight — Claim 1</w:t>
      </w:r>
    </w:p>
    <w:p>
      <w:pPr>
        <w:pStyle w:val="ListBullet"/>
      </w:pPr>
      <w:r>
        <w:t>HPHT environment pressure: up to about 138 MPa — Detailed description</w:t>
      </w:r>
    </w:p>
    <w:p>
      <w:pPr>
        <w:pStyle w:val="ListBullet"/>
      </w:pPr>
      <w:r>
        <w:t>HPHT environment temperature: up to about 205 degrees C. — Detailed description</w:t>
      </w:r>
    </w:p>
    <w:p>
      <w:pPr>
        <w:pStyle w:val="ListBullet"/>
      </w:pPr>
      <w:r>
        <w:t>Ultra-HPHT environment pressure: up to about 241 MPa — Detailed description</w:t>
      </w:r>
    </w:p>
    <w:p>
      <w:pPr>
        <w:pStyle w:val="ListBullet"/>
      </w:pPr>
      <w:r>
        <w:t>Ultra-HPHT environment temperature: up to about 260 degrees C. — Detailed description</w:t>
      </w:r>
    </w:p>
    <w:p>
      <w:pPr>
        <w:pStyle w:val="ListBullet"/>
      </w:pPr>
      <w:r>
        <w:t>HPHT-hc environment pressure: greater than about 241 MPa — Detailed description</w:t>
      </w:r>
    </w:p>
    <w:p>
      <w:pPr>
        <w:pStyle w:val="ListBullet"/>
      </w:pPr>
      <w:r>
        <w:t>HPHT-hc environment temperature: greater than about 260 degrees C. — Detailed description</w:t>
      </w:r>
    </w:p>
    <w:p>
      <w:pPr>
        <w:pStyle w:val="ListBullet"/>
      </w:pPr>
      <w:r>
        <w:t>Young's modulus: about 3 MPa — Detailed description</w:t>
      </w:r>
    </w:p>
    <w:p>
      <w:pPr>
        <w:pStyle w:val="ListBullet"/>
      </w:pPr>
      <w:r>
        <w:t>HNBR mechanical property decrease temperature: about 160 degrees C. — Detailed description</w:t>
      </w:r>
    </w:p>
    <w:p>
      <w:pPr>
        <w:pStyle w:val="ListBullet"/>
      </w:pPr>
      <w:r>
        <w:t>AFLAS mechanical property decrease temperature: about 220 degrees C. — Detailed description</w:t>
      </w:r>
    </w:p>
    <w:p>
      <w:pPr>
        <w:pStyle w:val="Heading4"/>
      </w:pPr>
      <w:r>
        <w:t>Relevant Experimental Evidence</w:t>
      </w:r>
    </w:p>
    <w:p>
      <w:pPr>
        <w:pStyle w:val="ListBullet"/>
      </w:pPr>
      <w:r>
        <w:t>No experimental evidence extracted from available evidence.</w:t>
      </w:r>
    </w:p>
    <w:p>
      <w:pPr>
        <w:pStyle w:val="Heading4"/>
      </w:pPr>
      <w:r>
        <w:t>Technical Relevance</w:t>
      </w:r>
    </w:p>
    <w:p>
      <w:r>
        <w:t>This patent is only indirectly relevant to low-acrylonitrile NBR because it mentions NBR as one possible elastomer matrix for high-performance bore tools. It does not teach NBR synthesis or acrylonitrile-content control, but it does show the service environment and reinforcement concepts where NBR-based materials may be deployed.</w:t>
      </w:r>
    </w:p>
    <w:p>
      <w:pPr>
        <w:pStyle w:val="Heading2"/>
      </w:pPr>
      <w:r>
        <w:t>3. Cross-Patent Comparison &amp; Synthesis Trends</w:t>
      </w:r>
    </w:p>
    <w:p>
      <w:pPr>
        <w:pStyle w:val="ListBullet"/>
      </w:pPr>
      <w:r>
        <w:t>US9926439B2 is the only patent in the set that explicitly controls acrylonitrile content; it states 17-45 wt% ACN and a 60:40 to 40:60 blend ratio of two acrylonitrile terpolymers.</w:t>
      </w:r>
    </w:p>
    <w:p>
      <w:pPr>
        <w:pStyle w:val="ListBullet"/>
      </w:pPr>
      <w:r>
        <w:t>US10385647B2 uses nitrile elastomer as a formulation component in swellable packers, but the patent emphasis is on SAP loading, brine swelling, and downhole durability rather than monomer composition.</w:t>
      </w:r>
    </w:p>
    <w:p>
      <w:pPr>
        <w:pStyle w:val="ListBullet"/>
      </w:pPr>
      <w:r>
        <w:t>US10443339B2 is a reinforcement/materials patent for bore tools and packers; it mentions NBR as a possible elastomer but provides no NBR composition or polymerization recipe.</w:t>
      </w:r>
    </w:p>
    <w:p>
      <w:pPr>
        <w:pStyle w:val="ListBullet"/>
      </w:pPr>
      <w:r>
        <w:t>Process-wise, US9926439B2 relies on latex blending, coagulant dipping, ionic crosslinking, and sulfur vulcanization; US10385647B2 relies on cured swellable rubber formulations with powder SAP; US10443339B2 relies on elastomeric matrices reinforced with carbon-based nanoplatelets.</w:t>
      </w:r>
    </w:p>
    <w:p>
      <w:pPr>
        <w:pStyle w:val="ListBullet"/>
      </w:pPr>
      <w:r>
        <w:t>Temperature and pressure service conditions are most explicit in US10385647B2 and US10443339B2, with US10385647B2 showing 200-275°F brine testing and &gt;5000 psi resistance, and US10443339B2 citing HPHT conditions up to 138 MPa and 205°C.</w:t>
      </w:r>
    </w:p>
    <w:p>
      <w:pPr>
        <w:pStyle w:val="ListBullet"/>
      </w:pPr>
      <w:r>
        <w:t>For low-ACN NBR synthesis, the strongest evidence is composition tuning in US9926439B2; the other two patents are application-oriented and only indirectly informative.</w:t>
      </w:r>
    </w:p>
    <w:p>
      <w:pPr>
        <w:pStyle w:val="Heading2"/>
      </w:pPr>
      <w:r>
        <w:t>4. Conclusion</w:t>
      </w:r>
    </w:p>
    <w:p>
      <w:r>
        <w:t>The evidence base shows that low-acrylonitrile NBR development is driven primarily by composition control rather than by novel monomer-polymerization chemistry in these patents. US9926439B2 provides the clearest compositional guidance, with blended acrylonitrile terpolymers at 17-45 wt% ACN and a 60:40 to 40:60 blend ratio, supporting soft, natural-rubber-like behavior while retaining nitrile performance. US10385647B2 and US10443339B2 are valuable application patents for downhole elastomer service, but they do not materially advance low-ACN NBR synthesis itself.</w:t>
        <w:br/>
        <w:br/>
        <w:t>Based on the disclosed evidence, the most defensible synthesis/design direction for low-ACN NBR is to target the lower end of the nitrile-content window while maintaining latex processability and cure balance, then validate performance in brine, heat, and pressure. For practical formulation work, the data support using latex-based processing, controlled ionic crosslinking, and sulfur cure systems, with downstream reinforcement or SAP additions only as needed for the final application. The patents collectively suggest that low-ACN NBR should be optimized by monomer ratio and formulation architecture, not by aggressive post-modification.</w:t>
      </w:r>
    </w:p>
    <w:p>
      <w:pPr>
        <w:pStyle w:val="Heading2"/>
      </w:pPr>
      <w:r>
        <w:t>5. References</w:t>
      </w:r>
    </w:p>
    <w:p>
      <w:pPr>
        <w:pStyle w:val="ListBullet"/>
      </w:pPr>
      <w:r>
        <w:t>US10385647B2 | Swellable rubber compositions | Not disclosed | US | 2019 | https://patents.google.com/patent/US10385647B2/en</w:t>
      </w:r>
    </w:p>
    <w:p>
      <w:pPr>
        <w:pStyle w:val="ListBullet"/>
      </w:pPr>
      <w:r>
        <w:t>US9926439B2 | Nitrile rubber article having natural rubber characteristics | Not disclosed | US | 2018 | https://patents.google.com/patent/US9926439B2/en</w:t>
      </w:r>
    </w:p>
    <w:p>
      <w:pPr>
        <w:pStyle w:val="ListBullet"/>
      </w:pPr>
      <w:r>
        <w:t>US10443339B2 | Elastomeric materials | Not disclosed | US | 2019 | https://patents.google.com/patent/US10443339B2/en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