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A05FD9" w:rsidRDefault="00A05FD9" w:rsidP="004F0FBA">
      <w:pPr>
        <w:pStyle w:val="Heading1"/>
      </w:pPr>
      <w:r>
        <w:t>Intro</w:t>
      </w:r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r>
        <w:t>Sommario Operazioni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r>
        <w:t>Dettaglio Operazioni</w:t>
      </w:r>
    </w:p>
    <w:p w:rsidR="004F0FBA" w:rsidRDefault="004F0FBA" w:rsidP="002626DB">
      <w:pPr>
        <w:pStyle w:val="Heading2"/>
      </w:pPr>
      <w:r>
        <w:t xml:space="preserve">Elenco categorie </w:t>
      </w:r>
      <w:r w:rsidRPr="004F0FBA">
        <w:t>presenti</w:t>
      </w:r>
      <w:r>
        <w:t xml:space="preserve">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712F71" w:rsidP="005C7E55">
            <w:r>
              <w:t>Le Categorie così recuperate non hanno l’elenco degli Allergenti popolato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r>
        <w:t>Selezion</w:t>
      </w:r>
      <w:r w:rsidR="004F0FBA">
        <w:t>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2626DB" w:rsidRDefault="00A05FD9" w:rsidP="004F0FBA">
      <w:r>
        <w:t>L’implementazione può controllare la valdiità del parametro ed eventualmente normalizzarlo.</w:t>
      </w:r>
    </w:p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Crea</w:t>
      </w:r>
      <w:r w:rsidR="004F0FBA">
        <w:t>zione</w:t>
      </w:r>
      <w:r>
        <w:t xml:space="preserve"> nuova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104BB3" w:rsidRDefault="004F0FBA" w:rsidP="00104BB3">
            <w:pPr>
              <w:pStyle w:val="ListParagraph"/>
              <w:numPr>
                <w:ilvl w:val="0"/>
                <w:numId w:val="6"/>
              </w:numPr>
            </w:pPr>
            <w:r w:rsidRPr="004F0FBA"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che si vuole creare non esiste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4F0FBA" w:rsidRPr="00463442" w:rsidRDefault="00822818" w:rsidP="00104BB3">
            <w:r>
              <w:t>Se il nome non esiste, crea la categoria.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A05FD9" w:rsidRDefault="002E2441" w:rsidP="004F0FBA">
      <w:pPr>
        <w:pStyle w:val="Heading2"/>
      </w:pPr>
      <w:r>
        <w:t>Modifica</w:t>
      </w:r>
      <w:r w:rsidR="00A05FD9">
        <w:t xml:space="preserve"> categoria</w:t>
      </w:r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r w:rsidRPr="008832B9">
        <w:t>Modifica del nome della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2E2441" w:rsidP="005C7E55">
            <w:r>
              <w:t>Viene modificato il nome della categoria</w:t>
            </w:r>
            <w:r w:rsidR="00822818">
              <w:t>.</w:t>
            </w:r>
            <w:r>
              <w:t xml:space="preserve"> L’insieme degli allergeni associati resta invariato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</w:t>
            </w:r>
            <w:bookmarkStart w:id="0" w:name="_GoBack"/>
            <w:bookmarkEnd w:id="0"/>
            <w:r>
              <w:t xml:space="preserve"> precondizioni</w:t>
            </w:r>
          </w:p>
        </w:tc>
      </w:tr>
    </w:tbl>
    <w:p w:rsidR="008832B9" w:rsidRDefault="00C90C0A" w:rsidP="004F0FBA">
      <w:pPr>
        <w:pStyle w:val="Heading3"/>
      </w:pPr>
      <w:r w:rsidRPr="008832B9">
        <w:t>Modifica elenco Allergeni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Elimina</w:t>
      </w:r>
      <w:r w:rsidR="007C3657">
        <w:t>zione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  <w:p w:rsidR="0077645E" w:rsidRPr="007C3657" w:rsidRDefault="0077645E" w:rsidP="007C3657">
            <w:pPr>
              <w:pStyle w:val="ListParagraph"/>
              <w:numPr>
                <w:ilvl w:val="0"/>
                <w:numId w:val="14"/>
              </w:numPr>
            </w:pPr>
            <w:r>
              <w:t>Non ci sono Report che referenziano 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  <w:r w:rsidR="0077645E">
              <w:t xml:space="preserve"> o 3</w:t>
            </w:r>
          </w:p>
        </w:tc>
      </w:tr>
    </w:tbl>
    <w:p w:rsidR="004F0FBA" w:rsidRPr="00966B31" w:rsidRDefault="004F0FBA" w:rsidP="004F0FBA"/>
    <w:sectPr w:rsidR="004F0FBA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104BB3"/>
    <w:rsid w:val="002626DB"/>
    <w:rsid w:val="002E2441"/>
    <w:rsid w:val="003C3807"/>
    <w:rsid w:val="004F0FBA"/>
    <w:rsid w:val="00544AD8"/>
    <w:rsid w:val="005D6223"/>
    <w:rsid w:val="00607FC5"/>
    <w:rsid w:val="006442E2"/>
    <w:rsid w:val="00656196"/>
    <w:rsid w:val="006B6AC8"/>
    <w:rsid w:val="00712F71"/>
    <w:rsid w:val="0077645E"/>
    <w:rsid w:val="007A6446"/>
    <w:rsid w:val="007C3657"/>
    <w:rsid w:val="00822818"/>
    <w:rsid w:val="008832B9"/>
    <w:rsid w:val="008F6676"/>
    <w:rsid w:val="009279AF"/>
    <w:rsid w:val="00966B31"/>
    <w:rsid w:val="009A30DE"/>
    <w:rsid w:val="00A05FD9"/>
    <w:rsid w:val="00AD0CB7"/>
    <w:rsid w:val="00B8479A"/>
    <w:rsid w:val="00BB266F"/>
    <w:rsid w:val="00C90C0A"/>
    <w:rsid w:val="00CA21E4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68D6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15</cp:revision>
  <dcterms:created xsi:type="dcterms:W3CDTF">2018-01-17T16:14:00Z</dcterms:created>
  <dcterms:modified xsi:type="dcterms:W3CDTF">2018-01-29T21:00:00Z</dcterms:modified>
</cp:coreProperties>
</file>