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YAF Backend — Tech Stack &amp; Schema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Condensed reference: what the system is built from, how the database is shaped, and open findings.</w:t>
      </w:r>
    </w:p>
    <w:p>
      <w:pPr>
        <w:pStyle w:val="Heading1"/>
        <w:spacing w:after="120" w:before="240"/>
      </w:pPr>
      <w:r>
        <w:t xml:space="preserve">1. Tech Stack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240"/>
      </w:tblGrid>
      <w:tr>
        <w:trPr>
          <w:tblHeader/>
        </w:trP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 1.25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Module github.com/pffan91/yaf-backend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Router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go-chi/chi v5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net/http handlers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database/sql + lib/pq, raw SQL, no ORM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Firebase ID tokens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 in middleware; bypassable in local dev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godotenv + config.Load()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defaults inline in config/config.go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log/slog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Structured, passed explicitly into components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 test + testify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mocking framework; hand-written fakes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Ad-hoc go commands</w:t>
            </w:r>
          </w:p>
        </w:tc>
        <w:tc>
          <w:tcPr>
            <w:tcW w:type="dxa" w:w="5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Makefile</w:t>
            </w:r>
          </w:p>
        </w:tc>
      </w:tr>
    </w:tbl>
    <w:p>
      <w:pPr>
        <w:spacing w:after="60"/>
      </w:pPr>
    </w:p>
    <w:p>
      <w:pPr>
        <w:pStyle w:val="Heading2"/>
        <w:spacing w:after="80" w:before="180"/>
      </w:pPr>
      <w:r>
        <w:t xml:space="preserve">External Services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040"/>
      </w:tblGrid>
      <w:tr>
        <w:trPr>
          <w:tblHeader/>
        </w:trP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0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Mockable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Airlabs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flight arrivals/departures</w:t>
            </w:r>
          </w:p>
        </w:tc>
        <w:tc>
          <w:tcPr>
            <w:tcW w:type="dxa" w:w="30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(AIRPORT_PROVIDER=mock)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airport.md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Chișinău (RMO/KIV) flight feed</w:t>
            </w:r>
          </w:p>
        </w:tc>
        <w:tc>
          <w:tcPr>
            <w:tcW w:type="dxa" w:w="30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Routed automatically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Pinecone Assistant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RAG knowledge retrieval</w:t>
            </w:r>
          </w:p>
        </w:tc>
        <w:tc>
          <w:tcPr>
            <w:tcW w:type="dxa" w:w="30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(AI_PROVIDERS=mock)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OpenAI / xAI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LLM fallback providers</w:t>
            </w:r>
          </w:p>
        </w:tc>
        <w:tc>
          <w:tcPr>
            <w:tcW w:type="dxa" w:w="30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Firebase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 token verification</w:t>
            </w:r>
          </w:p>
        </w:tc>
        <w:tc>
          <w:tcPr>
            <w:tcW w:type="dxa" w:w="30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(AUTH_ENABLED=false)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OneSignal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0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Every external dependency has an offline substitute — the full stack runs with zero credentials.</w:t>
      </w:r>
    </w:p>
    <w:p>
      <w:pPr>
        <w:pStyle w:val="Heading2"/>
        <w:spacing w:after="80" w:before="180"/>
      </w:pPr>
      <w:r>
        <w:t xml:space="preserve">CI Gate</w:t>
      </w:r>
    </w:p>
    <w:p>
      <w:pPr>
        <w:spacing w:after="100"/>
      </w:pPr>
      <w:r>
        <w:rPr>
          <w:sz w:val="20"/>
          <w:szCs w:val="20"/>
        </w:rPr>
        <w:t xml:space="preserve">On every push/PR to main and develop: gofmt -l . must be clean, go vet ./..., golangci-lint run (CI pins v2.11), go test ./... — run all four before pushing.</w:t>
      </w:r>
    </w:p>
    <w:p>
      <w:pPr>
        <w:pStyle w:val="Heading1"/>
        <w:spacing w:after="120" w:before="240"/>
      </w:pPr>
      <w:r>
        <w:t xml:space="preserve">2. Database Schema</w:t>
      </w:r>
    </w:p>
    <w:p>
      <w:pPr>
        <w:spacing w:after="100"/>
      </w:pPr>
      <w:r>
        <w:rPr>
          <w:sz w:val="20"/>
          <w:szCs w:val="20"/>
        </w:rPr>
        <w:t xml:space="preserve">17 tables in public, plus helper function yaf_localize_column(tbl, col). Full column-level reference: docs/erd.md.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00"/>
        <w:gridCol w:w="2140"/>
      </w:tblGrid>
      <w:tr>
        <w:trPr>
          <w:tblHeader/>
        </w:trP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5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Tables</w:t>
            </w:r>
          </w:p>
        </w:tc>
        <w:tc>
          <w:tcPr>
            <w:tcW w:type="dxa" w:w="21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Written by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 / enum</w:t>
            </w:r>
          </w:p>
        </w:tc>
        <w:tc>
          <w:tcPr>
            <w:tcW w:type="dxa" w:w="5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battery_types, equipment_types, airport_service_types, roles</w:t>
            </w:r>
          </w:p>
        </w:tc>
        <w:tc>
          <w:tcPr>
            <w:tcW w:type="dxa" w:w="21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Seed SQL only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Airline</w:t>
            </w:r>
          </w:p>
        </w:tc>
        <w:tc>
          <w:tcPr>
            <w:tcW w:type="dxa" w:w="5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airlines, airline_contacts, airline_accessibility_info, airline_sub_rules, airline_equipment_rules (+battery/spare rules)</w:t>
            </w:r>
          </w:p>
        </w:tc>
        <w:tc>
          <w:tcPr>
            <w:tcW w:type="dxa" w:w="21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internal/airline, internal/equipment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Airport</w:t>
            </w:r>
          </w:p>
        </w:tc>
        <w:tc>
          <w:tcPr>
            <w:tcW w:type="dxa" w:w="5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airports, airport_services</w:t>
            </w:r>
          </w:p>
        </w:tc>
        <w:tc>
          <w:tcPr>
            <w:tcW w:type="dxa" w:w="21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internal/airport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  <w:tc>
          <w:tcPr>
            <w:tcW w:type="dxa" w:w="5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tenants, app_users</w:t>
            </w:r>
          </w:p>
        </w:tc>
        <w:tc>
          <w:tcPr>
            <w:tcW w:type="dxa" w:w="21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internal/user, internal/middleware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 data</w:t>
            </w:r>
          </w:p>
        </w:tc>
        <w:tc>
          <w:tcPr>
            <w:tcW w:type="dxa" w:w="5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user_equipment, user_push_subscription</w:t>
            </w:r>
          </w:p>
        </w:tc>
        <w:tc>
          <w:tcPr>
            <w:tcW w:type="dxa" w:w="21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internal/equipment, internal/notifications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Ops</w:t>
            </w:r>
          </w:p>
        </w:tc>
        <w:tc>
          <w:tcPr>
            <w:tcW w:type="dxa" w:w="5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app_versions</w:t>
            </w:r>
          </w:p>
        </w:tc>
        <w:tc>
          <w:tcPr>
            <w:tcW w:type="dxa" w:w="21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internal/appversion</w:t>
            </w:r>
          </w:p>
        </w:tc>
      </w:tr>
    </w:tbl>
    <w:p>
      <w:pPr>
        <w:spacing w:after="60"/>
      </w:pPr>
    </w:p>
    <w:p>
      <w:pPr>
        <w:pStyle w:val="Heading2"/>
        <w:spacing w:after="80" w:before="180"/>
      </w:pPr>
      <w:r>
        <w:t xml:space="preserve">Key Relationships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Equipment rule chain (4 levels, cascading delete): airlines → airline_equipment_rules → airline_equipment_battery_rules → ..._spare_battery_rules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tenants 1:many app_users; roles 1:many app_users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app_users 1:many user_equipment and user_push_subscription (both CASCADE on delete)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airports 1:many airport_services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Two Schema-Wide Patterns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Localized text is a JSONB map in one column (e.g. {"en": "...", "ro": "..."}) — adding a language needs no migration. New localized columns must be JSONB and registered in yaf_localize_column.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Multi-tenancy is application-enforced, not database-enforced. tenant_id exists only on app_users; no Row Level Security. Every query must filter by tenant_id read from context — never from request body/URL.</w:t>
      </w:r>
    </w:p>
    <w:p>
      <w:pPr>
        <w:pStyle w:val="Heading2"/>
        <w:spacing w:after="80" w:before="180"/>
      </w:pPr>
      <w:r>
        <w:t xml:space="preserve">New Data</w:t>
      </w:r>
    </w:p>
    <w:p>
      <w:pPr>
        <w:spacing w:after="100"/>
      </w:pPr>
      <w:r>
        <w:rPr>
          <w:sz w:val="20"/>
          <w:szCs w:val="20"/>
        </w:rPr>
        <w:t xml:space="preserve">The ai_ prefix is free and recommended for the AI workstream. No migration runner exists — db/*.sql is applied manually and must be idempotent (IF NOT EXISTS). Vector data belongs in Pinecone, not Postgres.</w:t>
      </w:r>
    </w:p>
    <w:p>
      <w:pPr>
        <w:pStyle w:val="Heading1"/>
        <w:spacing w:after="120" w:before="240"/>
      </w:pPr>
      <w:r>
        <w:t xml:space="preserve">3. Findings</w:t>
      </w:r>
    </w:p>
    <w:p>
      <w:pPr>
        <w:pStyle w:val="Heading2"/>
        <w:spacing w:after="80" w:before="180"/>
      </w:pPr>
      <w:r>
        <w:t xml:space="preserve">Action Required — Exposed Airlabs Key</w:t>
      </w:r>
    </w:p>
    <w:p>
      <w:pPr>
        <w:spacing w:after="100"/>
      </w:pPr>
      <w:r>
        <w:rPr>
          <w:sz w:val="20"/>
          <w:szCs w:val="20"/>
        </w:rPr>
        <w:t xml:space="preserve">Commit 73466aa hard-coded a live Airlabs key as a fallback default in config/config.go. Reverted at every branch tip, but still reachable in git history on 3 branches (feature/flight-search-retrieval, feature/pinecone-knowledge-retrieval, yaf-student-dev) — recoverable via git log -p.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Recommendation: rotate the key at Airlabs. Do not rewrite history (breaks outstanding branches; rotation makes the exposed value worthless anyway). Personal free-tier account, so blast radius is small — this is about practice, not impact. No other committed secrets found (OpenAI, xAI, Pinecone, Google key patterns all scanned clean).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Frozen Enums — No New Rows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airport_service_types is frozen at 14 rows — iOS ServiceType enum has no "unknown" case; a 15th value crashes the entire Airport decode on every shipped build.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equipment_types (6) and battery_types (4) are the same shape — treat as frozen until iOS confirms a fallback case.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Adding airlines, airports, services, and equipment rules (rows, not enum values) is completely safe.</w:t>
      </w:r>
    </w:p>
    <w:p>
      <w:pPr>
        <w:spacing w:after="60"/>
      </w:pPr>
    </w:p>
    <w:p>
      <w:pPr>
        <w:pStyle w:val="Heading2"/>
        <w:spacing w:after="80" w:before="180"/>
      </w:pPr>
      <w:r>
        <w:t xml:space="preserve">Remaining Open Items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40"/>
      </w:tblGrid>
      <w:tr>
        <w:trPr>
          <w:tblHeader/>
        </w:trP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9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9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Decide between creating db/init/ vs. keeping the manual psql sequence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9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 iOS EquipmentType/BatteryType have fallback cases before seeding new codes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9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Decide whether AI chat history is tenant-scoped before the table is created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9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 a pg_dump of the Render demo DB, or confirm hand-expanding seed files is expected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9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*.json to .gitignore, or agree Firebase credentials live outside the repo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9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airports.full_name is NULL for the seeded FNC row but is on the always-emitted list for airportView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2026-09-06T03:55:46.322Z</dcterms:created>
  <dcterms:modified xsi:type="dcterms:W3CDTF">2026-09-06T03:55:46.332Z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