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F6DDE" w14:textId="77777777" w:rsidR="008315DD" w:rsidRPr="00D54FBC" w:rsidRDefault="008315DD" w:rsidP="008315DD">
      <w:pPr>
        <w:spacing w:after="100"/>
        <w:jc w:val="center"/>
      </w:pPr>
      <w:r w:rsidRPr="00D54FBC">
        <w:rPr>
          <w:b/>
          <w:bCs/>
        </w:rPr>
        <w:t>IBM × RMIT Capstone</w:t>
      </w:r>
    </w:p>
    <w:p w14:paraId="0BA85C8D" w14:textId="77777777" w:rsidR="00A36E04" w:rsidRDefault="003106B2">
      <w:pPr>
        <w:pStyle w:val="Title"/>
        <w:jc w:val="center"/>
      </w:pPr>
      <w:r>
        <w:t>Detailed Auditor &amp; Manager User Flows</w:t>
      </w:r>
    </w:p>
    <w:p w14:paraId="54F3486A" w14:textId="77777777" w:rsidR="00A36E04" w:rsidRDefault="003106B2">
      <w:pPr>
        <w:jc w:val="center"/>
      </w:pPr>
      <w:r>
        <w:rPr>
          <w:b/>
          <w:sz w:val="28"/>
        </w:rPr>
        <w:t>Responsible Content-Safety Infrastructure</w:t>
      </w:r>
    </w:p>
    <w:tbl>
      <w:tblPr>
        <w:tblStyle w:val="TableGrid"/>
        <w:tblW w:w="0" w:type="auto"/>
        <w:jc w:val="center"/>
        <w:tblLook w:val="04A0" w:firstRow="1" w:lastRow="0" w:firstColumn="1" w:lastColumn="0" w:noHBand="0" w:noVBand="1"/>
      </w:tblPr>
      <w:tblGrid>
        <w:gridCol w:w="5107"/>
        <w:gridCol w:w="5107"/>
      </w:tblGrid>
      <w:tr w:rsidR="00A36E04" w14:paraId="14B69BFC" w14:textId="77777777">
        <w:trPr>
          <w:jc w:val="center"/>
        </w:trPr>
        <w:tc>
          <w:tcPr>
            <w:tcW w:w="5112" w:type="dxa"/>
            <w:shd w:val="clear" w:color="auto" w:fill="E7E6E6"/>
            <w:vAlign w:val="center"/>
          </w:tcPr>
          <w:p w14:paraId="142DF762" w14:textId="77777777" w:rsidR="00A36E04" w:rsidRDefault="003106B2">
            <w:r>
              <w:rPr>
                <w:b/>
                <w:sz w:val="20"/>
              </w:rPr>
              <w:t>Prepared by</w:t>
            </w:r>
          </w:p>
        </w:tc>
        <w:tc>
          <w:tcPr>
            <w:tcW w:w="5112" w:type="dxa"/>
            <w:vAlign w:val="center"/>
          </w:tcPr>
          <w:p w14:paraId="42781B28" w14:textId="77777777" w:rsidR="00A36E04" w:rsidRDefault="003106B2">
            <w:r>
              <w:rPr>
                <w:sz w:val="20"/>
              </w:rPr>
              <w:t>Harneet Kaur</w:t>
            </w:r>
          </w:p>
        </w:tc>
      </w:tr>
      <w:tr w:rsidR="00A36E04" w14:paraId="627E19A2" w14:textId="77777777">
        <w:trPr>
          <w:jc w:val="center"/>
        </w:trPr>
        <w:tc>
          <w:tcPr>
            <w:tcW w:w="5112" w:type="dxa"/>
            <w:shd w:val="clear" w:color="auto" w:fill="E7E6E6"/>
            <w:vAlign w:val="center"/>
          </w:tcPr>
          <w:p w14:paraId="3C8ACCD7" w14:textId="77777777" w:rsidR="00A36E04" w:rsidRDefault="003106B2">
            <w:r>
              <w:rPr>
                <w:b/>
                <w:sz w:val="20"/>
              </w:rPr>
              <w:t>Role</w:t>
            </w:r>
          </w:p>
        </w:tc>
        <w:tc>
          <w:tcPr>
            <w:tcW w:w="5112" w:type="dxa"/>
            <w:vAlign w:val="center"/>
          </w:tcPr>
          <w:p w14:paraId="33E13A15" w14:textId="51DBD00D" w:rsidR="00A36E04" w:rsidRDefault="003106B2">
            <w:r>
              <w:rPr>
                <w:sz w:val="20"/>
              </w:rPr>
              <w:t>UX</w:t>
            </w:r>
            <w:r w:rsidR="008315DD">
              <w:rPr>
                <w:sz w:val="20"/>
              </w:rPr>
              <w:t xml:space="preserve"> Designer </w:t>
            </w:r>
          </w:p>
        </w:tc>
      </w:tr>
      <w:tr w:rsidR="00A36E04" w14:paraId="2DAF790C" w14:textId="77777777">
        <w:trPr>
          <w:jc w:val="center"/>
        </w:trPr>
        <w:tc>
          <w:tcPr>
            <w:tcW w:w="5112" w:type="dxa"/>
            <w:shd w:val="clear" w:color="auto" w:fill="E7E6E6"/>
            <w:vAlign w:val="center"/>
          </w:tcPr>
          <w:p w14:paraId="1AAA4C2C" w14:textId="77777777" w:rsidR="00A36E04" w:rsidRDefault="003106B2">
            <w:r>
              <w:rPr>
                <w:b/>
                <w:sz w:val="20"/>
              </w:rPr>
              <w:t>Sprint</w:t>
            </w:r>
          </w:p>
        </w:tc>
        <w:tc>
          <w:tcPr>
            <w:tcW w:w="5112" w:type="dxa"/>
            <w:vAlign w:val="center"/>
          </w:tcPr>
          <w:p w14:paraId="1238F22E" w14:textId="2A5B600A" w:rsidR="00A36E04" w:rsidRDefault="003106B2">
            <w:r>
              <w:rPr>
                <w:sz w:val="20"/>
              </w:rPr>
              <w:t>Sprint 1</w:t>
            </w:r>
            <w:r w:rsidR="008315DD">
              <w:rPr>
                <w:sz w:val="20"/>
              </w:rPr>
              <w:t xml:space="preserve">: </w:t>
            </w:r>
            <w:r>
              <w:rPr>
                <w:sz w:val="20"/>
              </w:rPr>
              <w:t>Design &amp; Bootstrap</w:t>
            </w:r>
          </w:p>
        </w:tc>
      </w:tr>
      <w:tr w:rsidR="00A36E04" w14:paraId="53820DCD" w14:textId="77777777">
        <w:trPr>
          <w:jc w:val="center"/>
        </w:trPr>
        <w:tc>
          <w:tcPr>
            <w:tcW w:w="5112" w:type="dxa"/>
            <w:shd w:val="clear" w:color="auto" w:fill="E7E6E6"/>
            <w:vAlign w:val="center"/>
          </w:tcPr>
          <w:p w14:paraId="3FC38CE3" w14:textId="77777777" w:rsidR="00A36E04" w:rsidRDefault="003106B2">
            <w:r>
              <w:rPr>
                <w:b/>
                <w:sz w:val="20"/>
              </w:rPr>
              <w:t>Task</w:t>
            </w:r>
          </w:p>
        </w:tc>
        <w:tc>
          <w:tcPr>
            <w:tcW w:w="5112" w:type="dxa"/>
            <w:vAlign w:val="center"/>
          </w:tcPr>
          <w:p w14:paraId="4C00BDE6" w14:textId="77777777" w:rsidR="00A36E04" w:rsidRDefault="003106B2">
            <w:r>
              <w:rPr>
                <w:sz w:val="20"/>
              </w:rPr>
              <w:t>Create Detailed Auditor &amp; Manager User Flows</w:t>
            </w:r>
          </w:p>
        </w:tc>
      </w:tr>
    </w:tbl>
    <w:p w14:paraId="3F5844DE" w14:textId="77777777" w:rsidR="00A36E04" w:rsidRDefault="00A36E04"/>
    <w:p w14:paraId="3856D8DB" w14:textId="77777777" w:rsidR="00A36E04" w:rsidRDefault="003106B2">
      <w:pPr>
        <w:pStyle w:val="Heading1"/>
      </w:pPr>
      <w:r>
        <w:t>1. Purpose and Requirement Basis</w:t>
      </w:r>
    </w:p>
    <w:p w14:paraId="76CA2C16" w14:textId="77777777" w:rsidR="00A36E04" w:rsidRDefault="003106B2">
      <w:r>
        <w:t>This task converts the earlier high-level UX direction into more detailed Auditor and Manager/Supervisor workflows. The flows are constrained by the BA's finalised Core MVP workflow and prioritised scope. The document deliberately separates confirmed Core MVP functionality from future-refinement and still-unconfirmed behaviour so that UX does not introduce business rules that have not been approved.</w:t>
      </w:r>
    </w:p>
    <w:p w14:paraId="450A42BA" w14:textId="77777777" w:rsidR="00A36E04" w:rsidRDefault="003106B2">
      <w:pPr>
        <w:pStyle w:val="Heading1"/>
      </w:pPr>
      <w:r>
        <w:t>2. Requirement Status Legend</w:t>
      </w:r>
    </w:p>
    <w:tbl>
      <w:tblPr>
        <w:tblStyle w:val="TableGrid"/>
        <w:tblW w:w="0" w:type="auto"/>
        <w:jc w:val="center"/>
        <w:tblLook w:val="04A0" w:firstRow="1" w:lastRow="0" w:firstColumn="1" w:lastColumn="0" w:noHBand="0" w:noVBand="1"/>
      </w:tblPr>
      <w:tblGrid>
        <w:gridCol w:w="3405"/>
        <w:gridCol w:w="3405"/>
        <w:gridCol w:w="3404"/>
      </w:tblGrid>
      <w:tr w:rsidR="00A36E04" w14:paraId="0C27F396" w14:textId="77777777">
        <w:trPr>
          <w:jc w:val="center"/>
        </w:trPr>
        <w:tc>
          <w:tcPr>
            <w:tcW w:w="3408" w:type="dxa"/>
            <w:shd w:val="clear" w:color="auto" w:fill="D9EAF7"/>
            <w:vAlign w:val="center"/>
          </w:tcPr>
          <w:p w14:paraId="35AEA147" w14:textId="77777777" w:rsidR="00A36E04" w:rsidRDefault="003106B2">
            <w:r>
              <w:rPr>
                <w:b/>
                <w:sz w:val="20"/>
              </w:rPr>
              <w:t>Status</w:t>
            </w:r>
          </w:p>
        </w:tc>
        <w:tc>
          <w:tcPr>
            <w:tcW w:w="3408" w:type="dxa"/>
            <w:shd w:val="clear" w:color="auto" w:fill="D9EAF7"/>
            <w:vAlign w:val="center"/>
          </w:tcPr>
          <w:p w14:paraId="076DF41E" w14:textId="77777777" w:rsidR="00A36E04" w:rsidRDefault="003106B2">
            <w:r>
              <w:rPr>
                <w:b/>
                <w:sz w:val="20"/>
              </w:rPr>
              <w:t>Meaning</w:t>
            </w:r>
          </w:p>
        </w:tc>
        <w:tc>
          <w:tcPr>
            <w:tcW w:w="3408" w:type="dxa"/>
            <w:shd w:val="clear" w:color="auto" w:fill="D9EAF7"/>
            <w:vAlign w:val="center"/>
          </w:tcPr>
          <w:p w14:paraId="203AD5C7" w14:textId="77777777" w:rsidR="00A36E04" w:rsidRDefault="003106B2">
            <w:r>
              <w:rPr>
                <w:b/>
                <w:sz w:val="20"/>
              </w:rPr>
              <w:t>How it is treated in these flows</w:t>
            </w:r>
          </w:p>
        </w:tc>
      </w:tr>
      <w:tr w:rsidR="00A36E04" w14:paraId="3B50D4A1" w14:textId="77777777">
        <w:trPr>
          <w:jc w:val="center"/>
        </w:trPr>
        <w:tc>
          <w:tcPr>
            <w:tcW w:w="3408" w:type="dxa"/>
            <w:vAlign w:val="center"/>
          </w:tcPr>
          <w:p w14:paraId="73B86F1F" w14:textId="77777777" w:rsidR="00A36E04" w:rsidRDefault="003106B2">
            <w:r>
              <w:rPr>
                <w:sz w:val="20"/>
              </w:rPr>
              <w:t>P0 — Confirmed Core MVP</w:t>
            </w:r>
          </w:p>
        </w:tc>
        <w:tc>
          <w:tcPr>
            <w:tcW w:w="3408" w:type="dxa"/>
            <w:vAlign w:val="center"/>
          </w:tcPr>
          <w:p w14:paraId="058BE9DB" w14:textId="77777777" w:rsidR="00A36E04" w:rsidRDefault="003106B2">
            <w:r>
              <w:rPr>
                <w:sz w:val="20"/>
              </w:rPr>
              <w:t>Required for Sprint 2</w:t>
            </w:r>
          </w:p>
        </w:tc>
        <w:tc>
          <w:tcPr>
            <w:tcW w:w="3408" w:type="dxa"/>
            <w:vAlign w:val="center"/>
          </w:tcPr>
          <w:p w14:paraId="6397381E" w14:textId="77777777" w:rsidR="00A36E04" w:rsidRDefault="003106B2">
            <w:r>
              <w:rPr>
                <w:sz w:val="20"/>
              </w:rPr>
              <w:t>Shown as the main confirmed path.</w:t>
            </w:r>
          </w:p>
        </w:tc>
      </w:tr>
      <w:tr w:rsidR="00A36E04" w14:paraId="19639DC0" w14:textId="77777777">
        <w:trPr>
          <w:jc w:val="center"/>
        </w:trPr>
        <w:tc>
          <w:tcPr>
            <w:tcW w:w="3408" w:type="dxa"/>
            <w:vAlign w:val="center"/>
          </w:tcPr>
          <w:p w14:paraId="26F9F663" w14:textId="77777777" w:rsidR="00A36E04" w:rsidRDefault="003106B2">
            <w:r>
              <w:rPr>
                <w:sz w:val="20"/>
              </w:rPr>
              <w:t>P1 — Conditional</w:t>
            </w:r>
          </w:p>
        </w:tc>
        <w:tc>
          <w:tcPr>
            <w:tcW w:w="3408" w:type="dxa"/>
            <w:vAlign w:val="center"/>
          </w:tcPr>
          <w:p w14:paraId="5E6DFBE5" w14:textId="77777777" w:rsidR="00A36E04" w:rsidRDefault="003106B2">
            <w:r>
              <w:rPr>
                <w:sz w:val="20"/>
              </w:rPr>
              <w:t>May be included if confirmed/feasible</w:t>
            </w:r>
          </w:p>
        </w:tc>
        <w:tc>
          <w:tcPr>
            <w:tcW w:w="3408" w:type="dxa"/>
            <w:vAlign w:val="center"/>
          </w:tcPr>
          <w:p w14:paraId="3C65686B" w14:textId="77777777" w:rsidR="00A36E04" w:rsidRDefault="003106B2">
            <w:r>
              <w:rPr>
                <w:sz w:val="20"/>
              </w:rPr>
              <w:t>Not required for the main flow.</w:t>
            </w:r>
          </w:p>
        </w:tc>
      </w:tr>
      <w:tr w:rsidR="00A36E04" w14:paraId="3B705C73" w14:textId="77777777">
        <w:trPr>
          <w:jc w:val="center"/>
        </w:trPr>
        <w:tc>
          <w:tcPr>
            <w:tcW w:w="3408" w:type="dxa"/>
            <w:vAlign w:val="center"/>
          </w:tcPr>
          <w:p w14:paraId="1DA7902A" w14:textId="77777777" w:rsidR="00A36E04" w:rsidRDefault="003106B2">
            <w:r>
              <w:rPr>
                <w:sz w:val="20"/>
              </w:rPr>
              <w:t>P2 — Future refinement</w:t>
            </w:r>
          </w:p>
        </w:tc>
        <w:tc>
          <w:tcPr>
            <w:tcW w:w="3408" w:type="dxa"/>
            <w:vAlign w:val="center"/>
          </w:tcPr>
          <w:p w14:paraId="405264B0" w14:textId="77777777" w:rsidR="00A36E04" w:rsidRDefault="003106B2">
            <w:r>
              <w:rPr>
                <w:sz w:val="20"/>
              </w:rPr>
              <w:t>Primarily Sprint 3</w:t>
            </w:r>
          </w:p>
        </w:tc>
        <w:tc>
          <w:tcPr>
            <w:tcW w:w="3408" w:type="dxa"/>
            <w:vAlign w:val="center"/>
          </w:tcPr>
          <w:p w14:paraId="33ED8E14" w14:textId="77777777" w:rsidR="00A36E04" w:rsidRDefault="003106B2">
            <w:r>
              <w:rPr>
                <w:sz w:val="20"/>
              </w:rPr>
              <w:t>Shown only as a clearly labelled future branch.</w:t>
            </w:r>
          </w:p>
        </w:tc>
      </w:tr>
      <w:tr w:rsidR="00A36E04" w14:paraId="6A4165DC" w14:textId="77777777">
        <w:trPr>
          <w:jc w:val="center"/>
        </w:trPr>
        <w:tc>
          <w:tcPr>
            <w:tcW w:w="3408" w:type="dxa"/>
            <w:vAlign w:val="center"/>
          </w:tcPr>
          <w:p w14:paraId="609770AE" w14:textId="77777777" w:rsidR="00A36E04" w:rsidRDefault="003106B2">
            <w:r>
              <w:rPr>
                <w:sz w:val="20"/>
              </w:rPr>
              <w:t>Pending</w:t>
            </w:r>
          </w:p>
        </w:tc>
        <w:tc>
          <w:tcPr>
            <w:tcW w:w="3408" w:type="dxa"/>
            <w:vAlign w:val="center"/>
          </w:tcPr>
          <w:p w14:paraId="2CCAB94D" w14:textId="77777777" w:rsidR="00A36E04" w:rsidRDefault="003106B2">
            <w:r>
              <w:rPr>
                <w:sz w:val="20"/>
              </w:rPr>
              <w:t>Client/BA/PM confirmation still required</w:t>
            </w:r>
          </w:p>
        </w:tc>
        <w:tc>
          <w:tcPr>
            <w:tcW w:w="3408" w:type="dxa"/>
            <w:vAlign w:val="center"/>
          </w:tcPr>
          <w:p w14:paraId="78337CA3" w14:textId="77777777" w:rsidR="00A36E04" w:rsidRDefault="003106B2">
            <w:r>
              <w:rPr>
                <w:sz w:val="20"/>
              </w:rPr>
              <w:t>Shown as TBD; no exact behaviour is invented.</w:t>
            </w:r>
          </w:p>
        </w:tc>
      </w:tr>
    </w:tbl>
    <w:p w14:paraId="69ED914B" w14:textId="77777777" w:rsidR="00A36E04" w:rsidRDefault="003106B2">
      <w:pPr>
        <w:pStyle w:val="Heading1"/>
      </w:pPr>
      <w:r>
        <w:t>3. Detailed Auditor User Flow</w:t>
      </w:r>
    </w:p>
    <w:p w14:paraId="59EBEB6C" w14:textId="77777777" w:rsidR="00A36E04" w:rsidRDefault="003106B2">
      <w:r>
        <w:t>The Auditor is the primary user. The confirmed path keeps AI as assistive information and preserves the Auditor's final human decision. Where the Planner checklist asks for exposure, wellbeing or decline/escalation steps that are not confirmed as P0 requirements, they are marked as future or pending.</w:t>
      </w:r>
    </w:p>
    <w:p w14:paraId="4AB36DC5" w14:textId="77777777" w:rsidR="00A36E04" w:rsidRDefault="003106B2">
      <w:pPr>
        <w:jc w:val="center"/>
      </w:pPr>
      <w:r>
        <w:rPr>
          <w:noProof/>
        </w:rPr>
        <w:lastRenderedPageBreak/>
        <w:drawing>
          <wp:inline distT="0" distB="0" distL="0" distR="0" wp14:anchorId="7416900A" wp14:editId="20A0D528">
            <wp:extent cx="6035040" cy="7163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or_flow.png"/>
                    <pic:cNvPicPr/>
                  </pic:nvPicPr>
                  <pic:blipFill>
                    <a:blip r:embed="rId8"/>
                    <a:stretch>
                      <a:fillRect/>
                    </a:stretch>
                  </pic:blipFill>
                  <pic:spPr>
                    <a:xfrm>
                      <a:off x="0" y="0"/>
                      <a:ext cx="6035040" cy="7163788"/>
                    </a:xfrm>
                    <a:prstGeom prst="rect">
                      <a:avLst/>
                    </a:prstGeom>
                  </pic:spPr>
                </pic:pic>
              </a:graphicData>
            </a:graphic>
          </wp:inline>
        </w:drawing>
      </w:r>
    </w:p>
    <w:p w14:paraId="6086E8BE" w14:textId="77777777" w:rsidR="00A36E04" w:rsidRDefault="003106B2">
      <w:pPr>
        <w:pStyle w:val="Heading2"/>
      </w:pPr>
      <w:r>
        <w:t>3.1 Detailed Auditor Flow Steps</w:t>
      </w:r>
    </w:p>
    <w:tbl>
      <w:tblPr>
        <w:tblStyle w:val="TableGrid"/>
        <w:tblW w:w="0" w:type="auto"/>
        <w:jc w:val="center"/>
        <w:tblLook w:val="04A0" w:firstRow="1" w:lastRow="0" w:firstColumn="1" w:lastColumn="0" w:noHBand="0" w:noVBand="1"/>
      </w:tblPr>
      <w:tblGrid>
        <w:gridCol w:w="3404"/>
        <w:gridCol w:w="3404"/>
        <w:gridCol w:w="3406"/>
      </w:tblGrid>
      <w:tr w:rsidR="00A36E04" w14:paraId="54271F7C" w14:textId="77777777">
        <w:trPr>
          <w:jc w:val="center"/>
        </w:trPr>
        <w:tc>
          <w:tcPr>
            <w:tcW w:w="3408" w:type="dxa"/>
            <w:shd w:val="clear" w:color="auto" w:fill="D9EAF7"/>
            <w:vAlign w:val="center"/>
          </w:tcPr>
          <w:p w14:paraId="329BBA7C" w14:textId="77777777" w:rsidR="00A36E04" w:rsidRDefault="003106B2">
            <w:r>
              <w:rPr>
                <w:b/>
                <w:sz w:val="20"/>
              </w:rPr>
              <w:t>Planner item</w:t>
            </w:r>
          </w:p>
        </w:tc>
        <w:tc>
          <w:tcPr>
            <w:tcW w:w="3408" w:type="dxa"/>
            <w:shd w:val="clear" w:color="auto" w:fill="D9EAF7"/>
            <w:vAlign w:val="center"/>
          </w:tcPr>
          <w:p w14:paraId="1B4DEB62" w14:textId="77777777" w:rsidR="00A36E04" w:rsidRDefault="003106B2">
            <w:r>
              <w:rPr>
                <w:b/>
                <w:sz w:val="20"/>
              </w:rPr>
              <w:t>Status</w:t>
            </w:r>
          </w:p>
        </w:tc>
        <w:tc>
          <w:tcPr>
            <w:tcW w:w="3408" w:type="dxa"/>
            <w:shd w:val="clear" w:color="auto" w:fill="D9EAF7"/>
            <w:vAlign w:val="center"/>
          </w:tcPr>
          <w:p w14:paraId="174BDB42" w14:textId="77777777" w:rsidR="00A36E04" w:rsidRDefault="003106B2">
            <w:r>
              <w:rPr>
                <w:b/>
                <w:sz w:val="20"/>
              </w:rPr>
              <w:t>Detailed treatment</w:t>
            </w:r>
          </w:p>
        </w:tc>
      </w:tr>
      <w:tr w:rsidR="00A36E04" w14:paraId="14D52216" w14:textId="77777777">
        <w:trPr>
          <w:jc w:val="center"/>
        </w:trPr>
        <w:tc>
          <w:tcPr>
            <w:tcW w:w="3408" w:type="dxa"/>
            <w:vAlign w:val="center"/>
          </w:tcPr>
          <w:p w14:paraId="7BEFADD6" w14:textId="77777777" w:rsidR="00A36E04" w:rsidRDefault="003106B2">
            <w:r>
              <w:rPr>
                <w:sz w:val="20"/>
              </w:rPr>
              <w:t>Auditor case entry</w:t>
            </w:r>
          </w:p>
        </w:tc>
        <w:tc>
          <w:tcPr>
            <w:tcW w:w="3408" w:type="dxa"/>
            <w:vAlign w:val="center"/>
          </w:tcPr>
          <w:p w14:paraId="34ECEA1F" w14:textId="77777777" w:rsidR="00A36E04" w:rsidRDefault="003106B2">
            <w:r>
              <w:rPr>
                <w:sz w:val="20"/>
              </w:rPr>
              <w:t>P0 / partly pending</w:t>
            </w:r>
          </w:p>
        </w:tc>
        <w:tc>
          <w:tcPr>
            <w:tcW w:w="3408" w:type="dxa"/>
            <w:vAlign w:val="center"/>
          </w:tcPr>
          <w:p w14:paraId="7FDE7901" w14:textId="77777777" w:rsidR="00A36E04" w:rsidRDefault="003106B2">
            <w:r>
              <w:rPr>
                <w:sz w:val="20"/>
              </w:rPr>
              <w:t>The Auditor accesses the relevant case. The exact case assignment/availability rule is still pending, so the flow does not assume how a case is assigned.</w:t>
            </w:r>
          </w:p>
        </w:tc>
      </w:tr>
      <w:tr w:rsidR="00A36E04" w14:paraId="73B0582D" w14:textId="77777777">
        <w:trPr>
          <w:jc w:val="center"/>
        </w:trPr>
        <w:tc>
          <w:tcPr>
            <w:tcW w:w="3408" w:type="dxa"/>
            <w:vAlign w:val="center"/>
          </w:tcPr>
          <w:p w14:paraId="4F897018" w14:textId="77777777" w:rsidR="00A36E04" w:rsidRDefault="003106B2">
            <w:r>
              <w:rPr>
                <w:sz w:val="20"/>
              </w:rPr>
              <w:lastRenderedPageBreak/>
              <w:t>AI pre-analysis stage</w:t>
            </w:r>
          </w:p>
        </w:tc>
        <w:tc>
          <w:tcPr>
            <w:tcW w:w="3408" w:type="dxa"/>
            <w:vAlign w:val="center"/>
          </w:tcPr>
          <w:p w14:paraId="669E3B35" w14:textId="77777777" w:rsidR="00A36E04" w:rsidRDefault="003106B2">
            <w:r>
              <w:rPr>
                <w:sz w:val="20"/>
              </w:rPr>
              <w:t>P0</w:t>
            </w:r>
          </w:p>
        </w:tc>
        <w:tc>
          <w:tcPr>
            <w:tcW w:w="3408" w:type="dxa"/>
            <w:vAlign w:val="center"/>
          </w:tcPr>
          <w:p w14:paraId="5F524F12" w14:textId="77777777" w:rsidR="00A36E04" w:rsidRDefault="003106B2">
            <w:r>
              <w:rPr>
                <w:sz w:val="20"/>
              </w:rPr>
              <w:t>The submitted approved test video/audio has already been processed by the AI analysis workflow before the Auditor reviews the structured outputs.</w:t>
            </w:r>
          </w:p>
        </w:tc>
      </w:tr>
      <w:tr w:rsidR="00A36E04" w14:paraId="3194F4EB" w14:textId="77777777">
        <w:trPr>
          <w:jc w:val="center"/>
        </w:trPr>
        <w:tc>
          <w:tcPr>
            <w:tcW w:w="3408" w:type="dxa"/>
            <w:vAlign w:val="center"/>
          </w:tcPr>
          <w:p w14:paraId="4F33B31A" w14:textId="77777777" w:rsidR="00A36E04" w:rsidRDefault="003106B2">
            <w:r>
              <w:rPr>
                <w:sz w:val="20"/>
              </w:rPr>
              <w:t>Content warnings</w:t>
            </w:r>
          </w:p>
        </w:tc>
        <w:tc>
          <w:tcPr>
            <w:tcW w:w="3408" w:type="dxa"/>
            <w:vAlign w:val="center"/>
          </w:tcPr>
          <w:p w14:paraId="0D6AD6EC" w14:textId="77777777" w:rsidR="00A36E04" w:rsidRDefault="003106B2">
            <w:r>
              <w:rPr>
                <w:sz w:val="20"/>
              </w:rPr>
              <w:t>Planner UX detail / not separately confirmed as P0</w:t>
            </w:r>
          </w:p>
        </w:tc>
        <w:tc>
          <w:tcPr>
            <w:tcW w:w="3408" w:type="dxa"/>
            <w:vAlign w:val="center"/>
          </w:tcPr>
          <w:p w14:paraId="56C3D37B" w14:textId="77777777" w:rsidR="00A36E04" w:rsidRDefault="003106B2">
            <w:r>
              <w:rPr>
                <w:sz w:val="20"/>
              </w:rPr>
              <w:t>A warning/exposure notice is represented as a UX safeguard before direct media access. Exact wording, trigger and behaviour require BA/PM confirmation.</w:t>
            </w:r>
          </w:p>
        </w:tc>
      </w:tr>
      <w:tr w:rsidR="00A36E04" w14:paraId="284757AA" w14:textId="77777777">
        <w:trPr>
          <w:jc w:val="center"/>
        </w:trPr>
        <w:tc>
          <w:tcPr>
            <w:tcW w:w="3408" w:type="dxa"/>
            <w:vAlign w:val="center"/>
          </w:tcPr>
          <w:p w14:paraId="3A84B00A" w14:textId="77777777" w:rsidR="00A36E04" w:rsidRDefault="003106B2">
            <w:r>
              <w:rPr>
                <w:sz w:val="20"/>
              </w:rPr>
              <w:t>Severity / summary information</w:t>
            </w:r>
          </w:p>
        </w:tc>
        <w:tc>
          <w:tcPr>
            <w:tcW w:w="3408" w:type="dxa"/>
            <w:vAlign w:val="center"/>
          </w:tcPr>
          <w:p w14:paraId="0F625337" w14:textId="77777777" w:rsidR="00A36E04" w:rsidRDefault="003106B2">
            <w:r>
              <w:rPr>
                <w:sz w:val="20"/>
              </w:rPr>
              <w:t>P0</w:t>
            </w:r>
          </w:p>
        </w:tc>
        <w:tc>
          <w:tcPr>
            <w:tcW w:w="3408" w:type="dxa"/>
            <w:vAlign w:val="center"/>
          </w:tcPr>
          <w:p w14:paraId="4A1F27D1" w14:textId="77777777" w:rsidR="00A36E04" w:rsidRDefault="003106B2">
            <w:r>
              <w:rPr>
                <w:sz w:val="20"/>
              </w:rPr>
              <w:t>The Auditor is shown severity information, a summary and incident timestamps. These are the confirmed structured outputs.</w:t>
            </w:r>
          </w:p>
        </w:tc>
      </w:tr>
      <w:tr w:rsidR="00A36E04" w14:paraId="20851925" w14:textId="77777777">
        <w:trPr>
          <w:jc w:val="center"/>
        </w:trPr>
        <w:tc>
          <w:tcPr>
            <w:tcW w:w="3408" w:type="dxa"/>
            <w:vAlign w:val="center"/>
          </w:tcPr>
          <w:p w14:paraId="53FAED52" w14:textId="77777777" w:rsidR="00A36E04" w:rsidRDefault="003106B2">
            <w:r>
              <w:rPr>
                <w:sz w:val="20"/>
              </w:rPr>
              <w:t>Controlled video access</w:t>
            </w:r>
          </w:p>
        </w:tc>
        <w:tc>
          <w:tcPr>
            <w:tcW w:w="3408" w:type="dxa"/>
            <w:vAlign w:val="center"/>
          </w:tcPr>
          <w:p w14:paraId="5C6F5773" w14:textId="77777777" w:rsidR="00A36E04" w:rsidRDefault="003106B2">
            <w:r>
              <w:rPr>
                <w:sz w:val="20"/>
              </w:rPr>
              <w:t>P2 / future refinement</w:t>
            </w:r>
          </w:p>
        </w:tc>
        <w:tc>
          <w:tcPr>
            <w:tcW w:w="3408" w:type="dxa"/>
            <w:vAlign w:val="center"/>
          </w:tcPr>
          <w:p w14:paraId="367ACFDD" w14:textId="77777777" w:rsidR="00A36E04" w:rsidRDefault="003106B2">
            <w:r>
              <w:rPr>
                <w:sz w:val="20"/>
              </w:rPr>
              <w:t>The flow gives the Auditor control over when direct media is viewed, but advanced exposure-management controls are not part of the confirmed Core MVP.</w:t>
            </w:r>
          </w:p>
        </w:tc>
      </w:tr>
      <w:tr w:rsidR="00A36E04" w14:paraId="7E9C7B43" w14:textId="77777777">
        <w:trPr>
          <w:jc w:val="center"/>
        </w:trPr>
        <w:tc>
          <w:tcPr>
            <w:tcW w:w="3408" w:type="dxa"/>
            <w:vAlign w:val="center"/>
          </w:tcPr>
          <w:p w14:paraId="2D225B56" w14:textId="77777777" w:rsidR="00A36E04" w:rsidRDefault="003106B2">
            <w:r>
              <w:rPr>
                <w:sz w:val="20"/>
              </w:rPr>
              <w:t>Exposure tracking</w:t>
            </w:r>
          </w:p>
        </w:tc>
        <w:tc>
          <w:tcPr>
            <w:tcW w:w="3408" w:type="dxa"/>
            <w:vAlign w:val="center"/>
          </w:tcPr>
          <w:p w14:paraId="1A16C33E" w14:textId="77777777" w:rsidR="00A36E04" w:rsidRDefault="003106B2">
            <w:r>
              <w:rPr>
                <w:sz w:val="20"/>
              </w:rPr>
              <w:t>P2 / future refinement</w:t>
            </w:r>
          </w:p>
        </w:tc>
        <w:tc>
          <w:tcPr>
            <w:tcW w:w="3408" w:type="dxa"/>
            <w:vAlign w:val="center"/>
          </w:tcPr>
          <w:p w14:paraId="764CE28F" w14:textId="77777777" w:rsidR="00A36E04" w:rsidRDefault="003106B2">
            <w:r>
              <w:rPr>
                <w:sz w:val="20"/>
              </w:rPr>
              <w:t>Exposure tracking is represented only as a future refinement concept. No metric, threshold or automatic rule is assumed.</w:t>
            </w:r>
          </w:p>
        </w:tc>
      </w:tr>
      <w:tr w:rsidR="00A36E04" w14:paraId="36C92E2A" w14:textId="77777777">
        <w:trPr>
          <w:jc w:val="center"/>
        </w:trPr>
        <w:tc>
          <w:tcPr>
            <w:tcW w:w="3408" w:type="dxa"/>
            <w:vAlign w:val="center"/>
          </w:tcPr>
          <w:p w14:paraId="5431A828" w14:textId="77777777" w:rsidR="00A36E04" w:rsidRDefault="003106B2">
            <w:r>
              <w:rPr>
                <w:sz w:val="20"/>
              </w:rPr>
              <w:t>Wellbeing controls</w:t>
            </w:r>
          </w:p>
        </w:tc>
        <w:tc>
          <w:tcPr>
            <w:tcW w:w="3408" w:type="dxa"/>
            <w:vAlign w:val="center"/>
          </w:tcPr>
          <w:p w14:paraId="100CF940" w14:textId="77777777" w:rsidR="00A36E04" w:rsidRDefault="003106B2">
            <w:r>
              <w:rPr>
                <w:sz w:val="20"/>
              </w:rPr>
              <w:t>P2 / future refinement</w:t>
            </w:r>
          </w:p>
        </w:tc>
        <w:tc>
          <w:tcPr>
            <w:tcW w:w="3408" w:type="dxa"/>
            <w:vAlign w:val="center"/>
          </w:tcPr>
          <w:p w14:paraId="5CC2C33F" w14:textId="77777777" w:rsidR="00A36E04" w:rsidRDefault="003106B2">
            <w:r>
              <w:rPr>
                <w:sz w:val="20"/>
              </w:rPr>
              <w:t>Cooldown, SOS and other wellbeing controls are future refinement items and are not shown as required Core MVP behaviour.</w:t>
            </w:r>
          </w:p>
        </w:tc>
      </w:tr>
      <w:tr w:rsidR="00A36E04" w14:paraId="17A654CE" w14:textId="77777777">
        <w:trPr>
          <w:jc w:val="center"/>
        </w:trPr>
        <w:tc>
          <w:tcPr>
            <w:tcW w:w="3408" w:type="dxa"/>
            <w:vAlign w:val="center"/>
          </w:tcPr>
          <w:p w14:paraId="5EFCD8C6" w14:textId="77777777" w:rsidR="00A36E04" w:rsidRDefault="003106B2">
            <w:r>
              <w:rPr>
                <w:sz w:val="20"/>
              </w:rPr>
              <w:t>Decline / escalation flow</w:t>
            </w:r>
          </w:p>
        </w:tc>
        <w:tc>
          <w:tcPr>
            <w:tcW w:w="3408" w:type="dxa"/>
            <w:vAlign w:val="center"/>
          </w:tcPr>
          <w:p w14:paraId="251503C4" w14:textId="77777777" w:rsidR="00A36E04" w:rsidRDefault="003106B2">
            <w:r>
              <w:rPr>
                <w:sz w:val="20"/>
              </w:rPr>
              <w:t>Pending</w:t>
            </w:r>
          </w:p>
        </w:tc>
        <w:tc>
          <w:tcPr>
            <w:tcW w:w="3408" w:type="dxa"/>
            <w:vAlign w:val="center"/>
          </w:tcPr>
          <w:p w14:paraId="323E35E5" w14:textId="77777777" w:rsidR="00A36E04" w:rsidRDefault="003106B2">
            <w:r>
              <w:rPr>
                <w:sz w:val="20"/>
              </w:rPr>
              <w:t>The exact decline, escalation, reassignment and case-availability rules are not confirmed. The flow shows a TBD branch only and does not define the system action.</w:t>
            </w:r>
          </w:p>
        </w:tc>
      </w:tr>
      <w:tr w:rsidR="00A36E04" w14:paraId="22E4ECD8" w14:textId="77777777">
        <w:trPr>
          <w:jc w:val="center"/>
        </w:trPr>
        <w:tc>
          <w:tcPr>
            <w:tcW w:w="3408" w:type="dxa"/>
            <w:vAlign w:val="center"/>
          </w:tcPr>
          <w:p w14:paraId="631028AB" w14:textId="77777777" w:rsidR="00A36E04" w:rsidRDefault="003106B2">
            <w:r>
              <w:rPr>
                <w:sz w:val="20"/>
              </w:rPr>
              <w:t>Final human decision</w:t>
            </w:r>
          </w:p>
        </w:tc>
        <w:tc>
          <w:tcPr>
            <w:tcW w:w="3408" w:type="dxa"/>
            <w:vAlign w:val="center"/>
          </w:tcPr>
          <w:p w14:paraId="7DF50D0C" w14:textId="77777777" w:rsidR="00A36E04" w:rsidRDefault="003106B2">
            <w:r>
              <w:rPr>
                <w:sz w:val="20"/>
              </w:rPr>
              <w:t>P0</w:t>
            </w:r>
          </w:p>
        </w:tc>
        <w:tc>
          <w:tcPr>
            <w:tcW w:w="3408" w:type="dxa"/>
            <w:vAlign w:val="center"/>
          </w:tcPr>
          <w:p w14:paraId="3D0278E6" w14:textId="77777777" w:rsidR="00A36E04" w:rsidRDefault="003106B2">
            <w:r>
              <w:rPr>
                <w:sz w:val="20"/>
              </w:rPr>
              <w:t>The Auditor makes the final human review decision. The exact decision-option labels remain pending client confirmation.</w:t>
            </w:r>
          </w:p>
        </w:tc>
      </w:tr>
    </w:tbl>
    <w:p w14:paraId="435ED36A" w14:textId="77777777" w:rsidR="00A36E04" w:rsidRDefault="003106B2">
      <w:r>
        <w:br w:type="page"/>
      </w:r>
    </w:p>
    <w:p w14:paraId="27E16526" w14:textId="77777777" w:rsidR="00A36E04" w:rsidRDefault="003106B2">
      <w:pPr>
        <w:pStyle w:val="Heading1"/>
      </w:pPr>
      <w:r>
        <w:lastRenderedPageBreak/>
        <w:t>4. Detailed Manager / Supervisor User Flow</w:t>
      </w:r>
    </w:p>
    <w:p w14:paraId="0CF21BE7" w14:textId="77777777" w:rsidR="00A36E04" w:rsidRDefault="003106B2">
      <w:r>
        <w:t>Manager/Supervisor functionality is a secondary/future-refinement area rather than part of the confirmed Sprint 2 Core MVP. The following flow is therefore a conceptual Sprint 3 direction that covers the Planner checklist without presenting any unconfirmed Manager rule as mandatory.</w:t>
      </w:r>
    </w:p>
    <w:p w14:paraId="3F253021" w14:textId="77777777" w:rsidR="00A36E04" w:rsidRDefault="003106B2">
      <w:pPr>
        <w:jc w:val="center"/>
      </w:pPr>
      <w:r>
        <w:rPr>
          <w:noProof/>
        </w:rPr>
        <w:drawing>
          <wp:inline distT="0" distB="0" distL="0" distR="0" wp14:anchorId="551E2D3B" wp14:editId="01BA1823">
            <wp:extent cx="5852160" cy="7220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flow.png"/>
                    <pic:cNvPicPr/>
                  </pic:nvPicPr>
                  <pic:blipFill>
                    <a:blip r:embed="rId9"/>
                    <a:stretch>
                      <a:fillRect/>
                    </a:stretch>
                  </pic:blipFill>
                  <pic:spPr>
                    <a:xfrm>
                      <a:off x="0" y="0"/>
                      <a:ext cx="5852160" cy="7220970"/>
                    </a:xfrm>
                    <a:prstGeom prst="rect">
                      <a:avLst/>
                    </a:prstGeom>
                  </pic:spPr>
                </pic:pic>
              </a:graphicData>
            </a:graphic>
          </wp:inline>
        </w:drawing>
      </w:r>
    </w:p>
    <w:p w14:paraId="10B43935" w14:textId="77777777" w:rsidR="00A36E04" w:rsidRDefault="003106B2">
      <w:pPr>
        <w:pStyle w:val="Heading2"/>
      </w:pPr>
      <w:r>
        <w:lastRenderedPageBreak/>
        <w:t>4.1 Detailed Manager Flow Steps</w:t>
      </w:r>
    </w:p>
    <w:tbl>
      <w:tblPr>
        <w:tblStyle w:val="TableGrid"/>
        <w:tblW w:w="0" w:type="auto"/>
        <w:jc w:val="center"/>
        <w:tblLook w:val="04A0" w:firstRow="1" w:lastRow="0" w:firstColumn="1" w:lastColumn="0" w:noHBand="0" w:noVBand="1"/>
      </w:tblPr>
      <w:tblGrid>
        <w:gridCol w:w="3405"/>
        <w:gridCol w:w="3404"/>
        <w:gridCol w:w="3405"/>
      </w:tblGrid>
      <w:tr w:rsidR="00A36E04" w14:paraId="240E00DD" w14:textId="77777777">
        <w:trPr>
          <w:jc w:val="center"/>
        </w:trPr>
        <w:tc>
          <w:tcPr>
            <w:tcW w:w="3408" w:type="dxa"/>
            <w:shd w:val="clear" w:color="auto" w:fill="D9EAF7"/>
            <w:vAlign w:val="center"/>
          </w:tcPr>
          <w:p w14:paraId="6D036A36" w14:textId="77777777" w:rsidR="00A36E04" w:rsidRDefault="003106B2">
            <w:r>
              <w:rPr>
                <w:b/>
                <w:sz w:val="20"/>
              </w:rPr>
              <w:t>Planner item</w:t>
            </w:r>
          </w:p>
        </w:tc>
        <w:tc>
          <w:tcPr>
            <w:tcW w:w="3408" w:type="dxa"/>
            <w:shd w:val="clear" w:color="auto" w:fill="D9EAF7"/>
            <w:vAlign w:val="center"/>
          </w:tcPr>
          <w:p w14:paraId="370E9028" w14:textId="77777777" w:rsidR="00A36E04" w:rsidRDefault="003106B2">
            <w:r>
              <w:rPr>
                <w:b/>
                <w:sz w:val="20"/>
              </w:rPr>
              <w:t>Status</w:t>
            </w:r>
          </w:p>
        </w:tc>
        <w:tc>
          <w:tcPr>
            <w:tcW w:w="3408" w:type="dxa"/>
            <w:shd w:val="clear" w:color="auto" w:fill="D9EAF7"/>
            <w:vAlign w:val="center"/>
          </w:tcPr>
          <w:p w14:paraId="44BD0FA5" w14:textId="77777777" w:rsidR="00A36E04" w:rsidRDefault="003106B2">
            <w:r>
              <w:rPr>
                <w:b/>
                <w:sz w:val="20"/>
              </w:rPr>
              <w:t>Detailed treatment</w:t>
            </w:r>
          </w:p>
        </w:tc>
      </w:tr>
      <w:tr w:rsidR="00A36E04" w14:paraId="25DFD9E8" w14:textId="77777777">
        <w:trPr>
          <w:jc w:val="center"/>
        </w:trPr>
        <w:tc>
          <w:tcPr>
            <w:tcW w:w="3408" w:type="dxa"/>
            <w:vAlign w:val="center"/>
          </w:tcPr>
          <w:p w14:paraId="4843E28B" w14:textId="77777777" w:rsidR="00A36E04" w:rsidRDefault="003106B2">
            <w:r>
              <w:rPr>
                <w:sz w:val="20"/>
              </w:rPr>
              <w:t>Manager notification</w:t>
            </w:r>
          </w:p>
        </w:tc>
        <w:tc>
          <w:tcPr>
            <w:tcW w:w="3408" w:type="dxa"/>
            <w:vAlign w:val="center"/>
          </w:tcPr>
          <w:p w14:paraId="6F56DA8A" w14:textId="77777777" w:rsidR="00A36E04" w:rsidRDefault="003106B2">
            <w:r>
              <w:rPr>
                <w:sz w:val="20"/>
              </w:rPr>
              <w:t>P2 / future refinement</w:t>
            </w:r>
          </w:p>
        </w:tc>
        <w:tc>
          <w:tcPr>
            <w:tcW w:w="3408" w:type="dxa"/>
            <w:vAlign w:val="center"/>
          </w:tcPr>
          <w:p w14:paraId="720ADD7C" w14:textId="77777777" w:rsidR="00A36E04" w:rsidRDefault="003106B2">
            <w:r>
              <w:rPr>
                <w:sz w:val="20"/>
              </w:rPr>
              <w:t>A future Manager notification may occur if an approved exposure, wellbeing or escalation trigger is defined. The current requirements do not confirm the trigger or notification rule.</w:t>
            </w:r>
          </w:p>
        </w:tc>
      </w:tr>
      <w:tr w:rsidR="00A36E04" w14:paraId="096005D4" w14:textId="77777777">
        <w:trPr>
          <w:jc w:val="center"/>
        </w:trPr>
        <w:tc>
          <w:tcPr>
            <w:tcW w:w="3408" w:type="dxa"/>
            <w:vAlign w:val="center"/>
          </w:tcPr>
          <w:p w14:paraId="17B75680" w14:textId="77777777" w:rsidR="00A36E04" w:rsidRDefault="003106B2">
            <w:r>
              <w:rPr>
                <w:sz w:val="20"/>
              </w:rPr>
              <w:t>Manager case oversight</w:t>
            </w:r>
          </w:p>
        </w:tc>
        <w:tc>
          <w:tcPr>
            <w:tcW w:w="3408" w:type="dxa"/>
            <w:vAlign w:val="center"/>
          </w:tcPr>
          <w:p w14:paraId="6F7E2F55" w14:textId="77777777" w:rsidR="00A36E04" w:rsidRDefault="003106B2">
            <w:r>
              <w:rPr>
                <w:sz w:val="20"/>
              </w:rPr>
              <w:t>P2 / future refinement</w:t>
            </w:r>
          </w:p>
        </w:tc>
        <w:tc>
          <w:tcPr>
            <w:tcW w:w="3408" w:type="dxa"/>
            <w:vAlign w:val="center"/>
          </w:tcPr>
          <w:p w14:paraId="56EAD0FB" w14:textId="77777777" w:rsidR="00A36E04" w:rsidRDefault="003106B2">
            <w:r>
              <w:rPr>
                <w:sz w:val="20"/>
              </w:rPr>
              <w:t>The Manager may monitor cases, Auditor workload and Auditor wellbeing at a high level.</w:t>
            </w:r>
          </w:p>
        </w:tc>
      </w:tr>
      <w:tr w:rsidR="00A36E04" w14:paraId="743FFEB1" w14:textId="77777777">
        <w:trPr>
          <w:jc w:val="center"/>
        </w:trPr>
        <w:tc>
          <w:tcPr>
            <w:tcW w:w="3408" w:type="dxa"/>
            <w:vAlign w:val="center"/>
          </w:tcPr>
          <w:p w14:paraId="43CC44EC" w14:textId="77777777" w:rsidR="00A36E04" w:rsidRDefault="003106B2">
            <w:r>
              <w:rPr>
                <w:sz w:val="20"/>
              </w:rPr>
              <w:t>Manager exposure control</w:t>
            </w:r>
          </w:p>
        </w:tc>
        <w:tc>
          <w:tcPr>
            <w:tcW w:w="3408" w:type="dxa"/>
            <w:vAlign w:val="center"/>
          </w:tcPr>
          <w:p w14:paraId="0E7CE056" w14:textId="77777777" w:rsidR="00A36E04" w:rsidRDefault="003106B2">
            <w:r>
              <w:rPr>
                <w:sz w:val="20"/>
              </w:rPr>
              <w:t>P2 / future refinement</w:t>
            </w:r>
          </w:p>
        </w:tc>
        <w:tc>
          <w:tcPr>
            <w:tcW w:w="3408" w:type="dxa"/>
            <w:vAlign w:val="center"/>
          </w:tcPr>
          <w:p w14:paraId="67B70B79" w14:textId="77777777" w:rsidR="00A36E04" w:rsidRDefault="003106B2">
            <w:r>
              <w:rPr>
                <w:sz w:val="20"/>
              </w:rPr>
              <w:t>Advanced exposure-management controls are future scope. The exact controls, permissions and actions are not defined in the current Core MVP requirements.</w:t>
            </w:r>
          </w:p>
        </w:tc>
      </w:tr>
      <w:tr w:rsidR="00A36E04" w14:paraId="7EA3E26E" w14:textId="77777777">
        <w:trPr>
          <w:jc w:val="center"/>
        </w:trPr>
        <w:tc>
          <w:tcPr>
            <w:tcW w:w="3408" w:type="dxa"/>
            <w:vAlign w:val="center"/>
          </w:tcPr>
          <w:p w14:paraId="561AAF0E" w14:textId="77777777" w:rsidR="00A36E04" w:rsidRDefault="003106B2">
            <w:r>
              <w:rPr>
                <w:sz w:val="20"/>
              </w:rPr>
              <w:t>Manager action</w:t>
            </w:r>
          </w:p>
        </w:tc>
        <w:tc>
          <w:tcPr>
            <w:tcW w:w="3408" w:type="dxa"/>
            <w:vAlign w:val="center"/>
          </w:tcPr>
          <w:p w14:paraId="58BA955C" w14:textId="77777777" w:rsidR="00A36E04" w:rsidRDefault="003106B2">
            <w:r>
              <w:rPr>
                <w:sz w:val="20"/>
              </w:rPr>
              <w:t>Pending within future scope</w:t>
            </w:r>
          </w:p>
        </w:tc>
        <w:tc>
          <w:tcPr>
            <w:tcW w:w="3408" w:type="dxa"/>
            <w:vAlign w:val="center"/>
          </w:tcPr>
          <w:p w14:paraId="0900CC22" w14:textId="77777777" w:rsidR="00A36E04" w:rsidRDefault="003106B2">
            <w:r>
              <w:rPr>
                <w:sz w:val="20"/>
              </w:rPr>
              <w:t>Any support, workload or case action must be defined by later BA/PM/client decisions. This task does not invent those actions.</w:t>
            </w:r>
          </w:p>
        </w:tc>
      </w:tr>
      <w:tr w:rsidR="00A36E04" w14:paraId="5DB12C14" w14:textId="77777777">
        <w:trPr>
          <w:jc w:val="center"/>
        </w:trPr>
        <w:tc>
          <w:tcPr>
            <w:tcW w:w="3408" w:type="dxa"/>
            <w:vAlign w:val="center"/>
          </w:tcPr>
          <w:p w14:paraId="70328AFF" w14:textId="77777777" w:rsidR="00A36E04" w:rsidRDefault="003106B2">
            <w:r>
              <w:rPr>
                <w:sz w:val="20"/>
              </w:rPr>
              <w:t>Relationship to final decision</w:t>
            </w:r>
          </w:p>
        </w:tc>
        <w:tc>
          <w:tcPr>
            <w:tcW w:w="3408" w:type="dxa"/>
            <w:vAlign w:val="center"/>
          </w:tcPr>
          <w:p w14:paraId="5E0B4E33" w14:textId="77777777" w:rsidR="00A36E04" w:rsidRDefault="003106B2">
            <w:r>
              <w:rPr>
                <w:sz w:val="20"/>
              </w:rPr>
              <w:t>P0 boundary</w:t>
            </w:r>
          </w:p>
        </w:tc>
        <w:tc>
          <w:tcPr>
            <w:tcW w:w="3408" w:type="dxa"/>
            <w:vAlign w:val="center"/>
          </w:tcPr>
          <w:p w14:paraId="72C3D437" w14:textId="77777777" w:rsidR="00A36E04" w:rsidRDefault="003106B2">
            <w:r>
              <w:rPr>
                <w:sz w:val="20"/>
              </w:rPr>
              <w:t>Manager oversight must not replace the Auditor's responsibility for the final human review decision.</w:t>
            </w:r>
          </w:p>
        </w:tc>
      </w:tr>
    </w:tbl>
    <w:p w14:paraId="70F4DCE5" w14:textId="77777777" w:rsidR="00A36E04" w:rsidRDefault="003106B2">
      <w:pPr>
        <w:pStyle w:val="Heading1"/>
      </w:pPr>
      <w:r>
        <w:t>5. Auditor ↔ Manager Interaction / Escalation Boundary</w:t>
      </w:r>
    </w:p>
    <w:p w14:paraId="7CCB3107" w14:textId="77777777" w:rsidR="00A36E04" w:rsidRDefault="003106B2">
      <w:r>
        <w:t>The Planner asks for decline/escalation and Manager interaction, but the BA requirements do not confirm the exact escalation, reassignment, notification or Manager-action rules. The interaction below is therefore intentionally shown as a conditional future branch rather than a confirmed Core MVP workflow.</w:t>
      </w:r>
    </w:p>
    <w:p w14:paraId="1A24D2B4" w14:textId="77777777" w:rsidR="00A36E04" w:rsidRDefault="003106B2">
      <w:pPr>
        <w:jc w:val="center"/>
      </w:pPr>
      <w:r>
        <w:rPr>
          <w:noProof/>
        </w:rPr>
        <w:drawing>
          <wp:inline distT="0" distB="0" distL="0" distR="0" wp14:anchorId="5B3CB92D" wp14:editId="11A369FE">
            <wp:extent cx="5943600" cy="1165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flow.png"/>
                    <pic:cNvPicPr/>
                  </pic:nvPicPr>
                  <pic:blipFill>
                    <a:blip r:embed="rId10"/>
                    <a:stretch>
                      <a:fillRect/>
                    </a:stretch>
                  </pic:blipFill>
                  <pic:spPr>
                    <a:xfrm>
                      <a:off x="0" y="0"/>
                      <a:ext cx="5943600" cy="1165618"/>
                    </a:xfrm>
                    <a:prstGeom prst="rect">
                      <a:avLst/>
                    </a:prstGeom>
                  </pic:spPr>
                </pic:pic>
              </a:graphicData>
            </a:graphic>
          </wp:inline>
        </w:drawing>
      </w:r>
    </w:p>
    <w:p w14:paraId="11B4124B" w14:textId="77777777" w:rsidR="00A36E04" w:rsidRDefault="003106B2">
      <w:pPr>
        <w:pStyle w:val="Heading1"/>
      </w:pPr>
      <w:r>
        <w:t>6. Confirmed Core MVP Boundary</w:t>
      </w:r>
    </w:p>
    <w:p w14:paraId="442E84FD" w14:textId="77777777" w:rsidR="00A36E04" w:rsidRDefault="003106B2">
      <w:r>
        <w:t>The confirmed implementation path remains:</w:t>
      </w:r>
    </w:p>
    <w:p w14:paraId="47B0AB29" w14:textId="77777777" w:rsidR="00A36E04" w:rsidRDefault="003106B2">
      <w:pPr>
        <w:jc w:val="center"/>
      </w:pPr>
      <w:r>
        <w:rPr>
          <w:b/>
        </w:rPr>
        <w:t>Public User submission → Case ID creation → AI video/audio analysis → Structured AI outputs → Auditor review → Final human decision</w:t>
      </w:r>
    </w:p>
    <w:p w14:paraId="5FA32826" w14:textId="77777777" w:rsidR="00A36E04" w:rsidRDefault="003106B2">
      <w:r>
        <w:t>Confirmed structured outputs:</w:t>
      </w:r>
    </w:p>
    <w:p w14:paraId="114814FF" w14:textId="77777777" w:rsidR="00A36E04" w:rsidRDefault="003106B2">
      <w:pPr>
        <w:pStyle w:val="ListBullet"/>
        <w:spacing w:after="40"/>
      </w:pPr>
      <w:r>
        <w:t>Severity information</w:t>
      </w:r>
    </w:p>
    <w:p w14:paraId="155A304A" w14:textId="77777777" w:rsidR="00A36E04" w:rsidRDefault="003106B2">
      <w:pPr>
        <w:pStyle w:val="ListBullet"/>
        <w:spacing w:after="40"/>
      </w:pPr>
      <w:r>
        <w:t>Summary</w:t>
      </w:r>
    </w:p>
    <w:p w14:paraId="3FFB3C75" w14:textId="77777777" w:rsidR="00A36E04" w:rsidRDefault="003106B2">
      <w:pPr>
        <w:pStyle w:val="ListBullet"/>
        <w:spacing w:after="40"/>
      </w:pPr>
      <w:r>
        <w:t>Incident timestamps</w:t>
      </w:r>
    </w:p>
    <w:p w14:paraId="244B2979" w14:textId="77777777" w:rsidR="00A36E04" w:rsidRDefault="003106B2">
      <w:r>
        <w:lastRenderedPageBreak/>
        <w:t>Important scope boundaries:</w:t>
      </w:r>
    </w:p>
    <w:p w14:paraId="7282E00B" w14:textId="77777777" w:rsidR="00A36E04" w:rsidRDefault="003106B2">
      <w:pPr>
        <w:pStyle w:val="ListBullet"/>
        <w:spacing w:after="40"/>
      </w:pPr>
      <w:r>
        <w:t>AI is assistive; it does not make the final autonomous decision.</w:t>
      </w:r>
    </w:p>
    <w:p w14:paraId="21DA0514" w14:textId="77777777" w:rsidR="00A36E04" w:rsidRDefault="003106B2">
      <w:pPr>
        <w:pStyle w:val="ListBullet"/>
        <w:spacing w:after="40"/>
      </w:pPr>
      <w:r>
        <w:t>Only approved synthetic/staged content is used.</w:t>
      </w:r>
    </w:p>
    <w:p w14:paraId="44018624" w14:textId="77777777" w:rsidR="00A36E04" w:rsidRDefault="003106B2">
      <w:pPr>
        <w:pStyle w:val="ListBullet"/>
        <w:spacing w:after="40"/>
      </w:pPr>
      <w:r>
        <w:t>Manager oversight, cooldown, SOS and advanced exposure-management controls are not confirmed Sprint 2 Core MVP functionality.</w:t>
      </w:r>
    </w:p>
    <w:p w14:paraId="0983DD8F" w14:textId="77777777" w:rsidR="00A36E04" w:rsidRDefault="003106B2">
      <w:pPr>
        <w:pStyle w:val="ListBullet"/>
        <w:spacing w:after="40"/>
      </w:pPr>
      <w:r>
        <w:t>Decline/reassignment/escalation rules and exact final-decision options remain pending confirmation.</w:t>
      </w:r>
    </w:p>
    <w:p w14:paraId="22D77F8F" w14:textId="596D6A49" w:rsidR="00A36E04" w:rsidRDefault="003106B2">
      <w:pPr>
        <w:pStyle w:val="ListBullet"/>
        <w:spacing w:after="40"/>
      </w:pPr>
      <w:r>
        <w:t>Tags and transcription are conditional outputs and must not displace the P0 workflow</w:t>
      </w:r>
      <w:r w:rsidR="0024586F">
        <w:t>.</w:t>
      </w:r>
    </w:p>
    <w:sectPr w:rsidR="00A36E04" w:rsidSect="00034616">
      <w:footerReference w:type="even" r:id="rId11"/>
      <w:footerReference w:type="default" r:id="rId1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8BF51" w14:textId="77777777" w:rsidR="003106B2" w:rsidRDefault="003106B2" w:rsidP="00A53FF8">
      <w:pPr>
        <w:spacing w:after="0" w:line="240" w:lineRule="auto"/>
      </w:pPr>
      <w:r>
        <w:separator/>
      </w:r>
    </w:p>
  </w:endnote>
  <w:endnote w:type="continuationSeparator" w:id="0">
    <w:p w14:paraId="55CDB4DA" w14:textId="77777777" w:rsidR="003106B2" w:rsidRDefault="003106B2" w:rsidP="00A53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7229664"/>
      <w:docPartObj>
        <w:docPartGallery w:val="Page Numbers (Bottom of Page)"/>
        <w:docPartUnique/>
      </w:docPartObj>
    </w:sdtPr>
    <w:sdtContent>
      <w:p w14:paraId="6ACFBF46" w14:textId="2C7582F2" w:rsidR="003306A3" w:rsidRDefault="003306A3" w:rsidP="005318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78F43" w14:textId="77777777" w:rsidR="003306A3" w:rsidRDefault="003306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7500282"/>
      <w:docPartObj>
        <w:docPartGallery w:val="Page Numbers (Bottom of Page)"/>
        <w:docPartUnique/>
      </w:docPartObj>
    </w:sdtPr>
    <w:sdtContent>
      <w:p w14:paraId="1CEEE3A4" w14:textId="59D7137D" w:rsidR="003306A3" w:rsidRDefault="003306A3" w:rsidP="005318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77B655F3" w14:textId="3EE23544" w:rsidR="00A53FF8" w:rsidRDefault="00A53FF8" w:rsidP="00514143">
    <w:pPr>
      <w:pStyle w:val="Footer"/>
    </w:pPr>
    <w:r>
      <w:t>Harneet</w:t>
    </w:r>
    <w:r>
      <w:ptab w:relativeTo="margin" w:alignment="center" w:leader="none"/>
    </w:r>
    <w:r>
      <w:ptab w:relativeTo="margin" w:alignment="right" w:leader="none"/>
    </w:r>
    <w:r w:rsidR="003306A3">
      <w:t>s</w:t>
    </w:r>
    <w:r w:rsidR="00514143">
      <w:t>40</w:t>
    </w:r>
    <w:r w:rsidR="003306A3">
      <w:t>59119</w:t>
    </w:r>
  </w:p>
  <w:p w14:paraId="70306DCE" w14:textId="77777777" w:rsidR="003306A3" w:rsidRDefault="00330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144D" w14:textId="77777777" w:rsidR="003106B2" w:rsidRDefault="003106B2" w:rsidP="00A53FF8">
      <w:pPr>
        <w:spacing w:after="0" w:line="240" w:lineRule="auto"/>
      </w:pPr>
      <w:r>
        <w:separator/>
      </w:r>
    </w:p>
  </w:footnote>
  <w:footnote w:type="continuationSeparator" w:id="0">
    <w:p w14:paraId="74AB9F1C" w14:textId="77777777" w:rsidR="003106B2" w:rsidRDefault="003106B2" w:rsidP="00A53F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058708">
    <w:abstractNumId w:val="8"/>
  </w:num>
  <w:num w:numId="2" w16cid:durableId="1403986995">
    <w:abstractNumId w:val="6"/>
  </w:num>
  <w:num w:numId="3" w16cid:durableId="261383330">
    <w:abstractNumId w:val="5"/>
  </w:num>
  <w:num w:numId="4" w16cid:durableId="534193674">
    <w:abstractNumId w:val="4"/>
  </w:num>
  <w:num w:numId="5" w16cid:durableId="1246065281">
    <w:abstractNumId w:val="7"/>
  </w:num>
  <w:num w:numId="6" w16cid:durableId="694187200">
    <w:abstractNumId w:val="3"/>
  </w:num>
  <w:num w:numId="7" w16cid:durableId="906651943">
    <w:abstractNumId w:val="2"/>
  </w:num>
  <w:num w:numId="8" w16cid:durableId="1751539628">
    <w:abstractNumId w:val="1"/>
  </w:num>
  <w:num w:numId="9" w16cid:durableId="116393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86F"/>
    <w:rsid w:val="0029639D"/>
    <w:rsid w:val="003106B2"/>
    <w:rsid w:val="00326F90"/>
    <w:rsid w:val="003306A3"/>
    <w:rsid w:val="003D5E2D"/>
    <w:rsid w:val="00514143"/>
    <w:rsid w:val="008315DD"/>
    <w:rsid w:val="009E23B1"/>
    <w:rsid w:val="00A36E04"/>
    <w:rsid w:val="00A53FF8"/>
    <w:rsid w:val="00AA1D8D"/>
    <w:rsid w:val="00B47730"/>
    <w:rsid w:val="00B57716"/>
    <w:rsid w:val="00CB0664"/>
    <w:rsid w:val="00CD1C93"/>
    <w:rsid w:val="00EC5D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7F3E9"/>
  <w14:defaultImageDpi w14:val="300"/>
  <w15:docId w15:val="{E2F4FE7B-7C13-1E40-A303-EAF0EE6B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330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784</Words>
  <Characters>4725</Characters>
  <Application>Microsoft Office Word</Application>
  <DocSecurity>0</DocSecurity>
  <Lines>168</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generated by python-docx</dc:description>
  <cp:lastModifiedBy>Harneet Kaur</cp:lastModifiedBy>
  <cp:revision>2</cp:revision>
  <dcterms:created xsi:type="dcterms:W3CDTF">2026-09-06T09:55:00Z</dcterms:created>
  <dcterms:modified xsi:type="dcterms:W3CDTF">2026-09-06T09:55:00Z</dcterms:modified>
  <cp:category/>
</cp:coreProperties>
</file>