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B179FC" w14:textId="77777777" w:rsidR="00FF2E5B" w:rsidRPr="00FF2E5B" w:rsidRDefault="00FF2E5B" w:rsidP="00FF2E5B">
      <w:pPr>
        <w:spacing w:after="60"/>
        <w:jc w:val="center"/>
        <w:rPr>
          <w:rFonts w:asciiTheme="minorHAnsi" w:hAnsiTheme="minorHAnsi"/>
        </w:rPr>
      </w:pPr>
      <w:r w:rsidRPr="00FF2E5B">
        <w:rPr>
          <w:rFonts w:asciiTheme="minorHAnsi" w:hAnsiTheme="minorHAnsi"/>
          <w:b/>
          <w:bCs/>
          <w:sz w:val="34"/>
          <w:szCs w:val="34"/>
        </w:rPr>
        <w:t>Auditor / Manager Implementation-Ready UX Specification</w:t>
      </w:r>
    </w:p>
    <w:p w14:paraId="40A1A68B" w14:textId="33CC5E72" w:rsidR="00FF2E5B" w:rsidRPr="00FF2E5B" w:rsidRDefault="00FF2E5B" w:rsidP="00FF2E5B">
      <w:pPr>
        <w:spacing w:after="40"/>
        <w:jc w:val="center"/>
        <w:rPr>
          <w:rFonts w:asciiTheme="minorHAnsi" w:hAnsiTheme="minorHAnsi"/>
        </w:rPr>
      </w:pPr>
      <w:r w:rsidRPr="00FF2E5B">
        <w:rPr>
          <w:rFonts w:asciiTheme="minorHAnsi" w:hAnsiTheme="minorHAnsi"/>
          <w:color w:val="555555"/>
          <w:sz w:val="22"/>
          <w:szCs w:val="22"/>
        </w:rPr>
        <w:t>IBM - Responsible Content-Safety Infrastructure</w:t>
      </w:r>
    </w:p>
    <w:p w14:paraId="147EEEDA" w14:textId="741A1FA0" w:rsidR="00FF2E5B" w:rsidRPr="00FF2E5B" w:rsidRDefault="00FF2E5B" w:rsidP="00FF2E5B">
      <w:pPr>
        <w:spacing w:after="220"/>
        <w:jc w:val="center"/>
        <w:rPr>
          <w:rFonts w:asciiTheme="minorHAnsi" w:hAnsiTheme="minorHAnsi"/>
        </w:rPr>
      </w:pPr>
      <w:r w:rsidRPr="00FF2E5B">
        <w:rPr>
          <w:rFonts w:asciiTheme="minorHAnsi" w:hAnsiTheme="minorHAnsi"/>
          <w:i/>
          <w:iCs/>
          <w:color w:val="555555"/>
        </w:rPr>
        <w:t xml:space="preserve"> UX Design  |  Harneet Kaur</w:t>
      </w:r>
    </w:p>
    <w:p w14:paraId="649DD831" w14:textId="77777777" w:rsidR="00FF2E5B" w:rsidRPr="00FF2E5B" w:rsidRDefault="00FF2E5B" w:rsidP="00FF2E5B">
      <w:pPr>
        <w:pBdr>
          <w:bottom w:val="single" w:sz="6" w:space="4" w:color="AAAAAA"/>
        </w:pBdr>
        <w:spacing w:after="20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40"/>
        <w:gridCol w:w="1500"/>
        <w:gridCol w:w="2820"/>
      </w:tblGrid>
      <w:tr w:rsidR="00FF2E5B" w:rsidRPr="00FF2E5B" w14:paraId="6F5670D7" w14:textId="77777777" w:rsidTr="00E16697">
        <w:tc>
          <w:tcPr>
            <w:tcW w:w="1500" w:type="dxa"/>
            <w:shd w:val="clear" w:color="auto" w:fill="F2F2F2"/>
            <w:tcMar>
              <w:top w:w="90" w:type="dxa"/>
              <w:left w:w="110" w:type="dxa"/>
              <w:bottom w:w="90" w:type="dxa"/>
              <w:right w:w="110" w:type="dxa"/>
            </w:tcMar>
            <w:vAlign w:val="center"/>
          </w:tcPr>
          <w:p w14:paraId="167BB615" w14:textId="77777777" w:rsidR="00FF2E5B" w:rsidRPr="00FF2E5B" w:rsidRDefault="00FF2E5B" w:rsidP="00E16697">
            <w:pPr>
              <w:rPr>
                <w:rFonts w:asciiTheme="minorHAnsi" w:hAnsiTheme="minorHAnsi"/>
              </w:rPr>
            </w:pPr>
            <w:r w:rsidRPr="00FF2E5B">
              <w:rPr>
                <w:rFonts w:asciiTheme="minorHAnsi" w:hAnsiTheme="minorHAnsi"/>
                <w:b/>
                <w:bCs/>
                <w:sz w:val="18"/>
                <w:szCs w:val="18"/>
              </w:rPr>
              <w:t>Output</w:t>
            </w:r>
          </w:p>
        </w:tc>
        <w:tc>
          <w:tcPr>
            <w:tcW w:w="3540" w:type="dxa"/>
            <w:tcMar>
              <w:top w:w="90" w:type="dxa"/>
              <w:left w:w="110" w:type="dxa"/>
              <w:bottom w:w="90" w:type="dxa"/>
              <w:right w:w="110" w:type="dxa"/>
            </w:tcMar>
            <w:vAlign w:val="center"/>
          </w:tcPr>
          <w:p w14:paraId="2304F4C9" w14:textId="77777777" w:rsidR="00FF2E5B" w:rsidRPr="00FF2E5B" w:rsidRDefault="00FF2E5B" w:rsidP="00E16697">
            <w:pPr>
              <w:rPr>
                <w:rFonts w:asciiTheme="minorHAnsi" w:hAnsiTheme="minorHAnsi"/>
              </w:rPr>
            </w:pPr>
            <w:r w:rsidRPr="00FF2E5B">
              <w:rPr>
                <w:rFonts w:asciiTheme="minorHAnsi" w:hAnsiTheme="minorHAnsi"/>
                <w:sz w:val="18"/>
                <w:szCs w:val="18"/>
              </w:rPr>
              <w:t>Auditor/Manager implementation-ready UX specification</w:t>
            </w:r>
          </w:p>
        </w:tc>
        <w:tc>
          <w:tcPr>
            <w:tcW w:w="1500" w:type="dxa"/>
            <w:shd w:val="clear" w:color="auto" w:fill="F2F2F2"/>
            <w:tcMar>
              <w:top w:w="90" w:type="dxa"/>
              <w:left w:w="110" w:type="dxa"/>
              <w:bottom w:w="90" w:type="dxa"/>
              <w:right w:w="110" w:type="dxa"/>
            </w:tcMar>
            <w:vAlign w:val="center"/>
          </w:tcPr>
          <w:p w14:paraId="102F7C7E" w14:textId="77777777" w:rsidR="00FF2E5B" w:rsidRPr="00FF2E5B" w:rsidRDefault="00FF2E5B" w:rsidP="00E16697">
            <w:pPr>
              <w:rPr>
                <w:rFonts w:asciiTheme="minorHAnsi" w:hAnsiTheme="minorHAnsi"/>
              </w:rPr>
            </w:pPr>
            <w:r w:rsidRPr="00FF2E5B">
              <w:rPr>
                <w:rFonts w:asciiTheme="minorHAnsi" w:hAnsiTheme="minorHAnsi"/>
                <w:b/>
                <w:bCs/>
                <w:sz w:val="18"/>
                <w:szCs w:val="18"/>
              </w:rPr>
              <w:t>Dependency</w:t>
            </w:r>
          </w:p>
        </w:tc>
        <w:tc>
          <w:tcPr>
            <w:tcW w:w="2820" w:type="dxa"/>
            <w:tcMar>
              <w:top w:w="90" w:type="dxa"/>
              <w:left w:w="110" w:type="dxa"/>
              <w:bottom w:w="90" w:type="dxa"/>
              <w:right w:w="110" w:type="dxa"/>
            </w:tcMar>
            <w:vAlign w:val="center"/>
          </w:tcPr>
          <w:p w14:paraId="08C7AD77" w14:textId="77777777" w:rsidR="00FF2E5B" w:rsidRPr="00FF2E5B" w:rsidRDefault="00FF2E5B" w:rsidP="00E16697">
            <w:pPr>
              <w:rPr>
                <w:rFonts w:asciiTheme="minorHAnsi" w:hAnsiTheme="minorHAnsi"/>
              </w:rPr>
            </w:pPr>
            <w:r w:rsidRPr="00FF2E5B">
              <w:rPr>
                <w:rFonts w:asciiTheme="minorHAnsi" w:hAnsiTheme="minorHAnsi"/>
                <w:sz w:val="18"/>
                <w:szCs w:val="18"/>
              </w:rPr>
              <w:t>T4, T5</w:t>
            </w:r>
          </w:p>
        </w:tc>
      </w:tr>
    </w:tbl>
    <w:p w14:paraId="6233D44D" w14:textId="77777777" w:rsidR="00FF2E5B" w:rsidRPr="00FF2E5B" w:rsidRDefault="00FF2E5B" w:rsidP="00FF2E5B">
      <w:pPr>
        <w:spacing w:after="200"/>
        <w:rPr>
          <w:rFonts w:asciiTheme="minorHAnsi" w:hAnsiTheme="minorHAnsi"/>
        </w:rPr>
      </w:pPr>
    </w:p>
    <w:p w14:paraId="796472E6"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1. Case Preview — Implementation Guidance</w:t>
      </w:r>
    </w:p>
    <w:p w14:paraId="1D98D519" w14:textId="77777777" w:rsidR="00FF2E5B" w:rsidRPr="00FF2E5B" w:rsidRDefault="00FF2E5B" w:rsidP="00FF2E5B">
      <w:pPr>
        <w:spacing w:after="140"/>
        <w:rPr>
          <w:rFonts w:asciiTheme="minorHAnsi" w:hAnsiTheme="minorHAnsi"/>
        </w:rPr>
      </w:pPr>
      <w:r w:rsidRPr="00FF2E5B">
        <w:rPr>
          <w:rFonts w:asciiTheme="minorHAnsi" w:hAnsiTheme="minorHAnsi"/>
        </w:rPr>
        <w:t>Two-column layout: a fixed-width (280px) metadata card on the left, and a flexible-width warning panel on the right, gap 20px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FF2E5B" w:rsidRPr="00FF2E5B" w14:paraId="360B7EB9" w14:textId="77777777" w:rsidTr="00E16697">
        <w:trPr>
          <w:tblHeader/>
        </w:trPr>
        <w:tc>
          <w:tcPr>
            <w:tcW w:w="2200" w:type="dxa"/>
            <w:shd w:val="clear" w:color="auto" w:fill="34495E"/>
            <w:tcMar>
              <w:top w:w="90" w:type="dxa"/>
              <w:left w:w="110" w:type="dxa"/>
              <w:bottom w:w="90" w:type="dxa"/>
              <w:right w:w="110" w:type="dxa"/>
            </w:tcMar>
            <w:vAlign w:val="center"/>
          </w:tcPr>
          <w:p w14:paraId="0B33D702"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Element</w:t>
            </w:r>
          </w:p>
        </w:tc>
        <w:tc>
          <w:tcPr>
            <w:tcW w:w="2600" w:type="dxa"/>
            <w:shd w:val="clear" w:color="auto" w:fill="34495E"/>
            <w:tcMar>
              <w:top w:w="90" w:type="dxa"/>
              <w:left w:w="110" w:type="dxa"/>
              <w:bottom w:w="90" w:type="dxa"/>
              <w:right w:w="110" w:type="dxa"/>
            </w:tcMar>
            <w:vAlign w:val="center"/>
          </w:tcPr>
          <w:p w14:paraId="5ECC20AC"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Location</w:t>
            </w:r>
          </w:p>
        </w:tc>
        <w:tc>
          <w:tcPr>
            <w:tcW w:w="4560" w:type="dxa"/>
            <w:shd w:val="clear" w:color="auto" w:fill="34495E"/>
            <w:tcMar>
              <w:top w:w="90" w:type="dxa"/>
              <w:left w:w="110" w:type="dxa"/>
              <w:bottom w:w="90" w:type="dxa"/>
              <w:right w:w="110" w:type="dxa"/>
            </w:tcMar>
            <w:vAlign w:val="center"/>
          </w:tcPr>
          <w:p w14:paraId="580E421F"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Behaviour</w:t>
            </w:r>
          </w:p>
        </w:tc>
      </w:tr>
      <w:tr w:rsidR="00FF2E5B" w:rsidRPr="00FF2E5B" w14:paraId="6ECABB99" w14:textId="77777777" w:rsidTr="00E16697">
        <w:tc>
          <w:tcPr>
            <w:tcW w:w="2200" w:type="dxa"/>
            <w:tcMar>
              <w:top w:w="90" w:type="dxa"/>
              <w:left w:w="110" w:type="dxa"/>
              <w:bottom w:w="90" w:type="dxa"/>
              <w:right w:w="110" w:type="dxa"/>
            </w:tcMar>
            <w:vAlign w:val="center"/>
          </w:tcPr>
          <w:p w14:paraId="7209426A" w14:textId="77777777" w:rsidR="00FF2E5B" w:rsidRPr="00FF2E5B" w:rsidRDefault="00FF2E5B" w:rsidP="00E16697">
            <w:pPr>
              <w:rPr>
                <w:rFonts w:asciiTheme="minorHAnsi" w:hAnsiTheme="minorHAnsi"/>
              </w:rPr>
            </w:pPr>
            <w:r w:rsidRPr="00FF2E5B">
              <w:rPr>
                <w:rFonts w:asciiTheme="minorHAnsi" w:hAnsiTheme="minorHAnsi"/>
                <w:b/>
                <w:bCs/>
                <w:sz w:val="18"/>
                <w:szCs w:val="18"/>
              </w:rPr>
              <w:t>Case metadata (ID, type, duration, source)</w:t>
            </w:r>
          </w:p>
        </w:tc>
        <w:tc>
          <w:tcPr>
            <w:tcW w:w="2600" w:type="dxa"/>
            <w:tcMar>
              <w:top w:w="90" w:type="dxa"/>
              <w:left w:w="110" w:type="dxa"/>
              <w:bottom w:w="90" w:type="dxa"/>
              <w:right w:w="110" w:type="dxa"/>
            </w:tcMar>
            <w:vAlign w:val="center"/>
          </w:tcPr>
          <w:p w14:paraId="6845DA16" w14:textId="77777777" w:rsidR="00FF2E5B" w:rsidRPr="00FF2E5B" w:rsidRDefault="00FF2E5B" w:rsidP="00E16697">
            <w:pPr>
              <w:rPr>
                <w:rFonts w:asciiTheme="minorHAnsi" w:hAnsiTheme="minorHAnsi"/>
              </w:rPr>
            </w:pPr>
            <w:r w:rsidRPr="00FF2E5B">
              <w:rPr>
                <w:rFonts w:asciiTheme="minorHAnsi" w:hAnsiTheme="minorHAnsi"/>
                <w:sz w:val="18"/>
                <w:szCs w:val="18"/>
              </w:rPr>
              <w:t>Left card, stacked key/value rows</w:t>
            </w:r>
          </w:p>
        </w:tc>
        <w:tc>
          <w:tcPr>
            <w:tcW w:w="4560" w:type="dxa"/>
            <w:tcMar>
              <w:top w:w="90" w:type="dxa"/>
              <w:left w:w="110" w:type="dxa"/>
              <w:bottom w:w="90" w:type="dxa"/>
              <w:right w:w="110" w:type="dxa"/>
            </w:tcMar>
            <w:vAlign w:val="center"/>
          </w:tcPr>
          <w:p w14:paraId="5ACC6850" w14:textId="77777777" w:rsidR="00FF2E5B" w:rsidRPr="00FF2E5B" w:rsidRDefault="00FF2E5B" w:rsidP="00E16697">
            <w:pPr>
              <w:rPr>
                <w:rFonts w:asciiTheme="minorHAnsi" w:hAnsiTheme="minorHAnsi"/>
              </w:rPr>
            </w:pPr>
            <w:r w:rsidRPr="00FF2E5B">
              <w:rPr>
                <w:rFonts w:asciiTheme="minorHAnsi" w:hAnsiTheme="minorHAnsi"/>
                <w:sz w:val="18"/>
                <w:szCs w:val="18"/>
              </w:rPr>
              <w:t>Static display; no interaction. Case ID uses monospace type throughout the product for consistency.</w:t>
            </w:r>
          </w:p>
        </w:tc>
      </w:tr>
      <w:tr w:rsidR="00FF2E5B" w:rsidRPr="00FF2E5B" w14:paraId="6AFA7A72" w14:textId="77777777" w:rsidTr="00E16697">
        <w:tc>
          <w:tcPr>
            <w:tcW w:w="2200" w:type="dxa"/>
            <w:tcMar>
              <w:top w:w="90" w:type="dxa"/>
              <w:left w:w="110" w:type="dxa"/>
              <w:bottom w:w="90" w:type="dxa"/>
              <w:right w:w="110" w:type="dxa"/>
            </w:tcMar>
            <w:vAlign w:val="center"/>
          </w:tcPr>
          <w:p w14:paraId="728BC40E" w14:textId="77777777" w:rsidR="00FF2E5B" w:rsidRPr="00FF2E5B" w:rsidRDefault="00FF2E5B" w:rsidP="00E16697">
            <w:pPr>
              <w:rPr>
                <w:rFonts w:asciiTheme="minorHAnsi" w:hAnsiTheme="minorHAnsi"/>
              </w:rPr>
            </w:pPr>
            <w:r w:rsidRPr="00FF2E5B">
              <w:rPr>
                <w:rFonts w:asciiTheme="minorHAnsi" w:hAnsiTheme="minorHAnsi"/>
                <w:b/>
                <w:bCs/>
                <w:sz w:val="18"/>
                <w:szCs w:val="18"/>
              </w:rPr>
              <w:t>AI flag (severity)</w:t>
            </w:r>
          </w:p>
        </w:tc>
        <w:tc>
          <w:tcPr>
            <w:tcW w:w="2600" w:type="dxa"/>
            <w:tcMar>
              <w:top w:w="90" w:type="dxa"/>
              <w:left w:w="110" w:type="dxa"/>
              <w:bottom w:w="90" w:type="dxa"/>
              <w:right w:w="110" w:type="dxa"/>
            </w:tcMar>
            <w:vAlign w:val="center"/>
          </w:tcPr>
          <w:p w14:paraId="76ED4771" w14:textId="77777777" w:rsidR="00FF2E5B" w:rsidRPr="00FF2E5B" w:rsidRDefault="00FF2E5B" w:rsidP="00E16697">
            <w:pPr>
              <w:rPr>
                <w:rFonts w:asciiTheme="minorHAnsi" w:hAnsiTheme="minorHAnsi"/>
              </w:rPr>
            </w:pPr>
            <w:r w:rsidRPr="00FF2E5B">
              <w:rPr>
                <w:rFonts w:asciiTheme="minorHAnsi" w:hAnsiTheme="minorHAnsi"/>
                <w:sz w:val="18"/>
                <w:szCs w:val="18"/>
              </w:rPr>
              <w:t>Left card, bottom row</w:t>
            </w:r>
          </w:p>
        </w:tc>
        <w:tc>
          <w:tcPr>
            <w:tcW w:w="4560" w:type="dxa"/>
            <w:tcMar>
              <w:top w:w="90" w:type="dxa"/>
              <w:left w:w="110" w:type="dxa"/>
              <w:bottom w:w="90" w:type="dxa"/>
              <w:right w:w="110" w:type="dxa"/>
            </w:tcMar>
            <w:vAlign w:val="center"/>
          </w:tcPr>
          <w:p w14:paraId="07DAABB9" w14:textId="77777777" w:rsidR="00FF2E5B" w:rsidRPr="00FF2E5B" w:rsidRDefault="00FF2E5B" w:rsidP="00E16697">
            <w:pPr>
              <w:rPr>
                <w:rFonts w:asciiTheme="minorHAnsi" w:hAnsiTheme="minorHAnsi"/>
              </w:rPr>
            </w:pPr>
            <w:r w:rsidRPr="00FF2E5B">
              <w:rPr>
                <w:rFonts w:asciiTheme="minorHAnsi" w:hAnsiTheme="minorHAnsi"/>
                <w:sz w:val="18"/>
                <w:szCs w:val="18"/>
              </w:rPr>
              <w:t>Coloured pill (teal/amber/red per severity tier). This is the case's initial severity indicator — the full severity/summary/timestamps set appears only after AI analysis, on the Analysis &amp; Decision screen (Section 2).</w:t>
            </w:r>
          </w:p>
        </w:tc>
      </w:tr>
      <w:tr w:rsidR="00FF2E5B" w:rsidRPr="00FF2E5B" w14:paraId="05F242B4" w14:textId="77777777" w:rsidTr="00E16697">
        <w:tc>
          <w:tcPr>
            <w:tcW w:w="2200" w:type="dxa"/>
            <w:tcMar>
              <w:top w:w="90" w:type="dxa"/>
              <w:left w:w="110" w:type="dxa"/>
              <w:bottom w:w="90" w:type="dxa"/>
              <w:right w:w="110" w:type="dxa"/>
            </w:tcMar>
            <w:vAlign w:val="center"/>
          </w:tcPr>
          <w:p w14:paraId="263867FE" w14:textId="77777777" w:rsidR="00FF2E5B" w:rsidRPr="00FF2E5B" w:rsidRDefault="00FF2E5B" w:rsidP="00E16697">
            <w:pPr>
              <w:rPr>
                <w:rFonts w:asciiTheme="minorHAnsi" w:hAnsiTheme="minorHAnsi"/>
              </w:rPr>
            </w:pPr>
            <w:r w:rsidRPr="00FF2E5B">
              <w:rPr>
                <w:rFonts w:asciiTheme="minorHAnsi" w:hAnsiTheme="minorHAnsi"/>
                <w:b/>
                <w:bCs/>
                <w:sz w:val="18"/>
                <w:szCs w:val="18"/>
              </w:rPr>
              <w:t>Content warning panel</w:t>
            </w:r>
          </w:p>
        </w:tc>
        <w:tc>
          <w:tcPr>
            <w:tcW w:w="2600" w:type="dxa"/>
            <w:tcMar>
              <w:top w:w="90" w:type="dxa"/>
              <w:left w:w="110" w:type="dxa"/>
              <w:bottom w:w="90" w:type="dxa"/>
              <w:right w:w="110" w:type="dxa"/>
            </w:tcMar>
            <w:vAlign w:val="center"/>
          </w:tcPr>
          <w:p w14:paraId="5CFA496C"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full remaining width</w:t>
            </w:r>
          </w:p>
        </w:tc>
        <w:tc>
          <w:tcPr>
            <w:tcW w:w="4560" w:type="dxa"/>
            <w:tcMar>
              <w:top w:w="90" w:type="dxa"/>
              <w:left w:w="110" w:type="dxa"/>
              <w:bottom w:w="90" w:type="dxa"/>
              <w:right w:w="110" w:type="dxa"/>
            </w:tcMar>
            <w:vAlign w:val="center"/>
          </w:tcPr>
          <w:p w14:paraId="08DF9F63" w14:textId="77777777" w:rsidR="00FF2E5B" w:rsidRPr="00FF2E5B" w:rsidRDefault="00FF2E5B" w:rsidP="00E16697">
            <w:pPr>
              <w:rPr>
                <w:rFonts w:asciiTheme="minorHAnsi" w:hAnsiTheme="minorHAnsi"/>
              </w:rPr>
            </w:pPr>
            <w:r w:rsidRPr="00FF2E5B">
              <w:rPr>
                <w:rFonts w:asciiTheme="minorHAnsi" w:hAnsiTheme="minorHAnsi"/>
                <w:sz w:val="18"/>
                <w:szCs w:val="18"/>
              </w:rPr>
              <w:t>Displayed before any raw media is revealed. Contains: icon badge, heading, one-paragraph explanation naming the severity, and two actions.</w:t>
            </w:r>
          </w:p>
        </w:tc>
      </w:tr>
      <w:tr w:rsidR="00FF2E5B" w:rsidRPr="00FF2E5B" w14:paraId="78D8CFFB" w14:textId="77777777" w:rsidTr="00E16697">
        <w:tc>
          <w:tcPr>
            <w:tcW w:w="2200" w:type="dxa"/>
            <w:tcMar>
              <w:top w:w="90" w:type="dxa"/>
              <w:left w:w="110" w:type="dxa"/>
              <w:bottom w:w="90" w:type="dxa"/>
              <w:right w:w="110" w:type="dxa"/>
            </w:tcMar>
            <w:vAlign w:val="center"/>
          </w:tcPr>
          <w:p w14:paraId="39F5AD89" w14:textId="77777777" w:rsidR="00FF2E5B" w:rsidRPr="00FF2E5B" w:rsidRDefault="00FF2E5B" w:rsidP="00E16697">
            <w:pPr>
              <w:rPr>
                <w:rFonts w:asciiTheme="minorHAnsi" w:hAnsiTheme="minorHAnsi"/>
              </w:rPr>
            </w:pPr>
            <w:r w:rsidRPr="00FF2E5B">
              <w:rPr>
                <w:rFonts w:asciiTheme="minorHAnsi" w:hAnsiTheme="minorHAnsi"/>
                <w:b/>
                <w:bCs/>
                <w:sz w:val="18"/>
                <w:szCs w:val="18"/>
              </w:rPr>
              <w:t>“Review AI analysis →” action</w:t>
            </w:r>
          </w:p>
        </w:tc>
        <w:tc>
          <w:tcPr>
            <w:tcW w:w="2600" w:type="dxa"/>
            <w:tcMar>
              <w:top w:w="90" w:type="dxa"/>
              <w:left w:w="110" w:type="dxa"/>
              <w:bottom w:w="90" w:type="dxa"/>
              <w:right w:w="110" w:type="dxa"/>
            </w:tcMar>
            <w:vAlign w:val="center"/>
          </w:tcPr>
          <w:p w14:paraId="210F38D0"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primary button</w:t>
            </w:r>
          </w:p>
        </w:tc>
        <w:tc>
          <w:tcPr>
            <w:tcW w:w="4560" w:type="dxa"/>
            <w:tcMar>
              <w:top w:w="90" w:type="dxa"/>
              <w:left w:w="110" w:type="dxa"/>
              <w:bottom w:w="90" w:type="dxa"/>
              <w:right w:w="110" w:type="dxa"/>
            </w:tcMar>
            <w:vAlign w:val="center"/>
          </w:tcPr>
          <w:p w14:paraId="60034772" w14:textId="77777777" w:rsidR="00FF2E5B" w:rsidRPr="00FF2E5B" w:rsidRDefault="00FF2E5B" w:rsidP="00E16697">
            <w:pPr>
              <w:rPr>
                <w:rFonts w:asciiTheme="minorHAnsi" w:hAnsiTheme="minorHAnsi"/>
              </w:rPr>
            </w:pPr>
            <w:r w:rsidRPr="00FF2E5B">
              <w:rPr>
                <w:rFonts w:asciiTheme="minorHAnsi" w:hAnsiTheme="minorHAnsi"/>
                <w:sz w:val="18"/>
                <w:szCs w:val="18"/>
              </w:rPr>
              <w:t>Navigates to Analysis &amp; Decision (Section 2). If AI processing has not yet completed for this case, this navigates to the Loading state (Section 3) instead.</w:t>
            </w:r>
          </w:p>
        </w:tc>
      </w:tr>
      <w:tr w:rsidR="00FF2E5B" w:rsidRPr="00FF2E5B" w14:paraId="7F087DC5" w14:textId="77777777" w:rsidTr="00E16697">
        <w:tc>
          <w:tcPr>
            <w:tcW w:w="2200" w:type="dxa"/>
            <w:tcMar>
              <w:top w:w="90" w:type="dxa"/>
              <w:left w:w="110" w:type="dxa"/>
              <w:bottom w:w="90" w:type="dxa"/>
              <w:right w:w="110" w:type="dxa"/>
            </w:tcMar>
            <w:vAlign w:val="center"/>
          </w:tcPr>
          <w:p w14:paraId="30AFBBC8" w14:textId="77777777" w:rsidR="00FF2E5B" w:rsidRPr="00FF2E5B" w:rsidRDefault="00FF2E5B" w:rsidP="00E16697">
            <w:pPr>
              <w:rPr>
                <w:rFonts w:asciiTheme="minorHAnsi" w:hAnsiTheme="minorHAnsi"/>
              </w:rPr>
            </w:pPr>
            <w:r w:rsidRPr="00FF2E5B">
              <w:rPr>
                <w:rFonts w:asciiTheme="minorHAnsi" w:hAnsiTheme="minorHAnsi"/>
                <w:b/>
                <w:bCs/>
                <w:sz w:val="18"/>
                <w:szCs w:val="18"/>
              </w:rPr>
              <w:t>“Skip to raw media” action</w:t>
            </w:r>
          </w:p>
        </w:tc>
        <w:tc>
          <w:tcPr>
            <w:tcW w:w="2600" w:type="dxa"/>
            <w:tcMar>
              <w:top w:w="90" w:type="dxa"/>
              <w:left w:w="110" w:type="dxa"/>
              <w:bottom w:w="90" w:type="dxa"/>
              <w:right w:w="110" w:type="dxa"/>
            </w:tcMar>
            <w:vAlign w:val="center"/>
          </w:tcPr>
          <w:p w14:paraId="60C3BB33"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secondary/text link</w:t>
            </w:r>
          </w:p>
        </w:tc>
        <w:tc>
          <w:tcPr>
            <w:tcW w:w="4560" w:type="dxa"/>
            <w:tcMar>
              <w:top w:w="90" w:type="dxa"/>
              <w:left w:w="110" w:type="dxa"/>
              <w:bottom w:w="90" w:type="dxa"/>
              <w:right w:w="110" w:type="dxa"/>
            </w:tcMar>
            <w:vAlign w:val="center"/>
          </w:tcPr>
          <w:p w14:paraId="4FF181AC" w14:textId="77777777" w:rsidR="00FF2E5B" w:rsidRPr="00FF2E5B" w:rsidRDefault="00FF2E5B" w:rsidP="00E16697">
            <w:pPr>
              <w:rPr>
                <w:rFonts w:asciiTheme="minorHAnsi" w:hAnsiTheme="minorHAnsi"/>
              </w:rPr>
            </w:pPr>
            <w:r w:rsidRPr="00FF2E5B">
              <w:rPr>
                <w:rFonts w:asciiTheme="minorHAnsi" w:hAnsiTheme="minorHAnsi"/>
                <w:sz w:val="18"/>
                <w:szCs w:val="18"/>
              </w:rPr>
              <w:t>Also navigates to Analysis &amp; Decision, but the Auditor's intent to bypass AI analysis is not tracked as a distinct state in this MVP — flagged as an open item; do not build separate tracking without BA confirmation.</w:t>
            </w:r>
          </w:p>
        </w:tc>
      </w:tr>
    </w:tbl>
    <w:p w14:paraId="03CDEA0D"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2. Analysis &amp; Decision — Implementation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FF2E5B" w:rsidRPr="00FF2E5B" w14:paraId="28108049" w14:textId="77777777" w:rsidTr="00E16697">
        <w:trPr>
          <w:tblHeader/>
        </w:trPr>
        <w:tc>
          <w:tcPr>
            <w:tcW w:w="2200" w:type="dxa"/>
            <w:shd w:val="clear" w:color="auto" w:fill="34495E"/>
            <w:tcMar>
              <w:top w:w="90" w:type="dxa"/>
              <w:left w:w="110" w:type="dxa"/>
              <w:bottom w:w="90" w:type="dxa"/>
              <w:right w:w="110" w:type="dxa"/>
            </w:tcMar>
            <w:vAlign w:val="center"/>
          </w:tcPr>
          <w:p w14:paraId="0D98B564"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Element</w:t>
            </w:r>
          </w:p>
        </w:tc>
        <w:tc>
          <w:tcPr>
            <w:tcW w:w="2600" w:type="dxa"/>
            <w:shd w:val="clear" w:color="auto" w:fill="34495E"/>
            <w:tcMar>
              <w:top w:w="90" w:type="dxa"/>
              <w:left w:w="110" w:type="dxa"/>
              <w:bottom w:w="90" w:type="dxa"/>
              <w:right w:w="110" w:type="dxa"/>
            </w:tcMar>
            <w:vAlign w:val="center"/>
          </w:tcPr>
          <w:p w14:paraId="36736770"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Location</w:t>
            </w:r>
          </w:p>
        </w:tc>
        <w:tc>
          <w:tcPr>
            <w:tcW w:w="4560" w:type="dxa"/>
            <w:shd w:val="clear" w:color="auto" w:fill="34495E"/>
            <w:tcMar>
              <w:top w:w="90" w:type="dxa"/>
              <w:left w:w="110" w:type="dxa"/>
              <w:bottom w:w="90" w:type="dxa"/>
              <w:right w:w="110" w:type="dxa"/>
            </w:tcMar>
            <w:vAlign w:val="center"/>
          </w:tcPr>
          <w:p w14:paraId="045410AD"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Behaviour</w:t>
            </w:r>
          </w:p>
        </w:tc>
      </w:tr>
      <w:tr w:rsidR="00FF2E5B" w:rsidRPr="00FF2E5B" w14:paraId="72A4990E" w14:textId="77777777" w:rsidTr="00E16697">
        <w:tc>
          <w:tcPr>
            <w:tcW w:w="2200" w:type="dxa"/>
            <w:tcMar>
              <w:top w:w="90" w:type="dxa"/>
              <w:left w:w="110" w:type="dxa"/>
              <w:bottom w:w="90" w:type="dxa"/>
              <w:right w:w="110" w:type="dxa"/>
            </w:tcMar>
            <w:vAlign w:val="center"/>
          </w:tcPr>
          <w:p w14:paraId="1C163648" w14:textId="77777777" w:rsidR="00FF2E5B" w:rsidRPr="00FF2E5B" w:rsidRDefault="00FF2E5B" w:rsidP="00E16697">
            <w:pPr>
              <w:rPr>
                <w:rFonts w:asciiTheme="minorHAnsi" w:hAnsiTheme="minorHAnsi"/>
              </w:rPr>
            </w:pPr>
            <w:r w:rsidRPr="00FF2E5B">
              <w:rPr>
                <w:rFonts w:asciiTheme="minorHAnsi" w:hAnsiTheme="minorHAnsi"/>
                <w:b/>
                <w:bCs/>
                <w:sz w:val="18"/>
                <w:szCs w:val="18"/>
              </w:rPr>
              <w:t>Severity</w:t>
            </w:r>
          </w:p>
        </w:tc>
        <w:tc>
          <w:tcPr>
            <w:tcW w:w="2600" w:type="dxa"/>
            <w:tcMar>
              <w:top w:w="90" w:type="dxa"/>
              <w:left w:w="110" w:type="dxa"/>
              <w:bottom w:w="90" w:type="dxa"/>
              <w:right w:w="110" w:type="dxa"/>
            </w:tcMar>
            <w:vAlign w:val="center"/>
          </w:tcPr>
          <w:p w14:paraId="1B2D1FC1" w14:textId="77777777" w:rsidR="00FF2E5B" w:rsidRPr="00FF2E5B" w:rsidRDefault="00FF2E5B" w:rsidP="00E16697">
            <w:pPr>
              <w:rPr>
                <w:rFonts w:asciiTheme="minorHAnsi" w:hAnsiTheme="minorHAnsi"/>
              </w:rPr>
            </w:pPr>
            <w:r w:rsidRPr="00FF2E5B">
              <w:rPr>
                <w:rFonts w:asciiTheme="minorHAnsi" w:hAnsiTheme="minorHAnsi"/>
                <w:sz w:val="18"/>
                <w:szCs w:val="18"/>
              </w:rPr>
              <w:t>Top-right of the AI-assisted analysis panel, as a coloured pill</w:t>
            </w:r>
          </w:p>
        </w:tc>
        <w:tc>
          <w:tcPr>
            <w:tcW w:w="4560" w:type="dxa"/>
            <w:tcMar>
              <w:top w:w="90" w:type="dxa"/>
              <w:left w:w="110" w:type="dxa"/>
              <w:bottom w:w="90" w:type="dxa"/>
              <w:right w:w="110" w:type="dxa"/>
            </w:tcMar>
            <w:vAlign w:val="center"/>
          </w:tcPr>
          <w:p w14:paraId="2D280069" w14:textId="77777777" w:rsidR="00FF2E5B" w:rsidRPr="00FF2E5B" w:rsidRDefault="00FF2E5B" w:rsidP="00E16697">
            <w:pPr>
              <w:rPr>
                <w:rFonts w:asciiTheme="minorHAnsi" w:hAnsiTheme="minorHAnsi"/>
              </w:rPr>
            </w:pPr>
            <w:r w:rsidRPr="00FF2E5B">
              <w:rPr>
                <w:rFonts w:asciiTheme="minorHAnsi" w:hAnsiTheme="minorHAnsi"/>
                <w:sz w:val="18"/>
                <w:szCs w:val="18"/>
              </w:rPr>
              <w:t>Set once by the AI result for this case; not editable by the Auditor. Colour and label only — never colour alone (accessibility).</w:t>
            </w:r>
          </w:p>
        </w:tc>
      </w:tr>
      <w:tr w:rsidR="00FF2E5B" w:rsidRPr="00FF2E5B" w14:paraId="4C940D74" w14:textId="77777777" w:rsidTr="00E16697">
        <w:tc>
          <w:tcPr>
            <w:tcW w:w="2200" w:type="dxa"/>
            <w:tcMar>
              <w:top w:w="90" w:type="dxa"/>
              <w:left w:w="110" w:type="dxa"/>
              <w:bottom w:w="90" w:type="dxa"/>
              <w:right w:w="110" w:type="dxa"/>
            </w:tcMar>
            <w:vAlign w:val="center"/>
          </w:tcPr>
          <w:p w14:paraId="2F9090EB" w14:textId="77777777" w:rsidR="00FF2E5B" w:rsidRPr="00FF2E5B" w:rsidRDefault="00FF2E5B" w:rsidP="00E16697">
            <w:pPr>
              <w:rPr>
                <w:rFonts w:asciiTheme="minorHAnsi" w:hAnsiTheme="minorHAnsi"/>
              </w:rPr>
            </w:pPr>
            <w:r w:rsidRPr="00FF2E5B">
              <w:rPr>
                <w:rFonts w:asciiTheme="minorHAnsi" w:hAnsiTheme="minorHAnsi"/>
                <w:b/>
                <w:bCs/>
                <w:sz w:val="18"/>
                <w:szCs w:val="18"/>
              </w:rPr>
              <w:t>Summary</w:t>
            </w:r>
          </w:p>
        </w:tc>
        <w:tc>
          <w:tcPr>
            <w:tcW w:w="2600" w:type="dxa"/>
            <w:tcMar>
              <w:top w:w="90" w:type="dxa"/>
              <w:left w:w="110" w:type="dxa"/>
              <w:bottom w:w="90" w:type="dxa"/>
              <w:right w:w="110" w:type="dxa"/>
            </w:tcMar>
            <w:vAlign w:val="center"/>
          </w:tcPr>
          <w:p w14:paraId="58145153"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directly below the panel header</w:t>
            </w:r>
          </w:p>
        </w:tc>
        <w:tc>
          <w:tcPr>
            <w:tcW w:w="4560" w:type="dxa"/>
            <w:tcMar>
              <w:top w:w="90" w:type="dxa"/>
              <w:left w:w="110" w:type="dxa"/>
              <w:bottom w:w="90" w:type="dxa"/>
              <w:right w:w="110" w:type="dxa"/>
            </w:tcMar>
            <w:vAlign w:val="center"/>
          </w:tcPr>
          <w:p w14:paraId="1E80C1B5" w14:textId="77777777" w:rsidR="00FF2E5B" w:rsidRPr="00FF2E5B" w:rsidRDefault="00FF2E5B" w:rsidP="00E16697">
            <w:pPr>
              <w:rPr>
                <w:rFonts w:asciiTheme="minorHAnsi" w:hAnsiTheme="minorHAnsi"/>
              </w:rPr>
            </w:pPr>
            <w:r w:rsidRPr="00FF2E5B">
              <w:rPr>
                <w:rFonts w:asciiTheme="minorHAnsi" w:hAnsiTheme="minorHAnsi"/>
                <w:sz w:val="18"/>
                <w:szCs w:val="18"/>
              </w:rPr>
              <w:t>Plain-language paragraph, generated once per case. Read-only.</w:t>
            </w:r>
          </w:p>
        </w:tc>
      </w:tr>
      <w:tr w:rsidR="00FF2E5B" w:rsidRPr="00FF2E5B" w14:paraId="70AB45C5" w14:textId="77777777" w:rsidTr="00E16697">
        <w:tc>
          <w:tcPr>
            <w:tcW w:w="2200" w:type="dxa"/>
            <w:tcMar>
              <w:top w:w="90" w:type="dxa"/>
              <w:left w:w="110" w:type="dxa"/>
              <w:bottom w:w="90" w:type="dxa"/>
              <w:right w:w="110" w:type="dxa"/>
            </w:tcMar>
            <w:vAlign w:val="center"/>
          </w:tcPr>
          <w:p w14:paraId="66D4E6AB" w14:textId="77777777" w:rsidR="00FF2E5B" w:rsidRPr="00FF2E5B" w:rsidRDefault="00FF2E5B" w:rsidP="00E16697">
            <w:pPr>
              <w:rPr>
                <w:rFonts w:asciiTheme="minorHAnsi" w:hAnsiTheme="minorHAnsi"/>
              </w:rPr>
            </w:pPr>
            <w:r w:rsidRPr="00FF2E5B">
              <w:rPr>
                <w:rFonts w:asciiTheme="minorHAnsi" w:hAnsiTheme="minorHAnsi"/>
                <w:b/>
                <w:bCs/>
                <w:sz w:val="18"/>
                <w:szCs w:val="18"/>
              </w:rPr>
              <w:t>Incident timestamps / segments</w:t>
            </w:r>
          </w:p>
        </w:tc>
        <w:tc>
          <w:tcPr>
            <w:tcW w:w="2600" w:type="dxa"/>
            <w:tcMar>
              <w:top w:w="90" w:type="dxa"/>
              <w:left w:w="110" w:type="dxa"/>
              <w:bottom w:w="90" w:type="dxa"/>
              <w:right w:w="110" w:type="dxa"/>
            </w:tcMar>
            <w:vAlign w:val="center"/>
          </w:tcPr>
          <w:p w14:paraId="10A20B8F"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below Summary, shown as a row of clickable mono-type chips</w:t>
            </w:r>
          </w:p>
        </w:tc>
        <w:tc>
          <w:tcPr>
            <w:tcW w:w="4560" w:type="dxa"/>
            <w:tcMar>
              <w:top w:w="90" w:type="dxa"/>
              <w:left w:w="110" w:type="dxa"/>
              <w:bottom w:w="90" w:type="dxa"/>
              <w:right w:w="110" w:type="dxa"/>
            </w:tcMar>
            <w:vAlign w:val="center"/>
          </w:tcPr>
          <w:p w14:paraId="33A233D5" w14:textId="77777777" w:rsidR="00FF2E5B" w:rsidRPr="00FF2E5B" w:rsidRDefault="00FF2E5B" w:rsidP="00E16697">
            <w:pPr>
              <w:rPr>
                <w:rFonts w:asciiTheme="minorHAnsi" w:hAnsiTheme="minorHAnsi"/>
              </w:rPr>
            </w:pPr>
            <w:r w:rsidRPr="00FF2E5B">
              <w:rPr>
                <w:rFonts w:asciiTheme="minorHAnsi" w:hAnsiTheme="minorHAnsi"/>
                <w:sz w:val="18"/>
                <w:szCs w:val="18"/>
              </w:rPr>
              <w:t>Each chip corresponds to one flagged moment. Clicking a chip is the only way to reveal that segment in the Media viewer (Controlled media access, below).</w:t>
            </w:r>
          </w:p>
        </w:tc>
      </w:tr>
      <w:tr w:rsidR="00FF2E5B" w:rsidRPr="00FF2E5B" w14:paraId="30D2968E" w14:textId="77777777" w:rsidTr="00E16697">
        <w:tc>
          <w:tcPr>
            <w:tcW w:w="2200" w:type="dxa"/>
            <w:tcMar>
              <w:top w:w="90" w:type="dxa"/>
              <w:left w:w="110" w:type="dxa"/>
              <w:bottom w:w="90" w:type="dxa"/>
              <w:right w:w="110" w:type="dxa"/>
            </w:tcMar>
            <w:vAlign w:val="center"/>
          </w:tcPr>
          <w:p w14:paraId="75A09D22" w14:textId="77777777" w:rsidR="00FF2E5B" w:rsidRPr="00FF2E5B" w:rsidRDefault="00FF2E5B" w:rsidP="00E16697">
            <w:pPr>
              <w:rPr>
                <w:rFonts w:asciiTheme="minorHAnsi" w:hAnsiTheme="minorHAnsi"/>
              </w:rPr>
            </w:pPr>
            <w:r w:rsidRPr="00FF2E5B">
              <w:rPr>
                <w:rFonts w:asciiTheme="minorHAnsi" w:hAnsiTheme="minorHAnsi"/>
                <w:b/>
                <w:bCs/>
                <w:sz w:val="18"/>
                <w:szCs w:val="18"/>
              </w:rPr>
              <w:lastRenderedPageBreak/>
              <w:t>Transcript</w:t>
            </w:r>
          </w:p>
        </w:tc>
        <w:tc>
          <w:tcPr>
            <w:tcW w:w="2600" w:type="dxa"/>
            <w:tcMar>
              <w:top w:w="90" w:type="dxa"/>
              <w:left w:w="110" w:type="dxa"/>
              <w:bottom w:w="90" w:type="dxa"/>
              <w:right w:w="110" w:type="dxa"/>
            </w:tcMar>
            <w:vAlign w:val="center"/>
          </w:tcPr>
          <w:p w14:paraId="2DB92A3F"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bottom, labelled “(direction only)”</w:t>
            </w:r>
          </w:p>
        </w:tc>
        <w:tc>
          <w:tcPr>
            <w:tcW w:w="4560" w:type="dxa"/>
            <w:tcMar>
              <w:top w:w="90" w:type="dxa"/>
              <w:left w:w="110" w:type="dxa"/>
              <w:bottom w:w="90" w:type="dxa"/>
              <w:right w:w="110" w:type="dxa"/>
            </w:tcMar>
            <w:vAlign w:val="center"/>
          </w:tcPr>
          <w:p w14:paraId="33968755" w14:textId="77777777" w:rsidR="00FF2E5B" w:rsidRPr="00FF2E5B" w:rsidRDefault="00FF2E5B" w:rsidP="00E16697">
            <w:pPr>
              <w:rPr>
                <w:rFonts w:asciiTheme="minorHAnsi" w:hAnsiTheme="minorHAnsi"/>
              </w:rPr>
            </w:pPr>
            <w:r w:rsidRPr="00FF2E5B">
              <w:rPr>
                <w:rFonts w:asciiTheme="minorHAnsi" w:hAnsiTheme="minorHAnsi"/>
                <w:sz w:val="18"/>
                <w:szCs w:val="18"/>
              </w:rPr>
              <w:t>Shows 1–2 illustrative lines only. Full transcript integration is not yet confirmed feasible (BA §10, Q5) — do not build full-transcript scrolling against this spec; treat as a placeholder pending confirmation.</w:t>
            </w:r>
          </w:p>
        </w:tc>
      </w:tr>
      <w:tr w:rsidR="00FF2E5B" w:rsidRPr="00FF2E5B" w14:paraId="32BE03F0" w14:textId="77777777" w:rsidTr="00E16697">
        <w:tc>
          <w:tcPr>
            <w:tcW w:w="2200" w:type="dxa"/>
            <w:tcMar>
              <w:top w:w="90" w:type="dxa"/>
              <w:left w:w="110" w:type="dxa"/>
              <w:bottom w:w="90" w:type="dxa"/>
              <w:right w:w="110" w:type="dxa"/>
            </w:tcMar>
            <w:vAlign w:val="center"/>
          </w:tcPr>
          <w:p w14:paraId="19E694CA" w14:textId="77777777" w:rsidR="00FF2E5B" w:rsidRPr="00FF2E5B" w:rsidRDefault="00FF2E5B" w:rsidP="00E16697">
            <w:pPr>
              <w:rPr>
                <w:rFonts w:asciiTheme="minorHAnsi" w:hAnsiTheme="minorHAnsi"/>
              </w:rPr>
            </w:pPr>
            <w:r w:rsidRPr="00FF2E5B">
              <w:rPr>
                <w:rFonts w:asciiTheme="minorHAnsi" w:hAnsiTheme="minorHAnsi"/>
                <w:b/>
                <w:bCs/>
                <w:sz w:val="18"/>
                <w:szCs w:val="18"/>
              </w:rPr>
              <w:t>Controlled media access</w:t>
            </w:r>
          </w:p>
        </w:tc>
        <w:tc>
          <w:tcPr>
            <w:tcW w:w="2600" w:type="dxa"/>
            <w:tcMar>
              <w:top w:w="90" w:type="dxa"/>
              <w:left w:w="110" w:type="dxa"/>
              <w:bottom w:w="90" w:type="dxa"/>
              <w:right w:w="110" w:type="dxa"/>
            </w:tcMar>
            <w:vAlign w:val="center"/>
          </w:tcPr>
          <w:p w14:paraId="3DE6BCA2" w14:textId="77777777" w:rsidR="00FF2E5B" w:rsidRPr="00FF2E5B" w:rsidRDefault="00FF2E5B" w:rsidP="00E16697">
            <w:pPr>
              <w:rPr>
                <w:rFonts w:asciiTheme="minorHAnsi" w:hAnsiTheme="minorHAnsi"/>
              </w:rPr>
            </w:pPr>
            <w:r w:rsidRPr="00FF2E5B">
              <w:rPr>
                <w:rFonts w:asciiTheme="minorHAnsi" w:hAnsiTheme="minorHAnsi"/>
                <w:sz w:val="18"/>
                <w:szCs w:val="18"/>
              </w:rPr>
              <w:t>Media viewer panel, right column</w:t>
            </w:r>
          </w:p>
        </w:tc>
        <w:tc>
          <w:tcPr>
            <w:tcW w:w="4560" w:type="dxa"/>
            <w:tcMar>
              <w:top w:w="90" w:type="dxa"/>
              <w:left w:w="110" w:type="dxa"/>
              <w:bottom w:w="90" w:type="dxa"/>
              <w:right w:w="110" w:type="dxa"/>
            </w:tcMar>
            <w:vAlign w:val="center"/>
          </w:tcPr>
          <w:p w14:paraId="57DF75FB" w14:textId="77777777" w:rsidR="00FF2E5B" w:rsidRPr="00FF2E5B" w:rsidRDefault="00FF2E5B" w:rsidP="00E16697">
            <w:pPr>
              <w:rPr>
                <w:rFonts w:asciiTheme="minorHAnsi" w:hAnsiTheme="minorHAnsi"/>
              </w:rPr>
            </w:pPr>
            <w:r w:rsidRPr="00FF2E5B">
              <w:rPr>
                <w:rFonts w:asciiTheme="minorHAnsi" w:hAnsiTheme="minorHAnsi"/>
                <w:sz w:val="18"/>
                <w:szCs w:val="18"/>
              </w:rPr>
              <w:t>Default state: locked/hidden, lock icon, no video frame rendered. Clicking a timestamp chip (above) reveals only that segment — never the full clip by default. Track and display a “segments revealed” counter for this session, feeding Exposure Tracking (FR-08).</w:t>
            </w:r>
          </w:p>
        </w:tc>
      </w:tr>
      <w:tr w:rsidR="00FF2E5B" w:rsidRPr="00FF2E5B" w14:paraId="2DDBF945" w14:textId="77777777" w:rsidTr="00E16697">
        <w:tc>
          <w:tcPr>
            <w:tcW w:w="2200" w:type="dxa"/>
            <w:tcMar>
              <w:top w:w="90" w:type="dxa"/>
              <w:left w:w="110" w:type="dxa"/>
              <w:bottom w:w="90" w:type="dxa"/>
              <w:right w:w="110" w:type="dxa"/>
            </w:tcMar>
            <w:vAlign w:val="center"/>
          </w:tcPr>
          <w:p w14:paraId="3EA9DB4A" w14:textId="77777777" w:rsidR="00FF2E5B" w:rsidRPr="00FF2E5B" w:rsidRDefault="00FF2E5B" w:rsidP="00E16697">
            <w:pPr>
              <w:rPr>
                <w:rFonts w:asciiTheme="minorHAnsi" w:hAnsiTheme="minorHAnsi"/>
              </w:rPr>
            </w:pPr>
            <w:r w:rsidRPr="00FF2E5B">
              <w:rPr>
                <w:rFonts w:asciiTheme="minorHAnsi" w:hAnsiTheme="minorHAnsi"/>
                <w:b/>
                <w:bCs/>
                <w:sz w:val="18"/>
                <w:szCs w:val="18"/>
              </w:rPr>
              <w:t>Final human decision</w:t>
            </w:r>
          </w:p>
        </w:tc>
        <w:tc>
          <w:tcPr>
            <w:tcW w:w="2600" w:type="dxa"/>
            <w:tcMar>
              <w:top w:w="90" w:type="dxa"/>
              <w:left w:w="110" w:type="dxa"/>
              <w:bottom w:w="90" w:type="dxa"/>
              <w:right w:w="110" w:type="dxa"/>
            </w:tcMar>
            <w:vAlign w:val="center"/>
          </w:tcPr>
          <w:p w14:paraId="154E7C34" w14:textId="77777777" w:rsidR="00FF2E5B" w:rsidRPr="00FF2E5B" w:rsidRDefault="00FF2E5B" w:rsidP="00E16697">
            <w:pPr>
              <w:rPr>
                <w:rFonts w:asciiTheme="minorHAnsi" w:hAnsiTheme="minorHAnsi"/>
              </w:rPr>
            </w:pPr>
            <w:r w:rsidRPr="00FF2E5B">
              <w:rPr>
                <w:rFonts w:asciiTheme="minorHAnsi" w:hAnsiTheme="minorHAnsi"/>
                <w:sz w:val="18"/>
                <w:szCs w:val="18"/>
              </w:rPr>
              <w:t>Decision bar, full width, bottom of screen</w:t>
            </w:r>
          </w:p>
        </w:tc>
        <w:tc>
          <w:tcPr>
            <w:tcW w:w="4560" w:type="dxa"/>
            <w:tcMar>
              <w:top w:w="90" w:type="dxa"/>
              <w:left w:w="110" w:type="dxa"/>
              <w:bottom w:w="90" w:type="dxa"/>
              <w:right w:w="110" w:type="dxa"/>
            </w:tcMar>
            <w:vAlign w:val="center"/>
          </w:tcPr>
          <w:p w14:paraId="7EFF93F4" w14:textId="77777777" w:rsidR="00FF2E5B" w:rsidRPr="00FF2E5B" w:rsidRDefault="00FF2E5B" w:rsidP="00E16697">
            <w:pPr>
              <w:rPr>
                <w:rFonts w:asciiTheme="minorHAnsi" w:hAnsiTheme="minorHAnsi"/>
              </w:rPr>
            </w:pPr>
            <w:r w:rsidRPr="00FF2E5B">
              <w:rPr>
                <w:rFonts w:asciiTheme="minorHAnsi" w:hAnsiTheme="minorHAnsi"/>
                <w:sz w:val="18"/>
                <w:szCs w:val="18"/>
              </w:rPr>
              <w:t>Three actions: Approve, Reject (content verdicts, grouped together) and Decline (separated by a visible divider — it is not a third verdict, it hands the case to the Manager's escalation queue and does not itself close the case). A visible “Draft — pending client approval” marker sits above this row, since the exact option set is not yet client-confirmed (OD-03).</w:t>
            </w:r>
          </w:p>
        </w:tc>
      </w:tr>
      <w:tr w:rsidR="00FF2E5B" w:rsidRPr="00FF2E5B" w14:paraId="36918A0E" w14:textId="77777777" w:rsidTr="00E16697">
        <w:tc>
          <w:tcPr>
            <w:tcW w:w="2200" w:type="dxa"/>
            <w:tcMar>
              <w:top w:w="90" w:type="dxa"/>
              <w:left w:w="110" w:type="dxa"/>
              <w:bottom w:w="90" w:type="dxa"/>
              <w:right w:w="110" w:type="dxa"/>
            </w:tcMar>
            <w:vAlign w:val="center"/>
          </w:tcPr>
          <w:p w14:paraId="6AF688AE" w14:textId="77777777" w:rsidR="00FF2E5B" w:rsidRPr="00FF2E5B" w:rsidRDefault="00FF2E5B" w:rsidP="00E16697">
            <w:pPr>
              <w:rPr>
                <w:rFonts w:asciiTheme="minorHAnsi" w:hAnsiTheme="minorHAnsi"/>
              </w:rPr>
            </w:pPr>
            <w:r w:rsidRPr="00FF2E5B">
              <w:rPr>
                <w:rFonts w:asciiTheme="minorHAnsi" w:hAnsiTheme="minorHAnsi"/>
                <w:b/>
                <w:bCs/>
                <w:sz w:val="18"/>
                <w:szCs w:val="18"/>
              </w:rPr>
              <w:t>Confirmed Manager notification state</w:t>
            </w:r>
          </w:p>
        </w:tc>
        <w:tc>
          <w:tcPr>
            <w:tcW w:w="2600" w:type="dxa"/>
            <w:tcMar>
              <w:top w:w="90" w:type="dxa"/>
              <w:left w:w="110" w:type="dxa"/>
              <w:bottom w:w="90" w:type="dxa"/>
              <w:right w:w="110" w:type="dxa"/>
            </w:tcMar>
            <w:vAlign w:val="center"/>
          </w:tcPr>
          <w:p w14:paraId="0EE67965" w14:textId="77777777" w:rsidR="00FF2E5B" w:rsidRPr="00FF2E5B" w:rsidRDefault="00FF2E5B" w:rsidP="00E16697">
            <w:pPr>
              <w:rPr>
                <w:rFonts w:asciiTheme="minorHAnsi" w:hAnsiTheme="minorHAnsi"/>
              </w:rPr>
            </w:pPr>
            <w:r w:rsidRPr="00FF2E5B">
              <w:rPr>
                <w:rFonts w:asciiTheme="minorHAnsi" w:hAnsiTheme="minorHAnsi"/>
                <w:sz w:val="18"/>
                <w:szCs w:val="18"/>
              </w:rPr>
              <w:t>Triggered by Decline; surfaced as an on-screen toast/confirmation plus a corresponding entry appearing in Manager Overview's “Escalated / Declined Case Review” area</w:t>
            </w:r>
          </w:p>
        </w:tc>
        <w:tc>
          <w:tcPr>
            <w:tcW w:w="4560" w:type="dxa"/>
            <w:tcMar>
              <w:top w:w="90" w:type="dxa"/>
              <w:left w:w="110" w:type="dxa"/>
              <w:bottom w:w="90" w:type="dxa"/>
              <w:right w:w="110" w:type="dxa"/>
            </w:tcMar>
            <w:vAlign w:val="center"/>
          </w:tcPr>
          <w:p w14:paraId="3ACBC6AC" w14:textId="77777777" w:rsidR="00FF2E5B" w:rsidRPr="00FF2E5B" w:rsidRDefault="00FF2E5B" w:rsidP="00E16697">
            <w:pPr>
              <w:rPr>
                <w:rFonts w:asciiTheme="minorHAnsi" w:hAnsiTheme="minorHAnsi"/>
              </w:rPr>
            </w:pPr>
            <w:r w:rsidRPr="00FF2E5B">
              <w:rPr>
                <w:rFonts w:asciiTheme="minorHAnsi" w:hAnsiTheme="minorHAnsi"/>
                <w:sz w:val="18"/>
                <w:szCs w:val="18"/>
              </w:rPr>
              <w:t>On Decline, show immediate confirmation text: “Escalated to Manager — reassignment workflow still being defined (OD-06).” This confirms the notification fires; it does not imply the downstream reassignment logic is finalised.</w:t>
            </w:r>
          </w:p>
        </w:tc>
      </w:tr>
    </w:tbl>
    <w:p w14:paraId="0869FF33"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3. Processing / Loading State</w:t>
      </w:r>
    </w:p>
    <w:p w14:paraId="656FFF46" w14:textId="77777777" w:rsidR="00FF2E5B" w:rsidRPr="00FF2E5B" w:rsidRDefault="00FF2E5B" w:rsidP="00FF2E5B">
      <w:pPr>
        <w:spacing w:after="140"/>
        <w:rPr>
          <w:rFonts w:asciiTheme="minorHAnsi" w:hAnsiTheme="minorHAnsi"/>
        </w:rPr>
      </w:pPr>
      <w:r w:rsidRPr="00FF2E5B">
        <w:rPr>
          <w:rFonts w:asciiTheme="minorHAnsi" w:hAnsiTheme="minorHAnsi"/>
        </w:rPr>
        <w:t>Not present in the Sprint 1 prototype. Required because AI processing (FR-03) is a real backend step with non-zero duration; the Auditor needs a defined screen for the interval between requesting analysis and results being ready.</w:t>
      </w:r>
    </w:p>
    <w:p w14:paraId="14A0FFAB" w14:textId="77777777" w:rsidR="00FF2E5B" w:rsidRPr="00FF2E5B" w:rsidRDefault="00FF2E5B" w:rsidP="00FF2E5B">
      <w:pPr>
        <w:spacing w:after="60"/>
        <w:jc w:val="center"/>
        <w:rPr>
          <w:rFonts w:asciiTheme="minorHAnsi" w:hAnsiTheme="minorHAnsi"/>
        </w:rPr>
      </w:pPr>
      <w:r w:rsidRPr="00FF2E5B">
        <w:rPr>
          <w:rFonts w:asciiTheme="minorHAnsi" w:hAnsiTheme="minorHAnsi"/>
          <w:noProof/>
        </w:rPr>
        <w:drawing>
          <wp:inline distT="0" distB="0" distL="0" distR="0" wp14:anchorId="5D6836D2" wp14:editId="020C0842">
            <wp:extent cx="5524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33650"/>
                    </a:xfrm>
                    <a:prstGeom prst="rect">
                      <a:avLst/>
                    </a:prstGeom>
                  </pic:spPr>
                </pic:pic>
              </a:graphicData>
            </a:graphic>
          </wp:inline>
        </w:drawing>
      </w:r>
    </w:p>
    <w:p w14:paraId="7F7CF16C" w14:textId="77777777" w:rsidR="00FF2E5B" w:rsidRPr="00FF2E5B" w:rsidRDefault="00FF2E5B" w:rsidP="00FF2E5B">
      <w:pPr>
        <w:spacing w:after="260"/>
        <w:jc w:val="center"/>
        <w:rPr>
          <w:rFonts w:asciiTheme="minorHAnsi" w:hAnsiTheme="minorHAnsi"/>
        </w:rPr>
      </w:pPr>
      <w:r w:rsidRPr="00FF2E5B">
        <w:rPr>
          <w:rFonts w:asciiTheme="minorHAnsi" w:hAnsiTheme="minorHAnsi"/>
          <w:i/>
          <w:iCs/>
          <w:color w:val="555555"/>
          <w:sz w:val="18"/>
          <w:szCs w:val="18"/>
        </w:rPr>
        <w:t>Shown in place of the Analysis &amp; Decision content while AI processing is in progress. No media, no partial results, no decision bar.</w:t>
      </w:r>
    </w:p>
    <w:p w14:paraId="7746C62D"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Trigger: </w:t>
      </w:r>
      <w:r w:rsidRPr="00FF2E5B">
        <w:rPr>
          <w:rFonts w:asciiTheme="minorHAnsi" w:hAnsiTheme="minorHAnsi"/>
        </w:rPr>
        <w:t>Entry condition: Auditor selects “Review AI analysis” or “Skip to raw media” on Case Preview before AI processing has completed for that case.</w:t>
      </w:r>
    </w:p>
    <w:p w14:paraId="712D959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lastRenderedPageBreak/>
        <w:t xml:space="preserve">Content: </w:t>
      </w:r>
      <w:r w:rsidRPr="00FF2E5B">
        <w:rPr>
          <w:rFonts w:asciiTheme="minorHAnsi" w:hAnsiTheme="minorHAnsi"/>
        </w:rPr>
        <w:t>A status badge, a short explanatory line, and a three-step progress indicator (Content received → AI analysis running → Ready for review). No raw media or partial AI output is shown at any point in this state, preserving the exposure-reduction principle even during the wait.</w:t>
      </w:r>
    </w:p>
    <w:p w14:paraId="7CD1D68A"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Exit condition: </w:t>
      </w:r>
      <w:r w:rsidRPr="00FF2E5B">
        <w:rPr>
          <w:rFonts w:asciiTheme="minorHAnsi" w:hAnsiTheme="minorHAnsi"/>
        </w:rPr>
        <w:t>Automatically transitions to Analysis &amp; Decision (Section 2) once processing completes, or to the Error state (Section 4) if processing fails.</w:t>
      </w:r>
    </w:p>
    <w:p w14:paraId="19206DFC"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4. Error / Failed Analysis State</w:t>
      </w:r>
    </w:p>
    <w:p w14:paraId="0C282E26" w14:textId="77777777" w:rsidR="00FF2E5B" w:rsidRPr="00FF2E5B" w:rsidRDefault="00FF2E5B" w:rsidP="00FF2E5B">
      <w:pPr>
        <w:spacing w:after="140"/>
        <w:rPr>
          <w:rFonts w:asciiTheme="minorHAnsi" w:hAnsiTheme="minorHAnsi"/>
        </w:rPr>
      </w:pPr>
      <w:r w:rsidRPr="00FF2E5B">
        <w:rPr>
          <w:rFonts w:asciiTheme="minorHAnsi" w:hAnsiTheme="minorHAnsi"/>
        </w:rPr>
        <w:t>Not present in the Sprint 1 prototype. Required because FR-03's acceptance criteria implies a successful path only; a failure path must be defined rather than left undefined for Developers to guess at.</w:t>
      </w:r>
    </w:p>
    <w:p w14:paraId="7C7F13DC" w14:textId="77777777" w:rsidR="00FF2E5B" w:rsidRPr="00FF2E5B" w:rsidRDefault="00FF2E5B" w:rsidP="00FF2E5B">
      <w:pPr>
        <w:spacing w:after="60"/>
        <w:jc w:val="center"/>
        <w:rPr>
          <w:rFonts w:asciiTheme="minorHAnsi" w:hAnsiTheme="minorHAnsi"/>
        </w:rPr>
      </w:pPr>
      <w:r w:rsidRPr="00FF2E5B">
        <w:rPr>
          <w:rFonts w:asciiTheme="minorHAnsi" w:hAnsiTheme="minorHAnsi"/>
          <w:noProof/>
        </w:rPr>
        <w:drawing>
          <wp:inline distT="0" distB="0" distL="0" distR="0" wp14:anchorId="22A58A05" wp14:editId="43ACA494">
            <wp:extent cx="5524500" cy="2533650"/>
            <wp:effectExtent l="0" t="0" r="0" b="0"/>
            <wp:docPr id="1304101530" name="Picture 130410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33650"/>
                    </a:xfrm>
                    <a:prstGeom prst="rect">
                      <a:avLst/>
                    </a:prstGeom>
                  </pic:spPr>
                </pic:pic>
              </a:graphicData>
            </a:graphic>
          </wp:inline>
        </w:drawing>
      </w:r>
    </w:p>
    <w:p w14:paraId="3229D7A2" w14:textId="77777777" w:rsidR="00FF2E5B" w:rsidRPr="00FF2E5B" w:rsidRDefault="00FF2E5B" w:rsidP="00FF2E5B">
      <w:pPr>
        <w:spacing w:after="260"/>
        <w:jc w:val="center"/>
        <w:rPr>
          <w:rFonts w:asciiTheme="minorHAnsi" w:hAnsiTheme="minorHAnsi"/>
        </w:rPr>
      </w:pPr>
      <w:r w:rsidRPr="00FF2E5B">
        <w:rPr>
          <w:rFonts w:asciiTheme="minorHAnsi" w:hAnsiTheme="minorHAnsi"/>
          <w:i/>
          <w:iCs/>
          <w:color w:val="555555"/>
          <w:sz w:val="18"/>
          <w:szCs w:val="18"/>
        </w:rPr>
        <w:t>Shown when AI processing fails for a case. No auto-escalation logic is specified — see note below.</w:t>
      </w:r>
    </w:p>
    <w:p w14:paraId="0A422D4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Trigger: </w:t>
      </w:r>
      <w:r w:rsidRPr="00FF2E5B">
        <w:rPr>
          <w:rFonts w:asciiTheme="minorHAnsi" w:hAnsiTheme="minorHAnsi"/>
        </w:rPr>
        <w:t>AI processing does not complete successfully (timeout, unsupported file, or processing error).</w:t>
      </w:r>
    </w:p>
    <w:p w14:paraId="27D0DFCE"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Content: </w:t>
      </w:r>
      <w:r w:rsidRPr="00FF2E5B">
        <w:rPr>
          <w:rFonts w:asciiTheme="minorHAnsi" w:hAnsiTheme="minorHAnsi"/>
        </w:rPr>
        <w:t>Error icon, plain-language explanation, a technical detail line (case ID, error code, timestamp) for support/debugging, and two actions: “Retry analysis” (primary) and “Return to queue” (outline).</w:t>
      </w:r>
    </w:p>
    <w:p w14:paraId="1326ACD8"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Scope note: </w:t>
      </w:r>
      <w:r w:rsidRPr="00FF2E5B">
        <w:rPr>
          <w:rFonts w:asciiTheme="minorHAnsi" w:hAnsiTheme="minorHAnsi"/>
        </w:rPr>
        <w:t>This spec deliberately does NOT define an automatic escalation-to-Manager rule on repeated failure. The note text suggests the Auditor contact their Manager manually if retries keep failing, but no business rule automating that is confirmed anywhere in the BA documents. Do not implement auto-escalation on failure without BA sign-off.</w:t>
      </w:r>
    </w:p>
    <w:p w14:paraId="4DC18720"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5. Manager Overview — Minimum Oversight States Required</w:t>
      </w:r>
    </w:p>
    <w:p w14:paraId="1469BA5C" w14:textId="77777777" w:rsidR="00FF2E5B" w:rsidRPr="00FF2E5B" w:rsidRDefault="00FF2E5B" w:rsidP="00FF2E5B">
      <w:pPr>
        <w:spacing w:after="140"/>
        <w:rPr>
          <w:rFonts w:asciiTheme="minorHAnsi" w:hAnsiTheme="minorHAnsi"/>
        </w:rPr>
      </w:pPr>
      <w:r w:rsidRPr="00FF2E5B">
        <w:rPr>
          <w:rFonts w:asciiTheme="minorHAnsi" w:hAnsiTheme="minorHAnsi"/>
        </w:rPr>
        <w:t>Per the Core MVP baseline, Manager oversight is a confirmed requirement (FR-12, FR-13) with exact permissions still open (OD-11). The minimum states required for Sprint 2 build are:</w:t>
      </w:r>
    </w:p>
    <w:p w14:paraId="371F05D5"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Case oversight: </w:t>
      </w:r>
      <w:r w:rsidRPr="00FF2E5B">
        <w:rPr>
          <w:rFonts w:asciiTheme="minorHAnsi" w:hAnsiTheme="minorHAnsi"/>
        </w:rPr>
        <w:t>Per-Auditor caseload, severity mix, and exposure minutes — already specified in the Sprint 1 prototype (Auditor workload table).</w:t>
      </w:r>
    </w:p>
    <w:p w14:paraId="3C2F8EE0"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Exposure visibility: </w:t>
      </w:r>
      <w:r w:rsidRPr="00FF2E5B">
        <w:rPr>
          <w:rFonts w:asciiTheme="minorHAnsi" w:hAnsiTheme="minorHAnsi"/>
        </w:rPr>
        <w:t>Flagged rows for Auditors approaching a wellbeing threshold — exact threshold value open (OD-07).</w:t>
      </w:r>
    </w:p>
    <w:p w14:paraId="078900B1"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Escalated case entry point: </w:t>
      </w:r>
      <w:r w:rsidRPr="00FF2E5B">
        <w:rPr>
          <w:rFonts w:asciiTheme="minorHAnsi" w:hAnsiTheme="minorHAnsi"/>
        </w:rPr>
        <w:t>A visible destination for cases routed via Decline (Section 2) — required so the “confirmed Manager notification” checklist item has somewhere to land, even before the full reassignment workflow (OD-06) is defined.</w:t>
      </w:r>
    </w:p>
    <w:p w14:paraId="2DEC4D8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lastRenderedPageBreak/>
        <w:t xml:space="preserve">Wellbeing actions: </w:t>
      </w:r>
      <w:r w:rsidRPr="00FF2E5B">
        <w:rPr>
          <w:rFonts w:asciiTheme="minorHAnsi" w:hAnsiTheme="minorHAnsi"/>
        </w:rPr>
        <w:t>Cooldown/SOS controls shown as confirmed capabilities with thresholds marked open (OD-08, OD-09) — already specified in the Sprint 1 prototype.</w:t>
      </w:r>
    </w:p>
    <w:p w14:paraId="506BB98C" w14:textId="77777777" w:rsidR="009C5C13" w:rsidRPr="00FF2E5B" w:rsidRDefault="009C5C13">
      <w:pPr>
        <w:rPr>
          <w:rFonts w:asciiTheme="minorHAnsi" w:hAnsiTheme="minorHAnsi"/>
        </w:rPr>
      </w:pPr>
    </w:p>
    <w:sectPr w:rsidR="009C5C13" w:rsidRPr="00FF2E5B" w:rsidSect="00FF2E5B">
      <w:footerReference w:type="even"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06D94A" w14:textId="77777777" w:rsidR="007057A1" w:rsidRDefault="007057A1" w:rsidP="00FF2E5B">
      <w:r>
        <w:separator/>
      </w:r>
    </w:p>
  </w:endnote>
  <w:endnote w:type="continuationSeparator" w:id="0">
    <w:p w14:paraId="75EAE911" w14:textId="77777777" w:rsidR="007057A1" w:rsidRDefault="007057A1" w:rsidP="00FF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2349195"/>
      <w:docPartObj>
        <w:docPartGallery w:val="Page Numbers (Bottom of Page)"/>
        <w:docPartUnique/>
      </w:docPartObj>
    </w:sdtPr>
    <w:sdtContent>
      <w:p w14:paraId="41BCCD78" w14:textId="7E0038EC" w:rsidR="00FF2E5B" w:rsidRDefault="00FF2E5B" w:rsidP="00801F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B2F70F" w14:textId="77777777" w:rsidR="00FF2E5B" w:rsidRDefault="00FF2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92014360"/>
      <w:docPartObj>
        <w:docPartGallery w:val="Page Numbers (Bottom of Page)"/>
        <w:docPartUnique/>
      </w:docPartObj>
    </w:sdtPr>
    <w:sdtContent>
      <w:p w14:paraId="40778553" w14:textId="2D2A670D" w:rsidR="00FF2E5B" w:rsidRDefault="00FF2E5B" w:rsidP="00801F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39860C0" w14:textId="17C47AA6" w:rsidR="00FF2E5B" w:rsidRPr="00FF2E5B" w:rsidRDefault="00FF2E5B" w:rsidP="00FF2E5B">
    <w:pPr>
      <w:pStyle w:val="Footer"/>
      <w:rPr>
        <w:rFonts w:asciiTheme="minorHAnsi" w:hAnsiTheme="minorHAnsi"/>
      </w:rPr>
    </w:pPr>
    <w:r w:rsidRPr="00FF2E5B">
      <w:rPr>
        <w:rFonts w:asciiTheme="minorHAnsi" w:hAnsiTheme="minorHAnsi"/>
      </w:rPr>
      <w:t>Harneet</w:t>
    </w:r>
    <w:r w:rsidRPr="00FF2E5B">
      <w:rPr>
        <w:rFonts w:asciiTheme="minorHAnsi" w:hAnsiTheme="minorHAnsi"/>
      </w:rPr>
      <w:ptab w:relativeTo="margin" w:alignment="center" w:leader="none"/>
    </w:r>
    <w:r w:rsidRPr="00FF2E5B">
      <w:rPr>
        <w:rFonts w:asciiTheme="minorHAnsi" w:hAnsiTheme="minorHAnsi"/>
      </w:rPr>
      <w:ptab w:relativeTo="margin" w:alignment="right" w:leader="none"/>
    </w:r>
    <w:r w:rsidRPr="00FF2E5B">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9DA61" w14:textId="77777777" w:rsidR="007057A1" w:rsidRDefault="007057A1" w:rsidP="00FF2E5B">
      <w:r>
        <w:separator/>
      </w:r>
    </w:p>
  </w:footnote>
  <w:footnote w:type="continuationSeparator" w:id="0">
    <w:p w14:paraId="02357ACB" w14:textId="77777777" w:rsidR="007057A1" w:rsidRDefault="007057A1" w:rsidP="00FF2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F7966"/>
    <w:multiLevelType w:val="hybridMultilevel"/>
    <w:tmpl w:val="46741F14"/>
    <w:lvl w:ilvl="0" w:tplc="986E464E">
      <w:start w:val="1"/>
      <w:numFmt w:val="bullet"/>
      <w:lvlText w:val="•"/>
      <w:lvlJc w:val="left"/>
    </w:lvl>
    <w:lvl w:ilvl="1" w:tplc="9BA0DA1C">
      <w:numFmt w:val="decimal"/>
      <w:lvlText w:val=""/>
      <w:lvlJc w:val="left"/>
    </w:lvl>
    <w:lvl w:ilvl="2" w:tplc="E12852A8">
      <w:numFmt w:val="decimal"/>
      <w:lvlText w:val=""/>
      <w:lvlJc w:val="left"/>
    </w:lvl>
    <w:lvl w:ilvl="3" w:tplc="6E529D14">
      <w:numFmt w:val="decimal"/>
      <w:lvlText w:val=""/>
      <w:lvlJc w:val="left"/>
    </w:lvl>
    <w:lvl w:ilvl="4" w:tplc="8D1A979A">
      <w:numFmt w:val="decimal"/>
      <w:lvlText w:val=""/>
      <w:lvlJc w:val="left"/>
    </w:lvl>
    <w:lvl w:ilvl="5" w:tplc="86C0D5BC">
      <w:numFmt w:val="decimal"/>
      <w:lvlText w:val=""/>
      <w:lvlJc w:val="left"/>
    </w:lvl>
    <w:lvl w:ilvl="6" w:tplc="4FA6FC94">
      <w:numFmt w:val="decimal"/>
      <w:lvlText w:val=""/>
      <w:lvlJc w:val="left"/>
    </w:lvl>
    <w:lvl w:ilvl="7" w:tplc="6DFCF308">
      <w:numFmt w:val="decimal"/>
      <w:lvlText w:val=""/>
      <w:lvlJc w:val="left"/>
    </w:lvl>
    <w:lvl w:ilvl="8" w:tplc="02A6023E">
      <w:numFmt w:val="decimal"/>
      <w:lvlText w:val=""/>
      <w:lvlJc w:val="left"/>
    </w:lvl>
  </w:abstractNum>
  <w:num w:numId="1" w16cid:durableId="1434767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5B"/>
    <w:rsid w:val="00017AFC"/>
    <w:rsid w:val="004A76AA"/>
    <w:rsid w:val="006D391C"/>
    <w:rsid w:val="007057A1"/>
    <w:rsid w:val="009C5C13"/>
    <w:rsid w:val="00A46F0E"/>
    <w:rsid w:val="00CB63E1"/>
    <w:rsid w:val="00FC6CEC"/>
    <w:rsid w:val="00FF2E5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19540EA"/>
  <w15:chartTrackingRefBased/>
  <w15:docId w15:val="{9FDEA046-B699-F146-BF52-EFA6B8FC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E5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F2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5B"/>
    <w:rPr>
      <w:rFonts w:eastAsiaTheme="majorEastAsia" w:cstheme="majorBidi"/>
      <w:color w:val="272727" w:themeColor="text1" w:themeTint="D8"/>
    </w:rPr>
  </w:style>
  <w:style w:type="paragraph" w:styleId="Title">
    <w:name w:val="Title"/>
    <w:basedOn w:val="Normal"/>
    <w:next w:val="Normal"/>
    <w:link w:val="TitleChar"/>
    <w:uiPriority w:val="10"/>
    <w:qFormat/>
    <w:rsid w:val="00FF2E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5B"/>
    <w:pPr>
      <w:spacing w:before="160"/>
      <w:jc w:val="center"/>
    </w:pPr>
    <w:rPr>
      <w:i/>
      <w:iCs/>
      <w:color w:val="404040" w:themeColor="text1" w:themeTint="BF"/>
    </w:rPr>
  </w:style>
  <w:style w:type="character" w:customStyle="1" w:styleId="QuoteChar">
    <w:name w:val="Quote Char"/>
    <w:basedOn w:val="DefaultParagraphFont"/>
    <w:link w:val="Quote"/>
    <w:uiPriority w:val="29"/>
    <w:rsid w:val="00FF2E5B"/>
    <w:rPr>
      <w:i/>
      <w:iCs/>
      <w:color w:val="404040" w:themeColor="text1" w:themeTint="BF"/>
    </w:rPr>
  </w:style>
  <w:style w:type="paragraph" w:styleId="ListParagraph">
    <w:name w:val="List Paragraph"/>
    <w:basedOn w:val="Normal"/>
    <w:qFormat/>
    <w:rsid w:val="00FF2E5B"/>
    <w:pPr>
      <w:ind w:left="720"/>
      <w:contextualSpacing/>
    </w:pPr>
  </w:style>
  <w:style w:type="character" w:styleId="IntenseEmphasis">
    <w:name w:val="Intense Emphasis"/>
    <w:basedOn w:val="DefaultParagraphFont"/>
    <w:uiPriority w:val="21"/>
    <w:qFormat/>
    <w:rsid w:val="00FF2E5B"/>
    <w:rPr>
      <w:i/>
      <w:iCs/>
      <w:color w:val="0F4761" w:themeColor="accent1" w:themeShade="BF"/>
    </w:rPr>
  </w:style>
  <w:style w:type="paragraph" w:styleId="IntenseQuote">
    <w:name w:val="Intense Quote"/>
    <w:basedOn w:val="Normal"/>
    <w:next w:val="Normal"/>
    <w:link w:val="IntenseQuoteChar"/>
    <w:uiPriority w:val="30"/>
    <w:qFormat/>
    <w:rsid w:val="00FF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E5B"/>
    <w:rPr>
      <w:i/>
      <w:iCs/>
      <w:color w:val="0F4761" w:themeColor="accent1" w:themeShade="BF"/>
    </w:rPr>
  </w:style>
  <w:style w:type="character" w:styleId="IntenseReference">
    <w:name w:val="Intense Reference"/>
    <w:basedOn w:val="DefaultParagraphFont"/>
    <w:uiPriority w:val="32"/>
    <w:qFormat/>
    <w:rsid w:val="00FF2E5B"/>
    <w:rPr>
      <w:b/>
      <w:bCs/>
      <w:smallCaps/>
      <w:color w:val="0F4761" w:themeColor="accent1" w:themeShade="BF"/>
      <w:spacing w:val="5"/>
    </w:rPr>
  </w:style>
  <w:style w:type="paragraph" w:styleId="Header">
    <w:name w:val="header"/>
    <w:basedOn w:val="Normal"/>
    <w:link w:val="HeaderChar"/>
    <w:uiPriority w:val="99"/>
    <w:unhideWhenUsed/>
    <w:rsid w:val="00FF2E5B"/>
    <w:pPr>
      <w:tabs>
        <w:tab w:val="center" w:pos="4680"/>
        <w:tab w:val="right" w:pos="9360"/>
      </w:tabs>
    </w:pPr>
  </w:style>
  <w:style w:type="character" w:customStyle="1" w:styleId="HeaderChar">
    <w:name w:val="Header Char"/>
    <w:basedOn w:val="DefaultParagraphFont"/>
    <w:link w:val="Header"/>
    <w:uiPriority w:val="99"/>
    <w:rsid w:val="00FF2E5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F2E5B"/>
    <w:pPr>
      <w:tabs>
        <w:tab w:val="center" w:pos="4680"/>
        <w:tab w:val="right" w:pos="9360"/>
      </w:tabs>
    </w:pPr>
  </w:style>
  <w:style w:type="character" w:customStyle="1" w:styleId="FooterChar">
    <w:name w:val="Footer Char"/>
    <w:basedOn w:val="DefaultParagraphFont"/>
    <w:link w:val="Footer"/>
    <w:uiPriority w:val="99"/>
    <w:rsid w:val="00FF2E5B"/>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FF2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961</Words>
  <Characters>5605</Characters>
  <Application>Microsoft Office Word</Application>
  <DocSecurity>0</DocSecurity>
  <Lines>154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3</cp:revision>
  <dcterms:created xsi:type="dcterms:W3CDTF">2026-09-20T10:58:00Z</dcterms:created>
  <dcterms:modified xsi:type="dcterms:W3CDTF">2026-09-20T11:02:00Z</dcterms:modified>
  <cp:category/>
</cp:coreProperties>
</file>