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B179FC" w14:textId="77777777" w:rsidR="00FF2E5B" w:rsidRPr="00FF2E5B" w:rsidRDefault="00FF2E5B" w:rsidP="00FF2E5B">
      <w:pPr>
        <w:spacing w:after="60"/>
        <w:jc w:val="center"/>
        <w:rPr>
          <w:rFonts w:asciiTheme="minorHAnsi" w:hAnsiTheme="minorHAnsi"/>
        </w:rPr>
      </w:pPr>
      <w:r w:rsidRPr="00FF2E5B">
        <w:rPr>
          <w:rFonts w:asciiTheme="minorHAnsi" w:hAnsiTheme="minorHAnsi"/>
          <w:b/>
          <w:bCs/>
          <w:sz w:val="34"/>
          <w:szCs w:val="34"/>
        </w:rPr>
        <w:t>Auditor / Manager Implementation-Ready UX Specification</w:t>
      </w:r>
    </w:p>
    <w:p w14:paraId="40A1A68B" w14:textId="33CC5E72" w:rsidR="00FF2E5B" w:rsidRPr="00FF2E5B" w:rsidRDefault="00FF2E5B" w:rsidP="00FF2E5B">
      <w:pPr>
        <w:spacing w:after="40"/>
        <w:jc w:val="center"/>
        <w:rPr>
          <w:rFonts w:asciiTheme="minorHAnsi" w:hAnsiTheme="minorHAnsi"/>
        </w:rPr>
      </w:pPr>
      <w:r w:rsidRPr="00FF2E5B">
        <w:rPr>
          <w:rFonts w:asciiTheme="minorHAnsi" w:hAnsiTheme="minorHAnsi"/>
          <w:color w:val="555555"/>
          <w:sz w:val="22"/>
          <w:szCs w:val="22"/>
        </w:rPr>
        <w:t>IBM - Responsible Content-Safety Infrastructure</w:t>
      </w:r>
    </w:p>
    <w:p w14:paraId="147EEEDA" w14:textId="741A1FA0" w:rsidR="00FF2E5B" w:rsidRPr="00FF2E5B" w:rsidRDefault="00FF2E5B" w:rsidP="00FF2E5B">
      <w:pPr>
        <w:spacing w:after="220"/>
        <w:jc w:val="center"/>
        <w:rPr>
          <w:rFonts w:asciiTheme="minorHAnsi" w:hAnsiTheme="minorHAnsi"/>
        </w:rPr>
      </w:pPr>
      <w:r w:rsidRPr="00FF2E5B">
        <w:rPr>
          <w:rFonts w:asciiTheme="minorHAnsi" w:hAnsiTheme="minorHAnsi"/>
          <w:i/>
          <w:iCs/>
          <w:color w:val="555555"/>
        </w:rPr>
        <w:t xml:space="preserve"> UX Design  |  Harneet Kaur</w:t>
      </w:r>
    </w:p>
    <w:p w14:paraId="649DD831" w14:textId="77777777" w:rsidR="00FF2E5B" w:rsidRPr="00FF2E5B" w:rsidRDefault="00FF2E5B" w:rsidP="00FF2E5B">
      <w:pPr>
        <w:pBdr>
          <w:bottom w:val="single" w:sz="6" w:space="4" w:color="AAAAAA"/>
        </w:pBdr>
        <w:spacing w:after="20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40"/>
        <w:gridCol w:w="1500"/>
        <w:gridCol w:w="2820"/>
      </w:tblGrid>
      <w:tr w:rsidR="00FF2E5B" w:rsidRPr="00FF2E5B" w14:paraId="6F5670D7" w14:textId="77777777" w:rsidTr="00E16697">
        <w:tc>
          <w:tcPr>
            <w:tcW w:w="1500" w:type="dxa"/>
            <w:shd w:val="clear" w:color="auto" w:fill="F2F2F2"/>
            <w:tcMar>
              <w:top w:w="90" w:type="dxa"/>
              <w:left w:w="110" w:type="dxa"/>
              <w:bottom w:w="90" w:type="dxa"/>
              <w:right w:w="110" w:type="dxa"/>
            </w:tcMar>
            <w:vAlign w:val="center"/>
          </w:tcPr>
          <w:p w14:paraId="167BB615" w14:textId="77777777" w:rsidR="00FF2E5B" w:rsidRPr="00FF2E5B" w:rsidRDefault="00FF2E5B" w:rsidP="00E16697">
            <w:pPr>
              <w:rPr>
                <w:rFonts w:asciiTheme="minorHAnsi" w:hAnsiTheme="minorHAnsi"/>
              </w:rPr>
            </w:pPr>
            <w:r w:rsidRPr="00FF2E5B">
              <w:rPr>
                <w:rFonts w:asciiTheme="minorHAnsi" w:hAnsiTheme="minorHAnsi"/>
                <w:b/>
                <w:bCs/>
                <w:sz w:val="18"/>
                <w:szCs w:val="18"/>
              </w:rPr>
              <w:t>Output</w:t>
            </w:r>
          </w:p>
        </w:tc>
        <w:tc>
          <w:tcPr>
            <w:tcW w:w="3540" w:type="dxa"/>
            <w:tcMar>
              <w:top w:w="90" w:type="dxa"/>
              <w:left w:w="110" w:type="dxa"/>
              <w:bottom w:w="90" w:type="dxa"/>
              <w:right w:w="110" w:type="dxa"/>
            </w:tcMar>
            <w:vAlign w:val="center"/>
          </w:tcPr>
          <w:p w14:paraId="2304F4C9" w14:textId="77777777" w:rsidR="00FF2E5B" w:rsidRPr="00FF2E5B" w:rsidRDefault="00FF2E5B" w:rsidP="00E16697">
            <w:pPr>
              <w:rPr>
                <w:rFonts w:asciiTheme="minorHAnsi" w:hAnsiTheme="minorHAnsi"/>
              </w:rPr>
            </w:pPr>
            <w:r w:rsidRPr="00FF2E5B">
              <w:rPr>
                <w:rFonts w:asciiTheme="minorHAnsi" w:hAnsiTheme="minorHAnsi"/>
                <w:sz w:val="18"/>
                <w:szCs w:val="18"/>
              </w:rPr>
              <w:t>Auditor/Manager implementation-ready UX specification</w:t>
            </w:r>
          </w:p>
        </w:tc>
        <w:tc>
          <w:tcPr>
            <w:tcW w:w="1500" w:type="dxa"/>
            <w:shd w:val="clear" w:color="auto" w:fill="F2F2F2"/>
            <w:tcMar>
              <w:top w:w="90" w:type="dxa"/>
              <w:left w:w="110" w:type="dxa"/>
              <w:bottom w:w="90" w:type="dxa"/>
              <w:right w:w="110" w:type="dxa"/>
            </w:tcMar>
            <w:vAlign w:val="center"/>
          </w:tcPr>
          <w:p w14:paraId="102F7C7E" w14:textId="77777777" w:rsidR="00FF2E5B" w:rsidRPr="00FF2E5B" w:rsidRDefault="00FF2E5B" w:rsidP="00E16697">
            <w:pPr>
              <w:rPr>
                <w:rFonts w:asciiTheme="minorHAnsi" w:hAnsiTheme="minorHAnsi"/>
              </w:rPr>
            </w:pPr>
            <w:r w:rsidRPr="00FF2E5B">
              <w:rPr>
                <w:rFonts w:asciiTheme="minorHAnsi" w:hAnsiTheme="minorHAnsi"/>
                <w:b/>
                <w:bCs/>
                <w:sz w:val="18"/>
                <w:szCs w:val="18"/>
              </w:rPr>
              <w:t>Dependency</w:t>
            </w:r>
          </w:p>
        </w:tc>
        <w:tc>
          <w:tcPr>
            <w:tcW w:w="2820" w:type="dxa"/>
            <w:tcMar>
              <w:top w:w="90" w:type="dxa"/>
              <w:left w:w="110" w:type="dxa"/>
              <w:bottom w:w="90" w:type="dxa"/>
              <w:right w:w="110" w:type="dxa"/>
            </w:tcMar>
            <w:vAlign w:val="center"/>
          </w:tcPr>
          <w:p w14:paraId="08C7AD77" w14:textId="77777777" w:rsidR="00FF2E5B" w:rsidRPr="00FF2E5B" w:rsidRDefault="00FF2E5B" w:rsidP="00E16697">
            <w:pPr>
              <w:rPr>
                <w:rFonts w:asciiTheme="minorHAnsi" w:hAnsiTheme="minorHAnsi"/>
              </w:rPr>
            </w:pPr>
            <w:r w:rsidRPr="00FF2E5B">
              <w:rPr>
                <w:rFonts w:asciiTheme="minorHAnsi" w:hAnsiTheme="minorHAnsi"/>
                <w:sz w:val="18"/>
                <w:szCs w:val="18"/>
              </w:rPr>
              <w:t>T4, T5</w:t>
            </w:r>
          </w:p>
        </w:tc>
      </w:tr>
    </w:tbl>
    <w:p w14:paraId="6233D44D" w14:textId="77777777" w:rsidR="00FF2E5B" w:rsidRPr="00FF2E5B" w:rsidRDefault="00FF2E5B" w:rsidP="00FF2E5B">
      <w:pPr>
        <w:spacing w:after="200"/>
        <w:rPr>
          <w:rFonts w:asciiTheme="minorHAnsi" w:hAnsiTheme="minorHAnsi"/>
        </w:rPr>
      </w:pPr>
    </w:p>
    <w:p w14:paraId="796472E6" w14:textId="77777777" w:rsidR="00FF2E5B" w:rsidRPr="00FF2E5B" w:rsidRDefault="00FF2E5B" w:rsidP="00FF2E5B">
      <w:pPr>
        <w:pStyle w:val="Heading1"/>
        <w:spacing w:before="320" w:after="140"/>
        <w:rPr>
          <w:rFonts w:asciiTheme="minorHAnsi" w:hAnsiTheme="minorHAnsi"/>
        </w:rPr>
      </w:pPr>
      <w:r w:rsidRPr="00FF2E5B">
        <w:rPr>
          <w:rFonts w:asciiTheme="minorHAnsi" w:hAnsiTheme="minorHAnsi"/>
        </w:rPr>
        <w:t>1. Case Preview — Implementation Guidance</w:t>
      </w:r>
    </w:p>
    <w:p w14:paraId="1D98D519" w14:textId="77777777" w:rsidR="00FF2E5B" w:rsidRPr="00FF2E5B" w:rsidRDefault="00FF2E5B" w:rsidP="00FF2E5B">
      <w:pPr>
        <w:spacing w:after="140"/>
        <w:rPr>
          <w:rFonts w:asciiTheme="minorHAnsi" w:hAnsiTheme="minorHAnsi"/>
        </w:rPr>
      </w:pPr>
      <w:r w:rsidRPr="00FF2E5B">
        <w:rPr>
          <w:rFonts w:asciiTheme="minorHAnsi" w:hAnsiTheme="minorHAnsi"/>
        </w:rPr>
        <w:t>Two-column layout: a fixed-width (280px) metadata card on the left, and a flexible-width warning panel on the right, gap 20px between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FF2E5B" w:rsidRPr="00FF2E5B" w14:paraId="360B7EB9" w14:textId="77777777" w:rsidTr="00E16697">
        <w:trPr>
          <w:tblHeader/>
        </w:trPr>
        <w:tc>
          <w:tcPr>
            <w:tcW w:w="2200" w:type="dxa"/>
            <w:shd w:val="clear" w:color="auto" w:fill="34495E"/>
            <w:tcMar>
              <w:top w:w="90" w:type="dxa"/>
              <w:left w:w="110" w:type="dxa"/>
              <w:bottom w:w="90" w:type="dxa"/>
              <w:right w:w="110" w:type="dxa"/>
            </w:tcMar>
            <w:vAlign w:val="center"/>
          </w:tcPr>
          <w:p w14:paraId="0B33D702" w14:textId="77777777" w:rsidR="00FF2E5B" w:rsidRPr="00FF2E5B" w:rsidRDefault="00FF2E5B" w:rsidP="00E16697">
            <w:pPr>
              <w:rPr>
                <w:rFonts w:asciiTheme="minorHAnsi" w:hAnsiTheme="minorHAnsi"/>
              </w:rPr>
            </w:pPr>
            <w:r w:rsidRPr="00FF2E5B">
              <w:rPr>
                <w:rFonts w:asciiTheme="minorHAnsi" w:hAnsiTheme="minorHAnsi"/>
                <w:b/>
                <w:bCs/>
                <w:color w:val="FFFFFF"/>
                <w:sz w:val="18"/>
                <w:szCs w:val="18"/>
              </w:rPr>
              <w:t>Element</w:t>
            </w:r>
          </w:p>
        </w:tc>
        <w:tc>
          <w:tcPr>
            <w:tcW w:w="2600" w:type="dxa"/>
            <w:shd w:val="clear" w:color="auto" w:fill="34495E"/>
            <w:tcMar>
              <w:top w:w="90" w:type="dxa"/>
              <w:left w:w="110" w:type="dxa"/>
              <w:bottom w:w="90" w:type="dxa"/>
              <w:right w:w="110" w:type="dxa"/>
            </w:tcMar>
            <w:vAlign w:val="center"/>
          </w:tcPr>
          <w:p w14:paraId="5ECC20AC" w14:textId="77777777" w:rsidR="00FF2E5B" w:rsidRPr="00FF2E5B" w:rsidRDefault="00FF2E5B" w:rsidP="00E16697">
            <w:pPr>
              <w:rPr>
                <w:rFonts w:asciiTheme="minorHAnsi" w:hAnsiTheme="minorHAnsi"/>
              </w:rPr>
            </w:pPr>
            <w:r w:rsidRPr="00FF2E5B">
              <w:rPr>
                <w:rFonts w:asciiTheme="minorHAnsi" w:hAnsiTheme="minorHAnsi"/>
                <w:b/>
                <w:bCs/>
                <w:color w:val="FFFFFF"/>
                <w:sz w:val="18"/>
                <w:szCs w:val="18"/>
              </w:rPr>
              <w:t>Location</w:t>
            </w:r>
          </w:p>
        </w:tc>
        <w:tc>
          <w:tcPr>
            <w:tcW w:w="4560" w:type="dxa"/>
            <w:shd w:val="clear" w:color="auto" w:fill="34495E"/>
            <w:tcMar>
              <w:top w:w="90" w:type="dxa"/>
              <w:left w:w="110" w:type="dxa"/>
              <w:bottom w:w="90" w:type="dxa"/>
              <w:right w:w="110" w:type="dxa"/>
            </w:tcMar>
            <w:vAlign w:val="center"/>
          </w:tcPr>
          <w:p w14:paraId="580E421F" w14:textId="77777777" w:rsidR="00FF2E5B" w:rsidRPr="00FF2E5B" w:rsidRDefault="00FF2E5B" w:rsidP="00E16697">
            <w:pPr>
              <w:rPr>
                <w:rFonts w:asciiTheme="minorHAnsi" w:hAnsiTheme="minorHAnsi"/>
              </w:rPr>
            </w:pPr>
            <w:r w:rsidRPr="00FF2E5B">
              <w:rPr>
                <w:rFonts w:asciiTheme="minorHAnsi" w:hAnsiTheme="minorHAnsi"/>
                <w:b/>
                <w:bCs/>
                <w:color w:val="FFFFFF"/>
                <w:sz w:val="18"/>
                <w:szCs w:val="18"/>
              </w:rPr>
              <w:t>Behaviour</w:t>
            </w:r>
          </w:p>
        </w:tc>
      </w:tr>
      <w:tr w:rsidR="00FF2E5B" w:rsidRPr="00FF2E5B" w14:paraId="6ECABB99" w14:textId="77777777" w:rsidTr="00E16697">
        <w:tc>
          <w:tcPr>
            <w:tcW w:w="2200" w:type="dxa"/>
            <w:tcMar>
              <w:top w:w="90" w:type="dxa"/>
              <w:left w:w="110" w:type="dxa"/>
              <w:bottom w:w="90" w:type="dxa"/>
              <w:right w:w="110" w:type="dxa"/>
            </w:tcMar>
            <w:vAlign w:val="center"/>
          </w:tcPr>
          <w:p w14:paraId="7209426A" w14:textId="77777777" w:rsidR="00FF2E5B" w:rsidRPr="00FF2E5B" w:rsidRDefault="00FF2E5B" w:rsidP="00E16697">
            <w:pPr>
              <w:rPr>
                <w:rFonts w:asciiTheme="minorHAnsi" w:hAnsiTheme="minorHAnsi"/>
              </w:rPr>
            </w:pPr>
            <w:r w:rsidRPr="00FF2E5B">
              <w:rPr>
                <w:rFonts w:asciiTheme="minorHAnsi" w:hAnsiTheme="minorHAnsi"/>
                <w:b/>
                <w:bCs/>
                <w:sz w:val="18"/>
                <w:szCs w:val="18"/>
              </w:rPr>
              <w:t>Case metadata (ID, type, duration, source)</w:t>
            </w:r>
          </w:p>
        </w:tc>
        <w:tc>
          <w:tcPr>
            <w:tcW w:w="2600" w:type="dxa"/>
            <w:tcMar>
              <w:top w:w="90" w:type="dxa"/>
              <w:left w:w="110" w:type="dxa"/>
              <w:bottom w:w="90" w:type="dxa"/>
              <w:right w:w="110" w:type="dxa"/>
            </w:tcMar>
            <w:vAlign w:val="center"/>
          </w:tcPr>
          <w:p w14:paraId="6845DA16" w14:textId="77777777" w:rsidR="00FF2E5B" w:rsidRPr="00FF2E5B" w:rsidRDefault="00FF2E5B" w:rsidP="00E16697">
            <w:pPr>
              <w:rPr>
                <w:rFonts w:asciiTheme="minorHAnsi" w:hAnsiTheme="minorHAnsi"/>
              </w:rPr>
            </w:pPr>
            <w:r w:rsidRPr="00FF2E5B">
              <w:rPr>
                <w:rFonts w:asciiTheme="minorHAnsi" w:hAnsiTheme="minorHAnsi"/>
                <w:sz w:val="18"/>
                <w:szCs w:val="18"/>
              </w:rPr>
              <w:t>Left card, stacked key/value rows</w:t>
            </w:r>
          </w:p>
        </w:tc>
        <w:tc>
          <w:tcPr>
            <w:tcW w:w="4560" w:type="dxa"/>
            <w:tcMar>
              <w:top w:w="90" w:type="dxa"/>
              <w:left w:w="110" w:type="dxa"/>
              <w:bottom w:w="90" w:type="dxa"/>
              <w:right w:w="110" w:type="dxa"/>
            </w:tcMar>
            <w:vAlign w:val="center"/>
          </w:tcPr>
          <w:p w14:paraId="5ACC6850" w14:textId="77777777" w:rsidR="00FF2E5B" w:rsidRPr="00FF2E5B" w:rsidRDefault="00FF2E5B" w:rsidP="00E16697">
            <w:pPr>
              <w:rPr>
                <w:rFonts w:asciiTheme="minorHAnsi" w:hAnsiTheme="minorHAnsi"/>
              </w:rPr>
            </w:pPr>
            <w:r w:rsidRPr="00FF2E5B">
              <w:rPr>
                <w:rFonts w:asciiTheme="minorHAnsi" w:hAnsiTheme="minorHAnsi"/>
                <w:sz w:val="18"/>
                <w:szCs w:val="18"/>
              </w:rPr>
              <w:t>Static display; no interaction. Case ID uses monospace type throughout the product for consistency.</w:t>
            </w:r>
          </w:p>
        </w:tc>
      </w:tr>
      <w:tr w:rsidR="00FF2E5B" w:rsidRPr="00FF2E5B" w14:paraId="6AFA7A72" w14:textId="77777777" w:rsidTr="00E16697">
        <w:tc>
          <w:tcPr>
            <w:tcW w:w="2200" w:type="dxa"/>
            <w:tcMar>
              <w:top w:w="90" w:type="dxa"/>
              <w:left w:w="110" w:type="dxa"/>
              <w:bottom w:w="90" w:type="dxa"/>
              <w:right w:w="110" w:type="dxa"/>
            </w:tcMar>
            <w:vAlign w:val="center"/>
          </w:tcPr>
          <w:p w14:paraId="728BC40E" w14:textId="77777777" w:rsidR="00FF2E5B" w:rsidRPr="00FF2E5B" w:rsidRDefault="00FF2E5B" w:rsidP="00E16697">
            <w:pPr>
              <w:rPr>
                <w:rFonts w:asciiTheme="minorHAnsi" w:hAnsiTheme="minorHAnsi"/>
              </w:rPr>
            </w:pPr>
            <w:r w:rsidRPr="00FF2E5B">
              <w:rPr>
                <w:rFonts w:asciiTheme="minorHAnsi" w:hAnsiTheme="minorHAnsi"/>
                <w:b/>
                <w:bCs/>
                <w:sz w:val="18"/>
                <w:szCs w:val="18"/>
              </w:rPr>
              <w:t>AI flag (severity)</w:t>
            </w:r>
          </w:p>
        </w:tc>
        <w:tc>
          <w:tcPr>
            <w:tcW w:w="2600" w:type="dxa"/>
            <w:tcMar>
              <w:top w:w="90" w:type="dxa"/>
              <w:left w:w="110" w:type="dxa"/>
              <w:bottom w:w="90" w:type="dxa"/>
              <w:right w:w="110" w:type="dxa"/>
            </w:tcMar>
            <w:vAlign w:val="center"/>
          </w:tcPr>
          <w:p w14:paraId="76ED4771" w14:textId="77777777" w:rsidR="00FF2E5B" w:rsidRPr="00FF2E5B" w:rsidRDefault="00FF2E5B" w:rsidP="00E16697">
            <w:pPr>
              <w:rPr>
                <w:rFonts w:asciiTheme="minorHAnsi" w:hAnsiTheme="minorHAnsi"/>
              </w:rPr>
            </w:pPr>
            <w:r w:rsidRPr="00FF2E5B">
              <w:rPr>
                <w:rFonts w:asciiTheme="minorHAnsi" w:hAnsiTheme="minorHAnsi"/>
                <w:sz w:val="18"/>
                <w:szCs w:val="18"/>
              </w:rPr>
              <w:t>Left card, bottom row</w:t>
            </w:r>
          </w:p>
        </w:tc>
        <w:tc>
          <w:tcPr>
            <w:tcW w:w="4560" w:type="dxa"/>
            <w:tcMar>
              <w:top w:w="90" w:type="dxa"/>
              <w:left w:w="110" w:type="dxa"/>
              <w:bottom w:w="90" w:type="dxa"/>
              <w:right w:w="110" w:type="dxa"/>
            </w:tcMar>
            <w:vAlign w:val="center"/>
          </w:tcPr>
          <w:p w14:paraId="07DAABB9" w14:textId="77777777" w:rsidR="00FF2E5B" w:rsidRPr="00FF2E5B" w:rsidRDefault="00FF2E5B" w:rsidP="00E16697">
            <w:pPr>
              <w:rPr>
                <w:rFonts w:asciiTheme="minorHAnsi" w:hAnsiTheme="minorHAnsi"/>
              </w:rPr>
            </w:pPr>
            <w:r w:rsidRPr="00FF2E5B">
              <w:rPr>
                <w:rFonts w:asciiTheme="minorHAnsi" w:hAnsiTheme="minorHAnsi"/>
                <w:sz w:val="18"/>
                <w:szCs w:val="18"/>
              </w:rPr>
              <w:t>Show a severity label only when a valid AI result exists. While processing is pending or no severity is available, display "Pending analysis" or "Severity unavailable" (neutral style); do not invent a tier or colour. The full validated severity/summary/timestamps set appears on Analysis &amp; Decision.</w:t>
            </w:r>
          </w:p>
        </w:tc>
      </w:tr>
      <w:tr w:rsidR="00FF2E5B" w:rsidRPr="00FF2E5B" w14:paraId="05F242B4" w14:textId="77777777" w:rsidTr="00E16697">
        <w:tc>
          <w:tcPr>
            <w:tcW w:w="2200" w:type="dxa"/>
            <w:tcMar>
              <w:top w:w="90" w:type="dxa"/>
              <w:left w:w="110" w:type="dxa"/>
              <w:bottom w:w="90" w:type="dxa"/>
              <w:right w:w="110" w:type="dxa"/>
            </w:tcMar>
            <w:vAlign w:val="center"/>
          </w:tcPr>
          <w:p w14:paraId="263867FE" w14:textId="77777777" w:rsidR="00FF2E5B" w:rsidRPr="00FF2E5B" w:rsidRDefault="00FF2E5B" w:rsidP="00E16697">
            <w:pPr>
              <w:rPr>
                <w:rFonts w:asciiTheme="minorHAnsi" w:hAnsiTheme="minorHAnsi"/>
              </w:rPr>
            </w:pPr>
            <w:r w:rsidRPr="00FF2E5B">
              <w:rPr>
                <w:rFonts w:asciiTheme="minorHAnsi" w:hAnsiTheme="minorHAnsi"/>
                <w:b/>
                <w:bCs/>
                <w:sz w:val="18"/>
                <w:szCs w:val="18"/>
              </w:rPr>
              <w:t>Content warning panel</w:t>
            </w:r>
          </w:p>
        </w:tc>
        <w:tc>
          <w:tcPr>
            <w:tcW w:w="2600" w:type="dxa"/>
            <w:tcMar>
              <w:top w:w="90" w:type="dxa"/>
              <w:left w:w="110" w:type="dxa"/>
              <w:bottom w:w="90" w:type="dxa"/>
              <w:right w:w="110" w:type="dxa"/>
            </w:tcMar>
            <w:vAlign w:val="center"/>
          </w:tcPr>
          <w:p w14:paraId="5CFA496C" w14:textId="77777777" w:rsidR="00FF2E5B" w:rsidRPr="00FF2E5B" w:rsidRDefault="00FF2E5B" w:rsidP="00E16697">
            <w:pPr>
              <w:rPr>
                <w:rFonts w:asciiTheme="minorHAnsi" w:hAnsiTheme="minorHAnsi"/>
              </w:rPr>
            </w:pPr>
            <w:r w:rsidRPr="00FF2E5B">
              <w:rPr>
                <w:rFonts w:asciiTheme="minorHAnsi" w:hAnsiTheme="minorHAnsi"/>
                <w:sz w:val="18"/>
                <w:szCs w:val="18"/>
              </w:rPr>
              <w:t>Right panel, full remaining width</w:t>
            </w:r>
          </w:p>
        </w:tc>
        <w:tc>
          <w:tcPr>
            <w:tcW w:w="4560" w:type="dxa"/>
            <w:tcMar>
              <w:top w:w="90" w:type="dxa"/>
              <w:left w:w="110" w:type="dxa"/>
              <w:bottom w:w="90" w:type="dxa"/>
              <w:right w:w="110" w:type="dxa"/>
            </w:tcMar>
            <w:vAlign w:val="center"/>
          </w:tcPr>
          <w:p w14:paraId="08DF9F63" w14:textId="77777777" w:rsidR="00FF2E5B" w:rsidRPr="00FF2E5B" w:rsidRDefault="00FF2E5B" w:rsidP="00E16697">
            <w:pPr>
              <w:rPr>
                <w:rFonts w:asciiTheme="minorHAnsi" w:hAnsiTheme="minorHAnsi"/>
              </w:rPr>
            </w:pPr>
            <w:r w:rsidRPr="00FF2E5B">
              <w:rPr>
                <w:rFonts w:asciiTheme="minorHAnsi" w:hAnsiTheme="minorHAnsi"/>
                <w:sz w:val="18"/>
                <w:szCs w:val="18"/>
              </w:rPr>
              <w:t>Displayed before any raw media is revealed. Contains a generic content warning, plus the actual severity only if a valid AI result exists; otherwise state "Analysis pending" or "Severity unavailable". Do not imply a confirmed severity before processing is complete.</w:t>
            </w:r>
          </w:p>
        </w:tc>
      </w:tr>
      <w:tr w:rsidR="00FF2E5B" w:rsidRPr="00FF2E5B" w14:paraId="78D8CFFB" w14:textId="77777777" w:rsidTr="00E16697">
        <w:tc>
          <w:tcPr>
            <w:tcW w:w="2200" w:type="dxa"/>
            <w:tcMar>
              <w:top w:w="90" w:type="dxa"/>
              <w:left w:w="110" w:type="dxa"/>
              <w:bottom w:w="90" w:type="dxa"/>
              <w:right w:w="110" w:type="dxa"/>
            </w:tcMar>
            <w:vAlign w:val="center"/>
          </w:tcPr>
          <w:p w14:paraId="39F5AD89" w14:textId="77777777" w:rsidR="00FF2E5B" w:rsidRPr="00FF2E5B" w:rsidRDefault="00FF2E5B" w:rsidP="00E16697">
            <w:pPr>
              <w:rPr>
                <w:rFonts w:asciiTheme="minorHAnsi" w:hAnsiTheme="minorHAnsi"/>
              </w:rPr>
            </w:pPr>
            <w:r w:rsidRPr="00FF2E5B">
              <w:rPr>
                <w:rFonts w:asciiTheme="minorHAnsi" w:hAnsiTheme="minorHAnsi"/>
                <w:b/>
                <w:bCs/>
                <w:sz w:val="18"/>
                <w:szCs w:val="18"/>
              </w:rPr>
              <w:t>“Review AI analysis →” action</w:t>
            </w:r>
          </w:p>
        </w:tc>
        <w:tc>
          <w:tcPr>
            <w:tcW w:w="2600" w:type="dxa"/>
            <w:tcMar>
              <w:top w:w="90" w:type="dxa"/>
              <w:left w:w="110" w:type="dxa"/>
              <w:bottom w:w="90" w:type="dxa"/>
              <w:right w:w="110" w:type="dxa"/>
            </w:tcMar>
            <w:vAlign w:val="center"/>
          </w:tcPr>
          <w:p w14:paraId="210F38D0" w14:textId="77777777" w:rsidR="00FF2E5B" w:rsidRPr="00FF2E5B" w:rsidRDefault="00FF2E5B" w:rsidP="00E16697">
            <w:pPr>
              <w:rPr>
                <w:rFonts w:asciiTheme="minorHAnsi" w:hAnsiTheme="minorHAnsi"/>
              </w:rPr>
            </w:pPr>
            <w:r w:rsidRPr="00FF2E5B">
              <w:rPr>
                <w:rFonts w:asciiTheme="minorHAnsi" w:hAnsiTheme="minorHAnsi"/>
                <w:sz w:val="18"/>
                <w:szCs w:val="18"/>
              </w:rPr>
              <w:t>Right panel, primary button</w:t>
            </w:r>
          </w:p>
        </w:tc>
        <w:tc>
          <w:tcPr>
            <w:tcW w:w="4560" w:type="dxa"/>
            <w:tcMar>
              <w:top w:w="90" w:type="dxa"/>
              <w:left w:w="110" w:type="dxa"/>
              <w:bottom w:w="90" w:type="dxa"/>
              <w:right w:w="110" w:type="dxa"/>
            </w:tcMar>
            <w:vAlign w:val="center"/>
          </w:tcPr>
          <w:p w14:paraId="60034772" w14:textId="77777777" w:rsidR="00FF2E5B" w:rsidRPr="00FF2E5B" w:rsidRDefault="00FF2E5B" w:rsidP="00E16697">
            <w:pPr>
              <w:rPr>
                <w:rFonts w:asciiTheme="minorHAnsi" w:hAnsiTheme="minorHAnsi"/>
              </w:rPr>
            </w:pPr>
            <w:r w:rsidRPr="00FF2E5B">
              <w:rPr>
                <w:rFonts w:asciiTheme="minorHAnsi" w:hAnsiTheme="minorHAnsi"/>
                <w:sz w:val="18"/>
                <w:szCs w:val="18"/>
              </w:rPr>
              <w:t>Navigates to Analysis &amp; Decision (Section 2). If AI processing has not yet completed for this case, this navigates to the Loading state (Section 3) instead.</w:t>
            </w:r>
          </w:p>
        </w:tc>
      </w:tr>
      <w:tr w:rsidR="00FF2E5B" w:rsidRPr="00FF2E5B" w14:paraId="7F087DC5" w14:textId="77777777" w:rsidTr="00E16697">
        <w:tc>
          <w:tcPr>
            <w:tcW w:w="2200" w:type="dxa"/>
            <w:tcMar>
              <w:top w:w="90" w:type="dxa"/>
              <w:left w:w="110" w:type="dxa"/>
              <w:bottom w:w="90" w:type="dxa"/>
              <w:right w:w="110" w:type="dxa"/>
            </w:tcMar>
            <w:vAlign w:val="center"/>
          </w:tcPr>
          <w:p w14:paraId="30AFBBC8" w14:textId="77777777" w:rsidR="00FF2E5B" w:rsidRPr="00FF2E5B" w:rsidRDefault="00FF2E5B" w:rsidP="00E16697">
            <w:pPr>
              <w:rPr>
                <w:rFonts w:asciiTheme="minorHAnsi" w:hAnsiTheme="minorHAnsi"/>
              </w:rPr>
            </w:pPr>
            <w:r w:rsidRPr="00FF2E5B">
              <w:rPr>
                <w:rFonts w:asciiTheme="minorHAnsi" w:hAnsiTheme="minorHAnsi"/>
                <w:b/>
                <w:bCs/>
                <w:sz w:val="18"/>
                <w:szCs w:val="18"/>
              </w:rPr>
              <w:t>"Skip to raw media" action (draft / TBC)</w:t>
            </w:r>
          </w:p>
        </w:tc>
        <w:tc>
          <w:tcPr>
            <w:tcW w:w="2600" w:type="dxa"/>
            <w:tcMar>
              <w:top w:w="90" w:type="dxa"/>
              <w:left w:w="110" w:type="dxa"/>
              <w:bottom w:w="90" w:type="dxa"/>
              <w:right w:w="110" w:type="dxa"/>
            </w:tcMar>
            <w:vAlign w:val="center"/>
          </w:tcPr>
          <w:p w14:paraId="60C3BB33" w14:textId="77777777" w:rsidR="00FF2E5B" w:rsidRPr="00FF2E5B" w:rsidRDefault="00FF2E5B" w:rsidP="00E16697">
            <w:pPr>
              <w:rPr>
                <w:rFonts w:asciiTheme="minorHAnsi" w:hAnsiTheme="minorHAnsi"/>
              </w:rPr>
            </w:pPr>
            <w:r w:rsidRPr="00FF2E5B">
              <w:rPr>
                <w:rFonts w:asciiTheme="minorHAnsi" w:hAnsiTheme="minorHAnsi"/>
                <w:sz w:val="18"/>
                <w:szCs w:val="18"/>
              </w:rPr>
              <w:t>Right panel, secondary/text link</w:t>
            </w:r>
          </w:p>
        </w:tc>
        <w:tc>
          <w:tcPr>
            <w:tcW w:w="4560" w:type="dxa"/>
            <w:tcMar>
              <w:top w:w="90" w:type="dxa"/>
              <w:left w:w="110" w:type="dxa"/>
              <w:bottom w:w="90" w:type="dxa"/>
              <w:right w:w="110" w:type="dxa"/>
            </w:tcMar>
            <w:vAlign w:val="center"/>
          </w:tcPr>
          <w:p w14:paraId="4FF181AC" w14:textId="77777777" w:rsidR="00FF2E5B" w:rsidRPr="00FF2E5B" w:rsidRDefault="00FF2E5B" w:rsidP="00E16697">
            <w:pPr>
              <w:rPr>
                <w:rFonts w:asciiTheme="minorHAnsi" w:hAnsiTheme="minorHAnsi"/>
              </w:rPr>
            </w:pPr>
            <w:r w:rsidRPr="00FF2E5B">
              <w:rPr>
                <w:rFonts w:asciiTheme="minorHAnsi" w:hAnsiTheme="minorHAnsi"/>
                <w:sz w:val="18"/>
                <w:szCs w:val="18"/>
              </w:rPr>
              <w:t>The bypass behaviour has not been confirmed by BA. Do not implement an untracked route that immediately reveals raw media. Keep this draft action disabled or labelled "Pending workflow confirmation" until a controlled-viewing rule and any exposure recording requirements are agreed. The normal "Review AI analysis" route remains available.</w:t>
            </w:r>
          </w:p>
        </w:tc>
      </w:tr>
    </w:tbl>
    <w:p w14:paraId="03CDEA0D" w14:textId="77777777" w:rsidR="00FF2E5B" w:rsidRPr="00FF2E5B" w:rsidRDefault="00FF2E5B" w:rsidP="00FF2E5B">
      <w:pPr>
        <w:pStyle w:val="Heading1"/>
        <w:spacing w:before="320" w:after="140"/>
        <w:rPr>
          <w:rFonts w:asciiTheme="minorHAnsi" w:hAnsiTheme="minorHAnsi"/>
        </w:rPr>
      </w:pPr>
      <w:r w:rsidRPr="00FF2E5B">
        <w:rPr>
          <w:rFonts w:asciiTheme="minorHAnsi" w:hAnsiTheme="minorHAnsi"/>
        </w:rPr>
        <w:t>2. Analysis &amp; Decision — Implementation Guidance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FF2E5B" w:rsidRPr="00FF2E5B" w14:paraId="28108049" w14:textId="77777777" w:rsidTr="00E16697">
        <w:trPr>
          <w:tblHeader/>
        </w:trPr>
        <w:tc>
          <w:tcPr>
            <w:tcW w:w="2200" w:type="dxa"/>
            <w:shd w:val="clear" w:color="auto" w:fill="34495E"/>
            <w:tcMar>
              <w:top w:w="90" w:type="dxa"/>
              <w:left w:w="110" w:type="dxa"/>
              <w:bottom w:w="90" w:type="dxa"/>
              <w:right w:w="110" w:type="dxa"/>
            </w:tcMar>
            <w:vAlign w:val="center"/>
          </w:tcPr>
          <w:p w14:paraId="0D98B564" w14:textId="77777777" w:rsidR="00FF2E5B" w:rsidRPr="00FF2E5B" w:rsidRDefault="00FF2E5B" w:rsidP="00E16697">
            <w:pPr>
              <w:rPr>
                <w:rFonts w:asciiTheme="minorHAnsi" w:hAnsiTheme="minorHAnsi"/>
              </w:rPr>
            </w:pPr>
            <w:r w:rsidRPr="00FF2E5B">
              <w:rPr>
                <w:rFonts w:asciiTheme="minorHAnsi" w:hAnsiTheme="minorHAnsi"/>
                <w:b/>
                <w:bCs/>
                <w:color w:val="FFFFFF"/>
                <w:sz w:val="18"/>
                <w:szCs w:val="18"/>
              </w:rPr>
              <w:t>Element</w:t>
            </w:r>
          </w:p>
        </w:tc>
        <w:tc>
          <w:tcPr>
            <w:tcW w:w="2600" w:type="dxa"/>
            <w:shd w:val="clear" w:color="auto" w:fill="34495E"/>
            <w:tcMar>
              <w:top w:w="90" w:type="dxa"/>
              <w:left w:w="110" w:type="dxa"/>
              <w:bottom w:w="90" w:type="dxa"/>
              <w:right w:w="110" w:type="dxa"/>
            </w:tcMar>
            <w:vAlign w:val="center"/>
          </w:tcPr>
          <w:p w14:paraId="36736770" w14:textId="77777777" w:rsidR="00FF2E5B" w:rsidRPr="00FF2E5B" w:rsidRDefault="00FF2E5B" w:rsidP="00E16697">
            <w:pPr>
              <w:rPr>
                <w:rFonts w:asciiTheme="minorHAnsi" w:hAnsiTheme="minorHAnsi"/>
              </w:rPr>
            </w:pPr>
            <w:r w:rsidRPr="00FF2E5B">
              <w:rPr>
                <w:rFonts w:asciiTheme="minorHAnsi" w:hAnsiTheme="minorHAnsi"/>
                <w:b/>
                <w:bCs/>
                <w:color w:val="FFFFFF"/>
                <w:sz w:val="18"/>
                <w:szCs w:val="18"/>
              </w:rPr>
              <w:t>Location</w:t>
            </w:r>
          </w:p>
        </w:tc>
        <w:tc>
          <w:tcPr>
            <w:tcW w:w="4560" w:type="dxa"/>
            <w:shd w:val="clear" w:color="auto" w:fill="34495E"/>
            <w:tcMar>
              <w:top w:w="90" w:type="dxa"/>
              <w:left w:w="110" w:type="dxa"/>
              <w:bottom w:w="90" w:type="dxa"/>
              <w:right w:w="110" w:type="dxa"/>
            </w:tcMar>
            <w:vAlign w:val="center"/>
          </w:tcPr>
          <w:p w14:paraId="045410AD" w14:textId="77777777" w:rsidR="00FF2E5B" w:rsidRPr="00FF2E5B" w:rsidRDefault="00FF2E5B" w:rsidP="00E16697">
            <w:pPr>
              <w:rPr>
                <w:rFonts w:asciiTheme="minorHAnsi" w:hAnsiTheme="minorHAnsi"/>
              </w:rPr>
            </w:pPr>
            <w:r w:rsidRPr="00FF2E5B">
              <w:rPr>
                <w:rFonts w:asciiTheme="minorHAnsi" w:hAnsiTheme="minorHAnsi"/>
                <w:b/>
                <w:bCs/>
                <w:color w:val="FFFFFF"/>
                <w:sz w:val="18"/>
                <w:szCs w:val="18"/>
              </w:rPr>
              <w:t>Behaviour</w:t>
            </w:r>
          </w:p>
        </w:tc>
      </w:tr>
      <w:tr w:rsidR="00FF2E5B" w:rsidRPr="00FF2E5B" w14:paraId="72A4990E" w14:textId="77777777" w:rsidTr="00E16697">
        <w:tc>
          <w:tcPr>
            <w:tcW w:w="2200" w:type="dxa"/>
            <w:tcMar>
              <w:top w:w="90" w:type="dxa"/>
              <w:left w:w="110" w:type="dxa"/>
              <w:bottom w:w="90" w:type="dxa"/>
              <w:right w:w="110" w:type="dxa"/>
            </w:tcMar>
            <w:vAlign w:val="center"/>
          </w:tcPr>
          <w:p w14:paraId="1C163648" w14:textId="77777777" w:rsidR="00FF2E5B" w:rsidRPr="00FF2E5B" w:rsidRDefault="00FF2E5B" w:rsidP="00E16697">
            <w:pPr>
              <w:rPr>
                <w:rFonts w:asciiTheme="minorHAnsi" w:hAnsiTheme="minorHAnsi"/>
              </w:rPr>
            </w:pPr>
            <w:r w:rsidRPr="00FF2E5B">
              <w:rPr>
                <w:rFonts w:asciiTheme="minorHAnsi" w:hAnsiTheme="minorHAnsi"/>
                <w:b/>
                <w:bCs/>
                <w:sz w:val="18"/>
                <w:szCs w:val="18"/>
              </w:rPr>
              <w:t>Severity</w:t>
            </w:r>
          </w:p>
        </w:tc>
        <w:tc>
          <w:tcPr>
            <w:tcW w:w="2600" w:type="dxa"/>
            <w:tcMar>
              <w:top w:w="90" w:type="dxa"/>
              <w:left w:w="110" w:type="dxa"/>
              <w:bottom w:w="90" w:type="dxa"/>
              <w:right w:w="110" w:type="dxa"/>
            </w:tcMar>
            <w:vAlign w:val="center"/>
          </w:tcPr>
          <w:p w14:paraId="1B2D1FC1" w14:textId="77777777" w:rsidR="00FF2E5B" w:rsidRPr="00FF2E5B" w:rsidRDefault="00FF2E5B" w:rsidP="00E16697">
            <w:pPr>
              <w:rPr>
                <w:rFonts w:asciiTheme="minorHAnsi" w:hAnsiTheme="minorHAnsi"/>
              </w:rPr>
            </w:pPr>
            <w:r w:rsidRPr="00FF2E5B">
              <w:rPr>
                <w:rFonts w:asciiTheme="minorHAnsi" w:hAnsiTheme="minorHAnsi"/>
                <w:sz w:val="18"/>
                <w:szCs w:val="18"/>
              </w:rPr>
              <w:t>Top-right of the AI-assisted analysis panel, as a coloured pill</w:t>
            </w:r>
          </w:p>
        </w:tc>
        <w:tc>
          <w:tcPr>
            <w:tcW w:w="4560" w:type="dxa"/>
            <w:tcMar>
              <w:top w:w="90" w:type="dxa"/>
              <w:left w:w="110" w:type="dxa"/>
              <w:bottom w:w="90" w:type="dxa"/>
              <w:right w:w="110" w:type="dxa"/>
            </w:tcMar>
            <w:vAlign w:val="center"/>
          </w:tcPr>
          <w:p w14:paraId="2D280069" w14:textId="77777777" w:rsidR="00FF2E5B" w:rsidRPr="00FF2E5B" w:rsidRDefault="00FF2E5B" w:rsidP="00E16697">
            <w:pPr>
              <w:rPr>
                <w:rFonts w:asciiTheme="minorHAnsi" w:hAnsiTheme="minorHAnsi"/>
              </w:rPr>
            </w:pPr>
            <w:r w:rsidRPr="00FF2E5B">
              <w:rPr>
                <w:rFonts w:asciiTheme="minorHAnsi" w:hAnsiTheme="minorHAnsi"/>
                <w:sz w:val="18"/>
                <w:szCs w:val="18"/>
              </w:rPr>
              <w:t>Set once by the AI result for this case; not editable by the Auditor. Colour and label only — never colour alone (accessibility).</w:t>
            </w:r>
          </w:p>
        </w:tc>
      </w:tr>
      <w:tr w:rsidR="00FF2E5B" w:rsidRPr="00FF2E5B" w14:paraId="4C940D74" w14:textId="77777777" w:rsidTr="00E16697">
        <w:tc>
          <w:tcPr>
            <w:tcW w:w="2200" w:type="dxa"/>
            <w:tcMar>
              <w:top w:w="90" w:type="dxa"/>
              <w:left w:w="110" w:type="dxa"/>
              <w:bottom w:w="90" w:type="dxa"/>
              <w:right w:w="110" w:type="dxa"/>
            </w:tcMar>
            <w:vAlign w:val="center"/>
          </w:tcPr>
          <w:p w14:paraId="2F9090EB" w14:textId="77777777" w:rsidR="00FF2E5B" w:rsidRPr="00FF2E5B" w:rsidRDefault="00FF2E5B" w:rsidP="00E16697">
            <w:pPr>
              <w:rPr>
                <w:rFonts w:asciiTheme="minorHAnsi" w:hAnsiTheme="minorHAnsi"/>
              </w:rPr>
            </w:pPr>
            <w:r w:rsidRPr="00FF2E5B">
              <w:rPr>
                <w:rFonts w:asciiTheme="minorHAnsi" w:hAnsiTheme="minorHAnsi"/>
                <w:b/>
                <w:bCs/>
                <w:sz w:val="18"/>
                <w:szCs w:val="18"/>
              </w:rPr>
              <w:t>Summary</w:t>
            </w:r>
          </w:p>
        </w:tc>
        <w:tc>
          <w:tcPr>
            <w:tcW w:w="2600" w:type="dxa"/>
            <w:tcMar>
              <w:top w:w="90" w:type="dxa"/>
              <w:left w:w="110" w:type="dxa"/>
              <w:bottom w:w="90" w:type="dxa"/>
              <w:right w:w="110" w:type="dxa"/>
            </w:tcMar>
            <w:vAlign w:val="center"/>
          </w:tcPr>
          <w:p w14:paraId="58145153" w14:textId="77777777" w:rsidR="00FF2E5B" w:rsidRPr="00FF2E5B" w:rsidRDefault="00FF2E5B" w:rsidP="00E16697">
            <w:pPr>
              <w:rPr>
                <w:rFonts w:asciiTheme="minorHAnsi" w:hAnsiTheme="minorHAnsi"/>
              </w:rPr>
            </w:pPr>
            <w:r w:rsidRPr="00FF2E5B">
              <w:rPr>
                <w:rFonts w:asciiTheme="minorHAnsi" w:hAnsiTheme="minorHAnsi"/>
                <w:sz w:val="18"/>
                <w:szCs w:val="18"/>
              </w:rPr>
              <w:t>AI-assisted analysis panel, directly below the panel header</w:t>
            </w:r>
          </w:p>
        </w:tc>
        <w:tc>
          <w:tcPr>
            <w:tcW w:w="4560" w:type="dxa"/>
            <w:tcMar>
              <w:top w:w="90" w:type="dxa"/>
              <w:left w:w="110" w:type="dxa"/>
              <w:bottom w:w="90" w:type="dxa"/>
              <w:right w:w="110" w:type="dxa"/>
            </w:tcMar>
            <w:vAlign w:val="center"/>
          </w:tcPr>
          <w:p w14:paraId="1E80C1B5" w14:textId="77777777" w:rsidR="00FF2E5B" w:rsidRPr="00FF2E5B" w:rsidRDefault="00FF2E5B" w:rsidP="00E16697">
            <w:pPr>
              <w:rPr>
                <w:rFonts w:asciiTheme="minorHAnsi" w:hAnsiTheme="minorHAnsi"/>
              </w:rPr>
            </w:pPr>
            <w:r w:rsidRPr="00FF2E5B">
              <w:rPr>
                <w:rFonts w:asciiTheme="minorHAnsi" w:hAnsiTheme="minorHAnsi"/>
                <w:sz w:val="18"/>
                <w:szCs w:val="18"/>
              </w:rPr>
              <w:t>Plain-language paragraph, generated once per case. Read-only.</w:t>
            </w:r>
          </w:p>
        </w:tc>
      </w:tr>
      <w:tr w:rsidR="00FF2E5B" w:rsidRPr="00FF2E5B" w14:paraId="70AB45C5" w14:textId="77777777" w:rsidTr="00E16697">
        <w:tc>
          <w:tcPr>
            <w:tcW w:w="2200" w:type="dxa"/>
            <w:tcMar>
              <w:top w:w="90" w:type="dxa"/>
              <w:left w:w="110" w:type="dxa"/>
              <w:bottom w:w="90" w:type="dxa"/>
              <w:right w:w="110" w:type="dxa"/>
            </w:tcMar>
            <w:vAlign w:val="center"/>
          </w:tcPr>
          <w:p w14:paraId="66D4E6AB" w14:textId="77777777" w:rsidR="00FF2E5B" w:rsidRPr="00FF2E5B" w:rsidRDefault="00FF2E5B" w:rsidP="00E16697">
            <w:pPr>
              <w:rPr>
                <w:rFonts w:asciiTheme="minorHAnsi" w:hAnsiTheme="minorHAnsi"/>
              </w:rPr>
            </w:pPr>
            <w:r w:rsidRPr="00FF2E5B">
              <w:rPr>
                <w:rFonts w:asciiTheme="minorHAnsi" w:hAnsiTheme="minorHAnsi"/>
                <w:b/>
                <w:bCs/>
                <w:sz w:val="18"/>
                <w:szCs w:val="18"/>
              </w:rPr>
              <w:t>Incident timestamps / segments</w:t>
            </w:r>
          </w:p>
        </w:tc>
        <w:tc>
          <w:tcPr>
            <w:tcW w:w="2600" w:type="dxa"/>
            <w:tcMar>
              <w:top w:w="90" w:type="dxa"/>
              <w:left w:w="110" w:type="dxa"/>
              <w:bottom w:w="90" w:type="dxa"/>
              <w:right w:w="110" w:type="dxa"/>
            </w:tcMar>
            <w:vAlign w:val="center"/>
          </w:tcPr>
          <w:p w14:paraId="10A20B8F" w14:textId="77777777" w:rsidR="00FF2E5B" w:rsidRPr="00FF2E5B" w:rsidRDefault="00FF2E5B" w:rsidP="00E16697">
            <w:pPr>
              <w:rPr>
                <w:rFonts w:asciiTheme="minorHAnsi" w:hAnsiTheme="minorHAnsi"/>
              </w:rPr>
            </w:pPr>
            <w:r w:rsidRPr="00FF2E5B">
              <w:rPr>
                <w:rFonts w:asciiTheme="minorHAnsi" w:hAnsiTheme="minorHAnsi"/>
                <w:sz w:val="18"/>
                <w:szCs w:val="18"/>
              </w:rPr>
              <w:t>AI-assisted analysis panel, below Summary, shown as a row of clickable mono-type chips</w:t>
            </w:r>
          </w:p>
        </w:tc>
        <w:tc>
          <w:tcPr>
            <w:tcW w:w="4560" w:type="dxa"/>
            <w:tcMar>
              <w:top w:w="90" w:type="dxa"/>
              <w:left w:w="110" w:type="dxa"/>
              <w:bottom w:w="90" w:type="dxa"/>
              <w:right w:w="110" w:type="dxa"/>
            </w:tcMar>
            <w:vAlign w:val="center"/>
          </w:tcPr>
          <w:p w14:paraId="33A233D5" w14:textId="77777777" w:rsidR="00FF2E5B" w:rsidRPr="00FF2E5B" w:rsidRDefault="00FF2E5B" w:rsidP="00E16697">
            <w:pPr>
              <w:rPr>
                <w:rFonts w:asciiTheme="minorHAnsi" w:hAnsiTheme="minorHAnsi"/>
              </w:rPr>
            </w:pPr>
            <w:r w:rsidRPr="00FF2E5B">
              <w:rPr>
                <w:rFonts w:asciiTheme="minorHAnsi" w:hAnsiTheme="minorHAnsi"/>
                <w:sz w:val="18"/>
                <w:szCs w:val="18"/>
              </w:rPr>
              <w:t>Each chip represents one flagged moment; selecting it requests controlled viewing of that segment. When no timestamps are returned, show "No incident timestamps available" and a locked media placeholder. A separate manual-review/viewing pathway requires BA confirmation; do not reveal the full clip automatically or block explanation of the missing timestamps.</w:t>
            </w:r>
          </w:p>
        </w:tc>
      </w:tr>
      <w:tr w:rsidR="00FF2E5B" w:rsidRPr="00FF2E5B" w14:paraId="30D2968E" w14:textId="77777777" w:rsidTr="00E16697">
        <w:tc>
          <w:tcPr>
            <w:tcW w:w="2200" w:type="dxa"/>
            <w:tcMar>
              <w:top w:w="90" w:type="dxa"/>
              <w:left w:w="110" w:type="dxa"/>
              <w:bottom w:w="90" w:type="dxa"/>
              <w:right w:w="110" w:type="dxa"/>
            </w:tcMar>
            <w:vAlign w:val="center"/>
          </w:tcPr>
          <w:p w14:paraId="75A09D22" w14:textId="77777777" w:rsidR="00FF2E5B" w:rsidRPr="00FF2E5B" w:rsidRDefault="00FF2E5B" w:rsidP="00E16697">
            <w:pPr>
              <w:rPr>
                <w:rFonts w:asciiTheme="minorHAnsi" w:hAnsiTheme="minorHAnsi"/>
              </w:rPr>
            </w:pPr>
            <w:r w:rsidRPr="00FF2E5B">
              <w:rPr>
                <w:rFonts w:asciiTheme="minorHAnsi" w:hAnsiTheme="minorHAnsi"/>
                <w:b/>
                <w:bCs/>
                <w:sz w:val="18"/>
                <w:szCs w:val="18"/>
              </w:rPr>
              <w:lastRenderedPageBreak/>
              <w:t>Transcript</w:t>
            </w:r>
          </w:p>
        </w:tc>
        <w:tc>
          <w:tcPr>
            <w:tcW w:w="2600" w:type="dxa"/>
            <w:tcMar>
              <w:top w:w="90" w:type="dxa"/>
              <w:left w:w="110" w:type="dxa"/>
              <w:bottom w:w="90" w:type="dxa"/>
              <w:right w:w="110" w:type="dxa"/>
            </w:tcMar>
            <w:vAlign w:val="center"/>
          </w:tcPr>
          <w:p w14:paraId="2DB92A3F" w14:textId="77777777" w:rsidR="00FF2E5B" w:rsidRPr="00FF2E5B" w:rsidRDefault="00FF2E5B" w:rsidP="00E16697">
            <w:pPr>
              <w:rPr>
                <w:rFonts w:asciiTheme="minorHAnsi" w:hAnsiTheme="minorHAnsi"/>
              </w:rPr>
            </w:pPr>
            <w:r w:rsidRPr="00FF2E5B">
              <w:rPr>
                <w:rFonts w:asciiTheme="minorHAnsi" w:hAnsiTheme="minorHAnsi"/>
                <w:sz w:val="18"/>
                <w:szCs w:val="18"/>
              </w:rPr>
              <w:t>AI-assisted analysis panel, bottom, labelled “(direction only)”</w:t>
            </w:r>
          </w:p>
        </w:tc>
        <w:tc>
          <w:tcPr>
            <w:tcW w:w="4560" w:type="dxa"/>
            <w:tcMar>
              <w:top w:w="90" w:type="dxa"/>
              <w:left w:w="110" w:type="dxa"/>
              <w:bottom w:w="90" w:type="dxa"/>
              <w:right w:w="110" w:type="dxa"/>
            </w:tcMar>
            <w:vAlign w:val="center"/>
          </w:tcPr>
          <w:p w14:paraId="33968755" w14:textId="77777777" w:rsidR="00FF2E5B" w:rsidRPr="00FF2E5B" w:rsidRDefault="00FF2E5B" w:rsidP="00E16697">
            <w:pPr>
              <w:rPr>
                <w:rFonts w:asciiTheme="minorHAnsi" w:hAnsiTheme="minorHAnsi"/>
              </w:rPr>
            </w:pPr>
            <w:r w:rsidRPr="00FF2E5B">
              <w:rPr>
                <w:rFonts w:asciiTheme="minorHAnsi" w:hAnsiTheme="minorHAnsi"/>
                <w:sz w:val="18"/>
                <w:szCs w:val="18"/>
              </w:rPr>
              <w:t>Shows 1–2 illustrative lines only. Full transcript integration is not yet confirmed feasible (BA §10, Q5) — do not build full-transcript scrolling against this spec; treat as a placeholder pending confirmation.</w:t>
            </w:r>
          </w:p>
        </w:tc>
      </w:tr>
      <w:tr w:rsidR="00FF2E5B" w:rsidRPr="00FF2E5B" w14:paraId="32BE03F0" w14:textId="77777777" w:rsidTr="00E16697">
        <w:tc>
          <w:tcPr>
            <w:tcW w:w="2200" w:type="dxa"/>
            <w:tcMar>
              <w:top w:w="90" w:type="dxa"/>
              <w:left w:w="110" w:type="dxa"/>
              <w:bottom w:w="90" w:type="dxa"/>
              <w:right w:w="110" w:type="dxa"/>
            </w:tcMar>
            <w:vAlign w:val="center"/>
          </w:tcPr>
          <w:p w14:paraId="19E694CA" w14:textId="77777777" w:rsidR="00FF2E5B" w:rsidRPr="00FF2E5B" w:rsidRDefault="00FF2E5B" w:rsidP="00E16697">
            <w:pPr>
              <w:rPr>
                <w:rFonts w:asciiTheme="minorHAnsi" w:hAnsiTheme="minorHAnsi"/>
              </w:rPr>
            </w:pPr>
            <w:r w:rsidRPr="00FF2E5B">
              <w:rPr>
                <w:rFonts w:asciiTheme="minorHAnsi" w:hAnsiTheme="minorHAnsi"/>
                <w:b/>
                <w:bCs/>
                <w:sz w:val="18"/>
                <w:szCs w:val="18"/>
              </w:rPr>
              <w:t>Controlled media access</w:t>
            </w:r>
          </w:p>
        </w:tc>
        <w:tc>
          <w:tcPr>
            <w:tcW w:w="2600" w:type="dxa"/>
            <w:tcMar>
              <w:top w:w="90" w:type="dxa"/>
              <w:left w:w="110" w:type="dxa"/>
              <w:bottom w:w="90" w:type="dxa"/>
              <w:right w:w="110" w:type="dxa"/>
            </w:tcMar>
            <w:vAlign w:val="center"/>
          </w:tcPr>
          <w:p w14:paraId="3DE6BCA2" w14:textId="77777777" w:rsidR="00FF2E5B" w:rsidRPr="00FF2E5B" w:rsidRDefault="00FF2E5B" w:rsidP="00E16697">
            <w:pPr>
              <w:rPr>
                <w:rFonts w:asciiTheme="minorHAnsi" w:hAnsiTheme="minorHAnsi"/>
              </w:rPr>
            </w:pPr>
            <w:r w:rsidRPr="00FF2E5B">
              <w:rPr>
                <w:rFonts w:asciiTheme="minorHAnsi" w:hAnsiTheme="minorHAnsi"/>
                <w:sz w:val="18"/>
                <w:szCs w:val="18"/>
              </w:rPr>
              <w:t>Media viewer panel, right column</w:t>
            </w:r>
          </w:p>
        </w:tc>
        <w:tc>
          <w:tcPr>
            <w:tcW w:w="4560" w:type="dxa"/>
            <w:tcMar>
              <w:top w:w="90" w:type="dxa"/>
              <w:left w:w="110" w:type="dxa"/>
              <w:bottom w:w="90" w:type="dxa"/>
              <w:right w:w="110" w:type="dxa"/>
            </w:tcMar>
            <w:vAlign w:val="center"/>
          </w:tcPr>
          <w:p w14:paraId="57DF75FB" w14:textId="77777777" w:rsidR="00FF2E5B" w:rsidRPr="00FF2E5B" w:rsidRDefault="00FF2E5B" w:rsidP="00E16697">
            <w:pPr>
              <w:rPr>
                <w:rFonts w:asciiTheme="minorHAnsi" w:hAnsiTheme="minorHAnsi"/>
              </w:rPr>
            </w:pPr>
            <w:r w:rsidRPr="00FF2E5B">
              <w:rPr>
                <w:rFonts w:asciiTheme="minorHAnsi" w:hAnsiTheme="minorHAnsi"/>
                <w:sz w:val="18"/>
                <w:szCs w:val="18"/>
              </w:rPr>
              <w:t>Default state: locked/hidden; no video frame is rendered before intentional access. If valid timestamp chips exist, selecting one reveals only the chosen segment and increments the session "segments revealed" counter. If no timestamps exist, show a locked "No segments identified" state and identify manual media review as pending BA approval; no automatic full-media reveal. Confirm any extra exposure-tracking behaviour with BA before implementation.</w:t>
            </w:r>
          </w:p>
        </w:tc>
      </w:tr>
      <w:tr w:rsidR="00FF2E5B" w:rsidRPr="00FF2E5B" w14:paraId="2DDBF945" w14:textId="77777777" w:rsidTr="00E16697">
        <w:tc>
          <w:tcPr>
            <w:tcW w:w="2200" w:type="dxa"/>
            <w:tcMar>
              <w:top w:w="90" w:type="dxa"/>
              <w:left w:w="110" w:type="dxa"/>
              <w:bottom w:w="90" w:type="dxa"/>
              <w:right w:w="110" w:type="dxa"/>
            </w:tcMar>
            <w:vAlign w:val="center"/>
          </w:tcPr>
          <w:p w14:paraId="3EA9DB4A" w14:textId="77777777" w:rsidR="00FF2E5B" w:rsidRPr="00FF2E5B" w:rsidRDefault="00FF2E5B" w:rsidP="00E16697">
            <w:pPr>
              <w:rPr>
                <w:rFonts w:asciiTheme="minorHAnsi" w:hAnsiTheme="minorHAnsi"/>
              </w:rPr>
            </w:pPr>
            <w:r w:rsidRPr="00FF2E5B">
              <w:rPr>
                <w:rFonts w:asciiTheme="minorHAnsi" w:hAnsiTheme="minorHAnsi"/>
                <w:b/>
                <w:bCs/>
                <w:sz w:val="18"/>
                <w:szCs w:val="18"/>
              </w:rPr>
              <w:t>Final human decision</w:t>
            </w:r>
          </w:p>
        </w:tc>
        <w:tc>
          <w:tcPr>
            <w:tcW w:w="2600" w:type="dxa"/>
            <w:tcMar>
              <w:top w:w="90" w:type="dxa"/>
              <w:left w:w="110" w:type="dxa"/>
              <w:bottom w:w="90" w:type="dxa"/>
              <w:right w:w="110" w:type="dxa"/>
            </w:tcMar>
            <w:vAlign w:val="center"/>
          </w:tcPr>
          <w:p w14:paraId="154E7C34" w14:textId="77777777" w:rsidR="00FF2E5B" w:rsidRPr="00FF2E5B" w:rsidRDefault="00FF2E5B" w:rsidP="00E16697">
            <w:pPr>
              <w:rPr>
                <w:rFonts w:asciiTheme="minorHAnsi" w:hAnsiTheme="minorHAnsi"/>
              </w:rPr>
            </w:pPr>
            <w:r w:rsidRPr="00FF2E5B">
              <w:rPr>
                <w:rFonts w:asciiTheme="minorHAnsi" w:hAnsiTheme="minorHAnsi"/>
                <w:sz w:val="18"/>
                <w:szCs w:val="18"/>
              </w:rPr>
              <w:t>Decision bar, full width, bottom of screen</w:t>
            </w:r>
          </w:p>
        </w:tc>
        <w:tc>
          <w:tcPr>
            <w:tcW w:w="4560" w:type="dxa"/>
            <w:tcMar>
              <w:top w:w="90" w:type="dxa"/>
              <w:left w:w="110" w:type="dxa"/>
              <w:bottom w:w="90" w:type="dxa"/>
              <w:right w:w="110" w:type="dxa"/>
            </w:tcMar>
            <w:vAlign w:val="center"/>
          </w:tcPr>
          <w:p w14:paraId="7EFF93F4" w14:textId="77777777" w:rsidR="00FF2E5B" w:rsidRPr="00FF2E5B" w:rsidRDefault="00FF2E5B" w:rsidP="00E16697">
            <w:pPr>
              <w:rPr>
                <w:rFonts w:asciiTheme="minorHAnsi" w:hAnsiTheme="minorHAnsi"/>
              </w:rPr>
            </w:pPr>
            <w:r w:rsidRPr="00FF2E5B">
              <w:rPr>
                <w:rFonts w:asciiTheme="minorHAnsi" w:hAnsiTheme="minorHAnsi"/>
                <w:sz w:val="18"/>
                <w:szCs w:val="18"/>
              </w:rPr>
              <w:t>Illustrative controls: Approve and Reject are draft content-verdict labels, NOT approved business decision options (OD-03). Do not hard-code these labels, transitions or final-decision values until BA/client confirmation. Decline is a distinct escalation action, not a third content verdict: it triggers Manager notification and does not itself close the case. Keep the visible "Draft — pending client approval" notice in the mockup.</w:t>
            </w:r>
          </w:p>
        </w:tc>
      </w:tr>
      <w:tr w:rsidR="00FF2E5B" w:rsidRPr="00FF2E5B" w14:paraId="36918A0E" w14:textId="77777777" w:rsidTr="00E16697">
        <w:tc>
          <w:tcPr>
            <w:tcW w:w="2200" w:type="dxa"/>
            <w:tcMar>
              <w:top w:w="90" w:type="dxa"/>
              <w:left w:w="110" w:type="dxa"/>
              <w:bottom w:w="90" w:type="dxa"/>
              <w:right w:w="110" w:type="dxa"/>
            </w:tcMar>
            <w:vAlign w:val="center"/>
          </w:tcPr>
          <w:p w14:paraId="6AF688AE" w14:textId="77777777" w:rsidR="00FF2E5B" w:rsidRPr="00FF2E5B" w:rsidRDefault="00FF2E5B" w:rsidP="00E16697">
            <w:pPr>
              <w:rPr>
                <w:rFonts w:asciiTheme="minorHAnsi" w:hAnsiTheme="minorHAnsi"/>
              </w:rPr>
            </w:pPr>
            <w:r w:rsidRPr="00FF2E5B">
              <w:rPr>
                <w:rFonts w:asciiTheme="minorHAnsi" w:hAnsiTheme="minorHAnsi"/>
                <w:b/>
                <w:bCs/>
                <w:sz w:val="18"/>
                <w:szCs w:val="18"/>
              </w:rPr>
              <w:t>Confirmed Manager notification state</w:t>
            </w:r>
          </w:p>
        </w:tc>
        <w:tc>
          <w:tcPr>
            <w:tcW w:w="2600" w:type="dxa"/>
            <w:tcMar>
              <w:top w:w="90" w:type="dxa"/>
              <w:left w:w="110" w:type="dxa"/>
              <w:bottom w:w="90" w:type="dxa"/>
              <w:right w:w="110" w:type="dxa"/>
            </w:tcMar>
            <w:vAlign w:val="center"/>
          </w:tcPr>
          <w:p w14:paraId="0EE67965" w14:textId="77777777" w:rsidR="00FF2E5B" w:rsidRPr="00FF2E5B" w:rsidRDefault="00FF2E5B" w:rsidP="00E16697">
            <w:pPr>
              <w:rPr>
                <w:rFonts w:asciiTheme="minorHAnsi" w:hAnsiTheme="minorHAnsi"/>
              </w:rPr>
            </w:pPr>
            <w:r w:rsidRPr="00FF2E5B">
              <w:rPr>
                <w:rFonts w:asciiTheme="minorHAnsi" w:hAnsiTheme="minorHAnsi"/>
                <w:sz w:val="18"/>
                <w:szCs w:val="18"/>
              </w:rPr>
              <w:t>Triggered by Decline; surfaced as an on-screen toast/confirmation plus a corresponding entry appearing in Manager Overview's “Escalated / Declined Case Review” area</w:t>
            </w:r>
          </w:p>
        </w:tc>
        <w:tc>
          <w:tcPr>
            <w:tcW w:w="4560" w:type="dxa"/>
            <w:tcMar>
              <w:top w:w="90" w:type="dxa"/>
              <w:left w:w="110" w:type="dxa"/>
              <w:bottom w:w="90" w:type="dxa"/>
              <w:right w:w="110" w:type="dxa"/>
            </w:tcMar>
            <w:vAlign w:val="center"/>
          </w:tcPr>
          <w:p w14:paraId="3ACBC6AC" w14:textId="77777777" w:rsidR="00FF2E5B" w:rsidRPr="00FF2E5B" w:rsidRDefault="00FF2E5B" w:rsidP="00E16697">
            <w:pPr>
              <w:rPr>
                <w:rFonts w:asciiTheme="minorHAnsi" w:hAnsiTheme="minorHAnsi"/>
              </w:rPr>
            </w:pPr>
            <w:r w:rsidRPr="00FF2E5B">
              <w:rPr>
                <w:rFonts w:asciiTheme="minorHAnsi" w:hAnsiTheme="minorHAnsi"/>
                <w:sz w:val="18"/>
                <w:szCs w:val="18"/>
              </w:rPr>
              <w:t>On Decline, show immediate confirmation text: “Escalated to Manager — reassignment workflow still being defined (OD-06).” This confirms the notification fires; it does not imply the downstream reassignment logic is finalised.</w:t>
            </w:r>
          </w:p>
        </w:tc>
      </w:tr>
    </w:tbl>
    <w:p>
      <w:r>
        <w:t>Developer handoff — unresolved viewing and decision rules: The "Skip to raw media" control and no-timestamp manual-review fallback are draft design directions, not approved implementation rules. Until BA confirms a safe manual-review pathway, keep raw media hidden when no validated incident segments are available and provide an explanation of the unavailable timestamps. Approve/Reject are draft labels; Decline remains a separate Manager-escalation pathway. Do not implement unconfirmed bypass, final-verdict or exposure-threshold behaviour.</w:t>
      </w:r>
    </w:p>
    <w:p w14:paraId="0869FF33" w14:textId="77777777" w:rsidR="00FF2E5B" w:rsidRPr="00FF2E5B" w:rsidRDefault="00FF2E5B" w:rsidP="00FF2E5B">
      <w:pPr>
        <w:pStyle w:val="Heading1"/>
        <w:spacing w:before="320" w:after="140"/>
        <w:rPr>
          <w:rFonts w:asciiTheme="minorHAnsi" w:hAnsiTheme="minorHAnsi"/>
        </w:rPr>
      </w:pPr>
      <w:r w:rsidRPr="00FF2E5B">
        <w:rPr>
          <w:rFonts w:asciiTheme="minorHAnsi" w:hAnsiTheme="minorHAnsi"/>
        </w:rPr>
        <w:t>3. Processing / Loading State</w:t>
      </w:r>
    </w:p>
    <w:p w14:paraId="656FFF46" w14:textId="77777777" w:rsidR="00FF2E5B" w:rsidRPr="00FF2E5B" w:rsidRDefault="00FF2E5B" w:rsidP="00FF2E5B">
      <w:pPr>
        <w:spacing w:after="140"/>
        <w:rPr>
          <w:rFonts w:asciiTheme="minorHAnsi" w:hAnsiTheme="minorHAnsi"/>
        </w:rPr>
      </w:pPr>
      <w:r w:rsidRPr="00FF2E5B">
        <w:rPr>
          <w:rFonts w:asciiTheme="minorHAnsi" w:hAnsiTheme="minorHAnsi"/>
        </w:rPr>
        <w:t>Not present in the Sprint 1 prototype. Required because AI processing (FR-03) is a real backend step with non-zero duration; the Auditor needs a defined screen for the interval between requesting analysis and results being ready.</w:t>
      </w:r>
    </w:p>
    <w:p w14:paraId="14A0FFAB" w14:textId="77777777" w:rsidR="00FF2E5B" w:rsidRPr="00FF2E5B" w:rsidRDefault="00FF2E5B" w:rsidP="00FF2E5B">
      <w:pPr>
        <w:spacing w:after="60"/>
        <w:jc w:val="center"/>
        <w:rPr>
          <w:rFonts w:asciiTheme="minorHAnsi" w:hAnsiTheme="minorHAnsi"/>
        </w:rPr>
      </w:pPr>
      <w:r w:rsidRPr="00FF2E5B">
        <w:rPr>
          <w:rFonts w:asciiTheme="minorHAnsi" w:hAnsiTheme="minorHAnsi"/>
          <w:noProof/>
        </w:rPr>
        <w:drawing>
          <wp:inline distT="0" distB="0" distL="0" distR="0" wp14:anchorId="5D6836D2" wp14:editId="020C0842">
            <wp:extent cx="4386369" cy="2011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6369" cy="2011680"/>
                    </a:xfrm>
                    <a:prstGeom prst="rect">
                      <a:avLst/>
                    </a:prstGeom>
                  </pic:spPr>
                </pic:pic>
              </a:graphicData>
            </a:graphic>
          </wp:inline>
        </w:drawing>
      </w:r>
    </w:p>
    <w:p w14:paraId="7F7CF16C" w14:textId="77777777" w:rsidR="00FF2E5B" w:rsidRPr="00FF2E5B" w:rsidRDefault="00FF2E5B" w:rsidP="00FF2E5B">
      <w:pPr>
        <w:spacing w:after="260"/>
        <w:jc w:val="center"/>
        <w:rPr>
          <w:rFonts w:asciiTheme="minorHAnsi" w:hAnsiTheme="minorHAnsi"/>
        </w:rPr>
      </w:pPr>
      <w:r w:rsidRPr="00FF2E5B">
        <w:rPr>
          <w:rFonts w:asciiTheme="minorHAnsi" w:hAnsiTheme="minorHAnsi"/>
          <w:i/>
          <w:iCs/>
          <w:color w:val="555555"/>
          <w:sz w:val="18"/>
          <w:szCs w:val="18"/>
        </w:rPr>
        <w:t>Shown in place of the Analysis &amp; Decision content while AI processing is in progress. No media, no partial results, no decision bar.</w:t>
      </w:r>
    </w:p>
    <w:p w14:paraId="7746C62D" w14:textId="77777777" w:rsidR="00FF2E5B" w:rsidRPr="00FF2E5B" w:rsidRDefault="00FF2E5B" w:rsidP="00FF2E5B">
      <w:pPr>
        <w:pStyle w:val="ListParagraph"/>
        <w:numPr>
          <w:ilvl w:val="0"/>
          <w:numId w:val="1"/>
        </w:numPr>
        <w:spacing w:after="70"/>
        <w:ind w:left="0"/>
        <w:contextualSpacing w:val="0"/>
        <w:rPr>
          <w:rFonts w:asciiTheme="minorHAnsi" w:hAnsiTheme="minorHAnsi"/>
        </w:rPr>
      </w:pPr>
      <w:r w:rsidRPr="00FF2E5B">
        <w:rPr>
          <w:rFonts w:asciiTheme="minorHAnsi" w:hAnsiTheme="minorHAnsi"/>
          <w:b/>
          <w:bCs/>
        </w:rPr>
        <w:t>Trigger: The Auditor selects "Review AI analysis" on Case Preview before processing is complete. The draft "Skip to raw media" action must not reveal media or bypass analysis until BA confirms a controlled-viewing pathway.</w:t>
      </w:r>
      <w:r w:rsidRPr="00FF2E5B">
        <w:rPr>
          <w:rFonts w:asciiTheme="minorHAnsi" w:hAnsiTheme="minorHAnsi"/>
        </w:rPr>
        <w:t>Entry condition: Auditor selects “Review AI analysis” or “Skip to raw media” on Case Preview before AI processing has completed for that case.</w:t>
      </w:r>
    </w:p>
    <w:p w14:paraId="712D959F" w14:textId="77777777" w:rsidR="00FF2E5B" w:rsidRPr="00FF2E5B" w:rsidRDefault="00FF2E5B" w:rsidP="00FF2E5B">
      <w:pPr>
        <w:pStyle w:val="ListParagraph"/>
        <w:numPr>
          <w:ilvl w:val="0"/>
          <w:numId w:val="1"/>
        </w:numPr>
        <w:spacing w:after="70"/>
        <w:ind w:left="0"/>
        <w:contextualSpacing w:val="0"/>
        <w:rPr>
          <w:rFonts w:asciiTheme="minorHAnsi" w:hAnsiTheme="minorHAnsi"/>
        </w:rPr>
      </w:pPr>
      <w:r w:rsidRPr="00FF2E5B">
        <w:rPr>
          <w:rFonts w:asciiTheme="minorHAnsi" w:hAnsiTheme="minorHAnsi"/>
          <w:b/>
          <w:bCs/>
        </w:rPr>
        <w:lastRenderedPageBreak/>
        <w:t xml:space="preserve">Content: </w:t>
      </w:r>
      <w:r w:rsidRPr="00FF2E5B">
        <w:rPr>
          <w:rFonts w:asciiTheme="minorHAnsi" w:hAnsiTheme="minorHAnsi"/>
        </w:rPr>
        <w:t>A status badge, a short explanatory line, and a three-step progress indicator (Content received → AI analysis running → Ready for review). No raw media or partial AI output is shown at any point in this state, preserving the exposure-reduction principle even during the wait.</w:t>
      </w:r>
    </w:p>
    <w:p w14:paraId="7CD1D68A" w14:textId="77777777" w:rsidR="00FF2E5B" w:rsidRPr="00FF2E5B" w:rsidRDefault="00FF2E5B" w:rsidP="00FF2E5B">
      <w:pPr>
        <w:pStyle w:val="ListParagraph"/>
        <w:numPr>
          <w:ilvl w:val="0"/>
          <w:numId w:val="1"/>
        </w:numPr>
        <w:spacing w:after="70"/>
        <w:ind w:left="0"/>
        <w:contextualSpacing w:val="0"/>
        <w:rPr>
          <w:rFonts w:asciiTheme="minorHAnsi" w:hAnsiTheme="minorHAnsi"/>
        </w:rPr>
      </w:pPr>
      <w:r w:rsidRPr="00FF2E5B">
        <w:rPr>
          <w:rFonts w:asciiTheme="minorHAnsi" w:hAnsiTheme="minorHAnsi"/>
          <w:b/>
          <w:bCs/>
        </w:rPr>
        <w:t xml:space="preserve">Exit condition: </w:t>
      </w:r>
      <w:r w:rsidRPr="00FF2E5B">
        <w:rPr>
          <w:rFonts w:asciiTheme="minorHAnsi" w:hAnsiTheme="minorHAnsi"/>
        </w:rPr>
        <w:t>Automatically transitions to Analysis &amp; Decision (Section 2) once processing completes, or to the Error state (Section 4) if processing fails.</w:t>
      </w:r>
    </w:p>
    <w:p w14:paraId="19206DFC" w14:textId="77777777" w:rsidR="00FF2E5B" w:rsidRPr="00FF2E5B" w:rsidRDefault="00FF2E5B" w:rsidP="00FF2E5B">
      <w:pPr>
        <w:pStyle w:val="Heading1"/>
        <w:spacing w:before="320" w:after="140"/>
        <w:rPr>
          <w:rFonts w:asciiTheme="minorHAnsi" w:hAnsiTheme="minorHAnsi"/>
        </w:rPr>
      </w:pPr>
      <w:r w:rsidRPr="00FF2E5B">
        <w:rPr>
          <w:rFonts w:asciiTheme="minorHAnsi" w:hAnsiTheme="minorHAnsi"/>
        </w:rPr>
        <w:t>4. Error / Failed Analysis State</w:t>
      </w:r>
    </w:p>
    <w:p w14:paraId="0C282E26" w14:textId="77777777" w:rsidR="00FF2E5B" w:rsidRPr="00FF2E5B" w:rsidRDefault="00FF2E5B" w:rsidP="00FF2E5B">
      <w:pPr>
        <w:spacing w:after="140"/>
        <w:rPr>
          <w:rFonts w:asciiTheme="minorHAnsi" w:hAnsiTheme="minorHAnsi"/>
        </w:rPr>
      </w:pPr>
      <w:r w:rsidRPr="00FF2E5B">
        <w:rPr>
          <w:rFonts w:asciiTheme="minorHAnsi" w:hAnsiTheme="minorHAnsi"/>
        </w:rPr>
        <w:t>Not present in the Sprint 1 prototype. Required because FR-03's acceptance criteria implies a successful path only; a failure path must be defined rather than left undefined for Developers to guess at.</w:t>
      </w:r>
    </w:p>
    <w:p w14:paraId="7C7F13DC" w14:textId="77777777" w:rsidR="00FF2E5B" w:rsidRPr="00FF2E5B" w:rsidRDefault="00FF2E5B" w:rsidP="00FF2E5B">
      <w:pPr>
        <w:spacing w:after="60"/>
        <w:jc w:val="center"/>
        <w:rPr>
          <w:rFonts w:asciiTheme="minorHAnsi" w:hAnsiTheme="minorHAnsi"/>
        </w:rPr>
      </w:pPr>
      <w:r w:rsidRPr="00FF2E5B">
        <w:rPr>
          <w:rFonts w:asciiTheme="minorHAnsi" w:hAnsiTheme="minorHAnsi"/>
          <w:noProof/>
        </w:rPr>
        <w:drawing>
          <wp:inline distT="0" distB="0" distL="0" distR="0" wp14:anchorId="22A58A05" wp14:editId="43ACA494">
            <wp:extent cx="4386369" cy="2011680"/>
            <wp:effectExtent l="0" t="0" r="0" b="0"/>
            <wp:docPr id="1304101530" name="Picture 1304101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6369" cy="2011680"/>
                    </a:xfrm>
                    <a:prstGeom prst="rect">
                      <a:avLst/>
                    </a:prstGeom>
                  </pic:spPr>
                </pic:pic>
              </a:graphicData>
            </a:graphic>
          </wp:inline>
        </w:drawing>
      </w:r>
    </w:p>
    <w:p w14:paraId="3229D7A2" w14:textId="77777777" w:rsidR="00FF2E5B" w:rsidRPr="00FF2E5B" w:rsidRDefault="00FF2E5B" w:rsidP="00FF2E5B">
      <w:pPr>
        <w:spacing w:after="260"/>
        <w:jc w:val="center"/>
        <w:rPr>
          <w:rFonts w:asciiTheme="minorHAnsi" w:hAnsiTheme="minorHAnsi"/>
        </w:rPr>
      </w:pPr>
      <w:r w:rsidRPr="00FF2E5B">
        <w:rPr>
          <w:rFonts w:asciiTheme="minorHAnsi" w:hAnsiTheme="minorHAnsi"/>
          <w:i/>
          <w:iCs/>
          <w:color w:val="555555"/>
          <w:sz w:val="18"/>
          <w:szCs w:val="18"/>
        </w:rPr>
        <w:t>Shown when AI processing fails for a case. No auto-escalation logic is specified — see note below.</w:t>
      </w:r>
    </w:p>
    <w:p w14:paraId="0A422D4F" w14:textId="77777777" w:rsidR="00FF2E5B" w:rsidRPr="00FF2E5B" w:rsidRDefault="00FF2E5B" w:rsidP="00FF2E5B">
      <w:pPr>
        <w:pStyle w:val="ListParagraph"/>
        <w:numPr>
          <w:ilvl w:val="0"/>
          <w:numId w:val="1"/>
        </w:numPr>
        <w:spacing w:after="70"/>
        <w:ind w:left="0"/>
        <w:contextualSpacing w:val="0"/>
        <w:rPr>
          <w:rFonts w:asciiTheme="minorHAnsi" w:hAnsiTheme="minorHAnsi"/>
        </w:rPr>
      </w:pPr>
      <w:r w:rsidRPr="00FF2E5B">
        <w:rPr>
          <w:rFonts w:asciiTheme="minorHAnsi" w:hAnsiTheme="minorHAnsi"/>
          <w:b/>
          <w:bCs/>
        </w:rPr>
        <w:t xml:space="preserve">Trigger: </w:t>
      </w:r>
      <w:r w:rsidRPr="00FF2E5B">
        <w:rPr>
          <w:rFonts w:asciiTheme="minorHAnsi" w:hAnsiTheme="minorHAnsi"/>
        </w:rPr>
        <w:t>AI processing does not complete successfully (timeout, unsupported file, or processing error).</w:t>
      </w:r>
    </w:p>
    <w:p w14:paraId="27D0DFCE" w14:textId="77777777" w:rsidR="00FF2E5B" w:rsidRPr="00FF2E5B" w:rsidRDefault="00FF2E5B" w:rsidP="00FF2E5B">
      <w:pPr>
        <w:pStyle w:val="ListParagraph"/>
        <w:numPr>
          <w:ilvl w:val="0"/>
          <w:numId w:val="1"/>
        </w:numPr>
        <w:spacing w:after="70"/>
        <w:ind w:left="0"/>
        <w:contextualSpacing w:val="0"/>
        <w:rPr>
          <w:rFonts w:asciiTheme="minorHAnsi" w:hAnsiTheme="minorHAnsi"/>
        </w:rPr>
      </w:pPr>
      <w:r w:rsidRPr="00FF2E5B">
        <w:rPr>
          <w:rFonts w:asciiTheme="minorHAnsi" w:hAnsiTheme="minorHAnsi"/>
          <w:b/>
          <w:bCs/>
        </w:rPr>
        <w:t xml:space="preserve">Content: </w:t>
      </w:r>
      <w:r w:rsidRPr="00FF2E5B">
        <w:rPr>
          <w:rFonts w:asciiTheme="minorHAnsi" w:hAnsiTheme="minorHAnsi"/>
        </w:rPr>
        <w:t>Error icon, plain-language explanation, a technical detail line (case ID, error code, timestamp) for support/debugging, and two actions: “Retry analysis” (primary) and “Return to queue” (outline).</w:t>
      </w:r>
    </w:p>
    <w:p w14:paraId="1326ACD8" w14:textId="77777777" w:rsidR="00FF2E5B" w:rsidRPr="00FF2E5B" w:rsidRDefault="00FF2E5B" w:rsidP="00FF2E5B">
      <w:pPr>
        <w:pStyle w:val="ListParagraph"/>
        <w:numPr>
          <w:ilvl w:val="0"/>
          <w:numId w:val="1"/>
        </w:numPr>
        <w:spacing w:after="70"/>
        <w:ind w:left="0"/>
        <w:contextualSpacing w:val="0"/>
        <w:rPr>
          <w:rFonts w:asciiTheme="minorHAnsi" w:hAnsiTheme="minorHAnsi"/>
        </w:rPr>
      </w:pPr>
      <w:r w:rsidRPr="00FF2E5B">
        <w:rPr>
          <w:rFonts w:asciiTheme="minorHAnsi" w:hAnsiTheme="minorHAnsi"/>
          <w:b/>
          <w:bCs/>
        </w:rPr>
        <w:t xml:space="preserve">Scope note: </w:t>
      </w:r>
      <w:r w:rsidRPr="00FF2E5B">
        <w:rPr>
          <w:rFonts w:asciiTheme="minorHAnsi" w:hAnsiTheme="minorHAnsi"/>
        </w:rPr>
        <w:t>This spec deliberately does NOT define an automatic escalation-to-Manager rule on repeated failure. The note text suggests the Auditor contact their Manager manually if retries keep failing, but no business rule automating that is confirmed anywhere in the BA documents. Do not implement auto-escalation on failure without BA sign-off.</w:t>
      </w:r>
    </w:p>
    <w:p>
      <w:r>
        <w:t>Scope clarification: This Week 1 artifact is an implementation-ready UX handoff. It does not claim that the Manager oversight, wellbeing controls, manual raw-media fallback or other end-to-end features are already implemented or that unconfirmed business rules have been approved.</w:t>
      </w:r>
    </w:p>
    <w:p w14:paraId="4DC18720" w14:textId="77777777" w:rsidR="00FF2E5B" w:rsidRPr="00FF2E5B" w:rsidRDefault="00FF2E5B" w:rsidP="00FF2E5B">
      <w:pPr>
        <w:pStyle w:val="Heading1"/>
        <w:spacing w:before="320" w:after="140"/>
        <w:rPr>
          <w:rFonts w:asciiTheme="minorHAnsi" w:hAnsiTheme="minorHAnsi"/>
        </w:rPr>
      </w:pPr>
      <w:r w:rsidRPr="00FF2E5B">
        <w:rPr>
          <w:rFonts w:asciiTheme="minorHAnsi" w:hAnsiTheme="minorHAnsi"/>
        </w:rPr>
        <w:t>5. Manager Overview — Minimum Oversight States Required</w:t>
      </w:r>
    </w:p>
    <w:p w14:paraId="1469BA5C" w14:textId="77777777" w:rsidR="00FF2E5B" w:rsidRPr="00FF2E5B" w:rsidRDefault="00FF2E5B" w:rsidP="00FF2E5B">
      <w:pPr>
        <w:spacing w:after="140"/>
        <w:rPr>
          <w:rFonts w:asciiTheme="minorHAnsi" w:hAnsiTheme="minorHAnsi"/>
        </w:rPr>
      </w:pPr>
      <w:r w:rsidRPr="00FF2E5B">
        <w:rPr>
          <w:rFonts w:asciiTheme="minorHAnsi" w:hAnsiTheme="minorHAnsi"/>
        </w:rPr>
        <w:t>Per the Core MVP baseline, Manager oversight is a confirmed requirement (FR-12, FR-13) with exact permissions still open (OD-11). The minimum states required for Sprint 2 build are:</w:t>
      </w:r>
    </w:p>
    <w:p w14:paraId="371F05D5" w14:textId="77777777" w:rsidR="00FF2E5B" w:rsidRPr="00FF2E5B" w:rsidRDefault="00FF2E5B" w:rsidP="00FF2E5B">
      <w:pPr>
        <w:pStyle w:val="ListParagraph"/>
        <w:numPr>
          <w:ilvl w:val="0"/>
          <w:numId w:val="1"/>
        </w:numPr>
        <w:spacing w:after="70"/>
        <w:ind w:left="0"/>
        <w:contextualSpacing w:val="0"/>
        <w:rPr>
          <w:rFonts w:asciiTheme="minorHAnsi" w:hAnsiTheme="minorHAnsi"/>
        </w:rPr>
      </w:pPr>
      <w:r w:rsidRPr="00FF2E5B">
        <w:rPr>
          <w:rFonts w:asciiTheme="minorHAnsi" w:hAnsiTheme="minorHAnsi"/>
          <w:b/>
          <w:bCs/>
        </w:rPr>
        <w:t xml:space="preserve">Case oversight: </w:t>
      </w:r>
      <w:r w:rsidRPr="00FF2E5B">
        <w:rPr>
          <w:rFonts w:asciiTheme="minorHAnsi" w:hAnsiTheme="minorHAnsi"/>
        </w:rPr>
        <w:t>Per-Auditor caseload, severity mix, and exposure minutes — already specified in the Sprint 1 prototype (Auditor workload table).</w:t>
      </w:r>
    </w:p>
    <w:p w14:paraId="3C2F8EE0" w14:textId="77777777" w:rsidR="00FF2E5B" w:rsidRPr="00FF2E5B" w:rsidRDefault="00FF2E5B" w:rsidP="00FF2E5B">
      <w:pPr>
        <w:pStyle w:val="ListParagraph"/>
        <w:numPr>
          <w:ilvl w:val="0"/>
          <w:numId w:val="1"/>
        </w:numPr>
        <w:spacing w:after="70"/>
        <w:ind w:left="0"/>
        <w:contextualSpacing w:val="0"/>
        <w:rPr>
          <w:rFonts w:asciiTheme="minorHAnsi" w:hAnsiTheme="minorHAnsi"/>
        </w:rPr>
      </w:pPr>
      <w:r w:rsidRPr="00FF2E5B">
        <w:rPr>
          <w:rFonts w:asciiTheme="minorHAnsi" w:hAnsiTheme="minorHAnsi"/>
          <w:b/>
          <w:bCs/>
        </w:rPr>
        <w:t>Exposure visibility: Indicative flagged-row design for Auditors approaching a wellbeing threshold. This is a design direction only (OD-07); no specific threshold, flag trigger or automatic alert is approved for implementation.</w:t>
      </w:r>
      <w:r w:rsidRPr="00FF2E5B">
        <w:rPr>
          <w:rFonts w:asciiTheme="minorHAnsi" w:hAnsiTheme="minorHAnsi"/>
        </w:rPr>
        <w:t>Flagged rows for Auditors approaching a wellbeing threshold — exact threshold value open (OD-07).</w:t>
      </w:r>
    </w:p>
    <w:p w14:paraId="078900B1" w14:textId="77777777" w:rsidR="00FF2E5B" w:rsidRPr="00FF2E5B" w:rsidRDefault="00FF2E5B" w:rsidP="00FF2E5B">
      <w:pPr>
        <w:pStyle w:val="ListParagraph"/>
        <w:numPr>
          <w:ilvl w:val="0"/>
          <w:numId w:val="1"/>
        </w:numPr>
        <w:spacing w:after="70"/>
        <w:ind w:left="0"/>
        <w:contextualSpacing w:val="0"/>
        <w:rPr>
          <w:rFonts w:asciiTheme="minorHAnsi" w:hAnsiTheme="minorHAnsi"/>
        </w:rPr>
      </w:pPr>
      <w:r w:rsidRPr="00FF2E5B">
        <w:rPr>
          <w:rFonts w:asciiTheme="minorHAnsi" w:hAnsiTheme="minorHAnsi"/>
          <w:b/>
          <w:bCs/>
        </w:rPr>
        <w:t xml:space="preserve">Escalated case entry point: </w:t>
      </w:r>
      <w:r w:rsidRPr="00FF2E5B">
        <w:rPr>
          <w:rFonts w:asciiTheme="minorHAnsi" w:hAnsiTheme="minorHAnsi"/>
        </w:rPr>
        <w:t>A visible destination for cases routed via Decline (Section 2) — required so the “confirmed Manager notification” checklist item has somewhere to land, even before the full reassignment workflow (OD-06) is defined.</w:t>
      </w:r>
    </w:p>
    <w:p w14:paraId="2DEC4D8F" w14:textId="77777777" w:rsidR="00FF2E5B" w:rsidRPr="00FF2E5B" w:rsidRDefault="00FF2E5B" w:rsidP="00FF2E5B">
      <w:pPr>
        <w:pStyle w:val="ListParagraph"/>
        <w:numPr>
          <w:ilvl w:val="0"/>
          <w:numId w:val="1"/>
        </w:numPr>
        <w:spacing w:after="70"/>
        <w:ind w:left="0"/>
        <w:contextualSpacing w:val="0"/>
        <w:rPr>
          <w:rFonts w:asciiTheme="minorHAnsi" w:hAnsiTheme="minorHAnsi"/>
        </w:rPr>
      </w:pPr>
      <w:r w:rsidRPr="00FF2E5B">
        <w:rPr>
          <w:rFonts w:asciiTheme="minorHAnsi" w:hAnsiTheme="minorHAnsi"/>
          <w:b/>
          <w:bCs/>
        </w:rPr>
        <w:t>Wellbeing actions: Illustrative cooldown/SOS controls from the Sprint 1 prototype. Exact triggers, durations and activation behaviour remain TBC (OD-08, OD-09) and must not be hard-coded as approved rules.</w:t>
      </w:r>
      <w:r w:rsidRPr="00FF2E5B">
        <w:rPr>
          <w:rFonts w:asciiTheme="minorHAnsi" w:hAnsiTheme="minorHAnsi"/>
        </w:rPr>
        <w:t>Cooldown/SOS controls shown as confirmed capabilities with thresholds marked open (OD-08, OD-09) — already specified in the Sprint 1 prototype.</w:t>
      </w:r>
    </w:p>
    <w:p w14:paraId="506BB98C" w14:textId="77777777" w:rsidR="009C5C13" w:rsidRPr="00FF2E5B" w:rsidRDefault="009C5C13">
      <w:pPr>
        <w:rPr>
          <w:rFonts w:asciiTheme="minorHAnsi" w:hAnsiTheme="minorHAnsi"/>
        </w:rPr>
      </w:pPr>
    </w:p>
    <w:sectPr w:rsidR="009C5C13" w:rsidRPr="00FF2E5B" w:rsidSect="00FF2E5B">
      <w:footerReference w:type="even" r:id="rId9"/>
      <w:footerReference w:type="default" r:id="rId1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06D94A" w14:textId="77777777" w:rsidR="007057A1" w:rsidRDefault="007057A1" w:rsidP="00FF2E5B">
      <w:r>
        <w:separator/>
      </w:r>
    </w:p>
  </w:endnote>
  <w:endnote w:type="continuationSeparator" w:id="0">
    <w:p w14:paraId="75EAE911" w14:textId="77777777" w:rsidR="007057A1" w:rsidRDefault="007057A1" w:rsidP="00FF2E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52349195"/>
      <w:docPartObj>
        <w:docPartGallery w:val="Page Numbers (Bottom of Page)"/>
        <w:docPartUnique/>
      </w:docPartObj>
    </w:sdtPr>
    <w:sdtContent>
      <w:p w14:paraId="41BCCD78" w14:textId="7E0038EC" w:rsidR="00FF2E5B" w:rsidRDefault="00FF2E5B" w:rsidP="00801FD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9B2F70F" w14:textId="77777777" w:rsidR="00FF2E5B" w:rsidRDefault="00FF2E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92014360"/>
      <w:docPartObj>
        <w:docPartGallery w:val="Page Numbers (Bottom of Page)"/>
        <w:docPartUnique/>
      </w:docPartObj>
    </w:sdtPr>
    <w:sdtContent>
      <w:p w14:paraId="40778553" w14:textId="2D2A670D" w:rsidR="00FF2E5B" w:rsidRDefault="00FF2E5B" w:rsidP="00801FD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539860C0" w14:textId="17C47AA6" w:rsidR="00FF2E5B" w:rsidRPr="00FF2E5B" w:rsidRDefault="00FF2E5B" w:rsidP="00FF2E5B">
    <w:pPr>
      <w:pStyle w:val="Footer"/>
      <w:rPr>
        <w:rFonts w:asciiTheme="minorHAnsi" w:hAnsiTheme="minorHAnsi"/>
      </w:rPr>
    </w:pPr>
    <w:r w:rsidRPr="00FF2E5B">
      <w:rPr>
        <w:rFonts w:asciiTheme="minorHAnsi" w:hAnsiTheme="minorHAnsi"/>
      </w:rPr>
      <w:t>Harneet</w:t>
    </w:r>
    <w:r w:rsidRPr="00FF2E5B">
      <w:rPr>
        <w:rFonts w:asciiTheme="minorHAnsi" w:hAnsiTheme="minorHAnsi"/>
      </w:rPr>
      <w:ptab w:relativeTo="margin" w:alignment="center" w:leader="none"/>
    </w:r>
    <w:r w:rsidRPr="00FF2E5B">
      <w:rPr>
        <w:rFonts w:asciiTheme="minorHAnsi" w:hAnsiTheme="minorHAnsi"/>
      </w:rPr>
      <w:ptab w:relativeTo="margin" w:alignment="right" w:leader="none"/>
    </w:r>
    <w:r w:rsidRPr="00FF2E5B">
      <w:rPr>
        <w:rFonts w:asciiTheme="minorHAnsi" w:hAnsiTheme="minorHAnsi"/>
      </w:rPr>
      <w:t>s4059119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59DA61" w14:textId="77777777" w:rsidR="007057A1" w:rsidRDefault="007057A1" w:rsidP="00FF2E5B">
      <w:r>
        <w:separator/>
      </w:r>
    </w:p>
  </w:footnote>
  <w:footnote w:type="continuationSeparator" w:id="0">
    <w:p w14:paraId="02357ACB" w14:textId="77777777" w:rsidR="007057A1" w:rsidRDefault="007057A1" w:rsidP="00FF2E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1F7966"/>
    <w:multiLevelType w:val="hybridMultilevel"/>
    <w:tmpl w:val="46741F14"/>
    <w:lvl w:ilvl="0" w:tplc="986E464E">
      <w:start w:val="1"/>
      <w:numFmt w:val="bullet"/>
      <w:lvlText w:val="•"/>
      <w:lvlJc w:val="left"/>
    </w:lvl>
    <w:lvl w:ilvl="1" w:tplc="9BA0DA1C">
      <w:numFmt w:val="decimal"/>
      <w:lvlText w:val=""/>
      <w:lvlJc w:val="left"/>
    </w:lvl>
    <w:lvl w:ilvl="2" w:tplc="E12852A8">
      <w:numFmt w:val="decimal"/>
      <w:lvlText w:val=""/>
      <w:lvlJc w:val="left"/>
    </w:lvl>
    <w:lvl w:ilvl="3" w:tplc="6E529D14">
      <w:numFmt w:val="decimal"/>
      <w:lvlText w:val=""/>
      <w:lvlJc w:val="left"/>
    </w:lvl>
    <w:lvl w:ilvl="4" w:tplc="8D1A979A">
      <w:numFmt w:val="decimal"/>
      <w:lvlText w:val=""/>
      <w:lvlJc w:val="left"/>
    </w:lvl>
    <w:lvl w:ilvl="5" w:tplc="86C0D5BC">
      <w:numFmt w:val="decimal"/>
      <w:lvlText w:val=""/>
      <w:lvlJc w:val="left"/>
    </w:lvl>
    <w:lvl w:ilvl="6" w:tplc="4FA6FC94">
      <w:numFmt w:val="decimal"/>
      <w:lvlText w:val=""/>
      <w:lvlJc w:val="left"/>
    </w:lvl>
    <w:lvl w:ilvl="7" w:tplc="6DFCF308">
      <w:numFmt w:val="decimal"/>
      <w:lvlText w:val=""/>
      <w:lvlJc w:val="left"/>
    </w:lvl>
    <w:lvl w:ilvl="8" w:tplc="02A6023E">
      <w:numFmt w:val="decimal"/>
      <w:lvlText w:val=""/>
      <w:lvlJc w:val="left"/>
    </w:lvl>
  </w:abstractNum>
  <w:num w:numId="1" w16cid:durableId="14347671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E5B"/>
    <w:rsid w:val="00017AFC"/>
    <w:rsid w:val="004A76AA"/>
    <w:rsid w:val="006D391C"/>
    <w:rsid w:val="007057A1"/>
    <w:rsid w:val="009C5C13"/>
    <w:rsid w:val="00A46F0E"/>
    <w:rsid w:val="00CB63E1"/>
    <w:rsid w:val="00FC6CEC"/>
    <w:rsid w:val="00FF2E5B"/>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719540EA"/>
  <w15:chartTrackingRefBased/>
  <w15:docId w15:val="{9FDEA046-B699-F146-BF52-EFA6B8FC8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E5B"/>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FF2E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2E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2E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E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E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E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E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E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E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E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2E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2E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E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E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E5B"/>
    <w:rPr>
      <w:rFonts w:eastAsiaTheme="majorEastAsia" w:cstheme="majorBidi"/>
      <w:color w:val="272727" w:themeColor="text1" w:themeTint="D8"/>
    </w:rPr>
  </w:style>
  <w:style w:type="paragraph" w:styleId="Title">
    <w:name w:val="Title"/>
    <w:basedOn w:val="Normal"/>
    <w:next w:val="Normal"/>
    <w:link w:val="TitleChar"/>
    <w:uiPriority w:val="10"/>
    <w:qFormat/>
    <w:rsid w:val="00FF2E5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E5B"/>
    <w:pPr>
      <w:spacing w:before="160"/>
      <w:jc w:val="center"/>
    </w:pPr>
    <w:rPr>
      <w:i/>
      <w:iCs/>
      <w:color w:val="404040" w:themeColor="text1" w:themeTint="BF"/>
    </w:rPr>
  </w:style>
  <w:style w:type="character" w:customStyle="1" w:styleId="QuoteChar">
    <w:name w:val="Quote Char"/>
    <w:basedOn w:val="DefaultParagraphFont"/>
    <w:link w:val="Quote"/>
    <w:uiPriority w:val="29"/>
    <w:rsid w:val="00FF2E5B"/>
    <w:rPr>
      <w:i/>
      <w:iCs/>
      <w:color w:val="404040" w:themeColor="text1" w:themeTint="BF"/>
    </w:rPr>
  </w:style>
  <w:style w:type="paragraph" w:styleId="ListParagraph">
    <w:name w:val="List Paragraph"/>
    <w:basedOn w:val="Normal"/>
    <w:qFormat/>
    <w:rsid w:val="00FF2E5B"/>
    <w:pPr>
      <w:ind w:left="720"/>
      <w:contextualSpacing/>
    </w:pPr>
  </w:style>
  <w:style w:type="character" w:styleId="IntenseEmphasis">
    <w:name w:val="Intense Emphasis"/>
    <w:basedOn w:val="DefaultParagraphFont"/>
    <w:uiPriority w:val="21"/>
    <w:qFormat/>
    <w:rsid w:val="00FF2E5B"/>
    <w:rPr>
      <w:i/>
      <w:iCs/>
      <w:color w:val="0F4761" w:themeColor="accent1" w:themeShade="BF"/>
    </w:rPr>
  </w:style>
  <w:style w:type="paragraph" w:styleId="IntenseQuote">
    <w:name w:val="Intense Quote"/>
    <w:basedOn w:val="Normal"/>
    <w:next w:val="Normal"/>
    <w:link w:val="IntenseQuoteChar"/>
    <w:uiPriority w:val="30"/>
    <w:qFormat/>
    <w:rsid w:val="00FF2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E5B"/>
    <w:rPr>
      <w:i/>
      <w:iCs/>
      <w:color w:val="0F4761" w:themeColor="accent1" w:themeShade="BF"/>
    </w:rPr>
  </w:style>
  <w:style w:type="character" w:styleId="IntenseReference">
    <w:name w:val="Intense Reference"/>
    <w:basedOn w:val="DefaultParagraphFont"/>
    <w:uiPriority w:val="32"/>
    <w:qFormat/>
    <w:rsid w:val="00FF2E5B"/>
    <w:rPr>
      <w:b/>
      <w:bCs/>
      <w:smallCaps/>
      <w:color w:val="0F4761" w:themeColor="accent1" w:themeShade="BF"/>
      <w:spacing w:val="5"/>
    </w:rPr>
  </w:style>
  <w:style w:type="paragraph" w:styleId="Header">
    <w:name w:val="header"/>
    <w:basedOn w:val="Normal"/>
    <w:link w:val="HeaderChar"/>
    <w:uiPriority w:val="99"/>
    <w:unhideWhenUsed/>
    <w:rsid w:val="00FF2E5B"/>
    <w:pPr>
      <w:tabs>
        <w:tab w:val="center" w:pos="4680"/>
        <w:tab w:val="right" w:pos="9360"/>
      </w:tabs>
    </w:pPr>
  </w:style>
  <w:style w:type="character" w:customStyle="1" w:styleId="HeaderChar">
    <w:name w:val="Header Char"/>
    <w:basedOn w:val="DefaultParagraphFont"/>
    <w:link w:val="Header"/>
    <w:uiPriority w:val="99"/>
    <w:rsid w:val="00FF2E5B"/>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FF2E5B"/>
    <w:pPr>
      <w:tabs>
        <w:tab w:val="center" w:pos="4680"/>
        <w:tab w:val="right" w:pos="9360"/>
      </w:tabs>
    </w:pPr>
  </w:style>
  <w:style w:type="character" w:customStyle="1" w:styleId="FooterChar">
    <w:name w:val="Footer Char"/>
    <w:basedOn w:val="DefaultParagraphFont"/>
    <w:link w:val="Footer"/>
    <w:uiPriority w:val="99"/>
    <w:rsid w:val="00FF2E5B"/>
    <w:rPr>
      <w:rFonts w:ascii="Times New Roman" w:eastAsia="Times New Roman" w:hAnsi="Times New Roman" w:cs="Times New Roman"/>
      <w:kern w:val="0"/>
      <w:sz w:val="20"/>
      <w:szCs w:val="20"/>
      <w14:ligatures w14:val="none"/>
    </w:rPr>
  </w:style>
  <w:style w:type="character" w:styleId="PageNumber">
    <w:name w:val="page number"/>
    <w:basedOn w:val="DefaultParagraphFont"/>
    <w:uiPriority w:val="99"/>
    <w:semiHidden/>
    <w:unhideWhenUsed/>
    <w:rsid w:val="00FF2E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daa77bc-0157-46a4-82a6-8fc765694bc9}" enabled="1" method="Privilege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961</Words>
  <Characters>5605</Characters>
  <Application>Microsoft Office Word</Application>
  <DocSecurity>0</DocSecurity>
  <Lines>154</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Harneet Kaur</dc:creator>
  <cp:keywords/>
  <dc:description/>
  <cp:lastModifiedBy>Harneet Kaur</cp:lastModifiedBy>
  <cp:revision>3</cp:revision>
  <dcterms:created xsi:type="dcterms:W3CDTF">2026-09-20T10:58:00Z</dcterms:created>
  <dcterms:modified xsi:type="dcterms:W3CDTF">2026-09-20T11:02:00Z</dcterms:modified>
  <cp:category/>
</cp:coreProperties>
</file>