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PART 1</w:t>
      </w:r>
    </w:p>
    <w:p>
      <w:pPr>
        <w:pStyle w:val="Heading2"/>
      </w:pPr>
      <w:r>
        <w:t>Purpose + Audience</w:t>
      </w:r>
    </w:p>
    <w:p>
      <w:r>
        <w:t>Mental Workload (MWL) is widely used in Human-Computer Interaction (HCI) to evaluate how mentally demanding an interaction is for a user. However, the concept is not defined consistently across disciplines, and NASA-TLX has become the de facto standard despite continuing theoretical and methodological concerns. Babaei et al. (2025) therefore ask three broad questions: what is MWL, how should it be measured, and are current MWL measures valid for HCI? Their contribution combines a theoretical review, a systematic review of 75 CHI papers, and a validation experiment comparing NASA-TLX/R-TLX with the Multiple Resources Questionnaire (MRQ). The main audience is HCI researchers and practitioners who use workload measures to evaluate digital systems and need their measurement approach to match their theoretical purpose.</w:t>
      </w:r>
    </w:p>
    <w:p>
      <w:pPr>
        <w:pStyle w:val="Heading2"/>
      </w:pPr>
      <w:r>
        <w:t>Main Challenges</w:t>
      </w:r>
    </w:p>
    <w:p>
      <w:r>
        <w:t>The first challenge is conceptual ambiguity. MWL has been defined from task-centred, operator-centred, and performance-centred perspectives, and there is still debate over whether it should be treated as a hypothetical construct or an intervening variable. It is also unclear whether MWL should be represented as one overall score or as multiple cognitive resources. This lack of a shared definition makes results difficult to compare across studies (Babaei et al., 2025).</w:t>
      </w:r>
    </w:p>
    <w:p>
      <w:r>
        <w:t>The second challenge is how NASA-TLX is used in practice. The review found that researchers sometimes used NASA-TLX for different constructs, modified its subscales or scoring, or used it without clearly justifying why MWL was relevant. Mental Demand is also sometimes confused with Mental Workload even though they are not equivalent. These practices can reduce the validity and comparability of results (Babaei et al., 2025).</w:t>
      </w:r>
    </w:p>
    <w:p>
      <w:r>
        <w:t>The validation experiment provided further evidence of the problem. NASA-TLX/R-TLX and MRQ showed only a small positive relationship, making convergent validity questionable. Both questionnaires also failed to show a significant workload difference between objectively different task conditions, raising concerns about sensitivity. Their reliability was acceptable, but neither questionnaire strongly predicted performance (Babaei et al., 2025). The authors therefore warn against treating one MWL score as a complete explanation of user performance.</w:t>
      </w:r>
    </w:p>
    <w:p>
      <w:pPr>
        <w:pStyle w:val="Heading2"/>
      </w:pPr>
      <w:r>
        <w:t>Opportunities / Recommendations</w:t>
      </w:r>
    </w:p>
    <w:p>
      <w:r>
        <w:t>The paper recommends defining the intended MWL construct before selecting a measurement tool, justifying why MWL is relevant, and reporting administration and scoring transparently. A multivariate, resource-based approach may also be more useful for complex HCI tasks. MRQ is potentially more actionable for design because its subscales identify specific cognitive resources, but it is not yet proven to be a universally better replacement for NASA-TLX and still requires validation (Babaei et al., 2025). Using multiple measures, such as subjective workload, performance, errors, and usability, may provide a more complete picture.</w:t>
      </w:r>
    </w:p>
    <w:p>
      <w:pPr>
        <w:pStyle w:val="Heading2"/>
      </w:pPr>
      <w:r>
        <w:t>Case Study: Hospital / Nurse Dashboard</w:t>
      </w:r>
    </w:p>
    <w:p>
      <w:r>
        <w:t>A practical example is the design of a nurse dashboard integrated with an Electronic Health Record (EHR). Hospital dashboards visually organise clinical and operational information, while quality dashboards can help nurses monitor safety information and make informed decisions (Rabiei &amp; Almasi, 2022; Young &amp; Vogelsmeier, 2024). This is an important design problem because poorly organised EHR information can increase nurses' cognitive work and make it harder to maintain an overview of the patient (Wisner et al., 2019).</w:t>
      </w:r>
    </w:p>
    <w:p>
      <w:r>
        <w:t>Consider a hospital comparing its existing EHR interface with a redesigned nurse dashboard for patient monitoring. The team wants to know whether the new design reduces MWL. This is a realistic scenario: Fuller et al. (2020) evaluated an inpatient safety dashboard and found improvements in efficiency without increasing cognitive burden, while Taylor-Vaughan et al. (2026) found that a spatially integrated EHR interface reduced perceived workload and improved task performance for ICU nurses.</w:t>
      </w:r>
    </w:p>
    <w:p>
      <w:r>
        <w:t>The first challenge is deciding what MWL means in this study. The researchers need to specify whether they are measuring task demand, the nurse's mental effort, or workload in relation to performance. Without this definition, a lower score is difficult to interpret.</w:t>
      </w:r>
    </w:p>
    <w:p>
      <w:r>
        <w:t>The second challenge is instrument choice. NASA-TLX can provide an overall workload score and subscale ratings, but these may not identify which specific cognitive resources are overloaded. For design purposes, MRQ may provide more actionable information by separating resource demands. However, based on Babaei et al. (2025), MRQ should not automatically be assumed to be more valid.</w:t>
      </w:r>
    </w:p>
    <w:p>
      <w:r>
        <w:t>The third challenge is sensitivity. Even if the redesigned dashboard improves completion time or decision accuracy, a subjective MWL questionnaire may fail to detect the difference. A stronger evaluation would therefore combine a clearly defined MWL measure with task completion time, error rate, decision accuracy, and usability. In this case, MWL becomes not only an evaluation score but part of a broader design process.</w:t>
      </w:r>
    </w:p>
    <w:p>
      <w:pPr>
        <w:pStyle w:val="Heading2"/>
      </w:pPr>
      <w:r>
        <w:t>Conclusion</w:t>
      </w:r>
    </w:p>
    <w:p>
      <w:r>
        <w:t>The paper does not argue that MWL or NASA-TLX should be abandoned. Instead, it shows that HCI researchers need clearer definitions, better-justified instruments, stronger validation, and more careful interpretation. The nurse-dashboard case illustrates why these issues matter in practice: a workload score is useful only when researchers are clear about what it measures and combine it with evidence that supports the design decision.</w:t>
      </w:r>
    </w:p>
    <w:p>
      <w:r>
        <w:br w:type="page"/>
      </w:r>
    </w:p>
    <w:p>
      <w:pPr>
        <w:pStyle w:val="Heading1"/>
      </w:pPr>
      <w:r>
        <w:t>PART 2</w:t>
      </w:r>
    </w:p>
    <w:p>
      <w:pPr>
        <w:pStyle w:val="Heading2"/>
      </w:pPr>
      <w:r>
        <w:t>Context</w:t>
      </w:r>
    </w:p>
    <w:p>
      <w:r>
        <w:t>For Individual Task 1 Part 1, I used two public government datasets: the ABARES Australian Crop Report and the Bureau of Meteorology Climate Data Online (Australian Bureau of Agricultural and Resource Economics and Sciences [ABARES], 2026; Bureau of Meteorology [BOM], 2026). The aim was to develop a model that examined the relationship between weather conditions and Victorian wheat yield. Weather data came from Horsham, Mildura, and Ouyen, and I compared Linear Regression with Random Forest.</w:t>
      </w:r>
    </w:p>
    <w:p>
      <w:pPr>
        <w:pStyle w:val="Heading2"/>
      </w:pPr>
      <w:r>
        <w:t>Unbiased Evaluation: Cross-Validation and Sampling</w:t>
      </w:r>
    </w:p>
    <w:p>
      <w:r>
        <w:t>I used three weather stations to represent major wheat-growing areas in western and north-western Victoria. For each station, I collected rainfall, mean maximum temperature, and mean minimum temperature. I restricted the weather data to the seven-month growing season from April to October. From 114 station-years, 105 contained all seven months and were retained, while incomplete observations were removed. The three stations were then averaged into one yearly value representing the cropping belt. For the crop dataset, I calculated Victorian wheat yield from production and sown area.</w:t>
      </w:r>
    </w:p>
    <w:p>
      <w:r>
        <w:t>Both models were evaluated using 5-fold cross-validation. Each fold used approximately 80% of the observations for training and 20% for testing, with every observation used as test data once. This was more appropriate than one train-test split because the final dataset contained only 37 yearly observations. Testing the model across several subsets reduced the chance that the reported performance depended on one unusually easy or difficult split.</w:t>
      </w:r>
    </w:p>
    <w:p>
      <w:r>
        <w:t>However, the evaluation was not fully unbiased. The small dataset meant that each test fold contained only a few observations, while three stations could not represent all climatic conditions across Victoria. The most important issue was information leakage during detrending: the long-term yield trend was calculated from the full dataset before cross-validation, meaning held-out years influenced the trend estimate. A stricter approach would fit the trend separately inside each training fold.</w:t>
      </w:r>
    </w:p>
    <w:p>
      <w:r>
        <w:t>The notebook also used shuffled K-fold cross-validation even though the observations were annual and time-ordered. This allows later years to appear in training data when an earlier year is being tested, which is less representative of a real forecasting scenario. A time-aware approach, such as rolling-origin validation or TimeSeriesSplit, would provide a stricter evaluation for future forecasting.</w:t>
      </w:r>
    </w:p>
    <w:p>
      <w:pPr>
        <w:pStyle w:val="Heading2"/>
      </w:pPr>
      <w:r>
        <w:t>Security Risk</w:t>
      </w:r>
    </w:p>
    <w:p>
      <w:r>
        <w:t>The model is still experimental and should not be used directly for high-stakes agricultural decisions. The small sample and missing predictors mean that predictions can still be inaccurate. In a real deployment, unauthorised access to the model or data pipeline could also allow someone to alter weather data, model parameters, or prediction code and produce misleading forecasts. Access control, data-integrity checks, version control, and secure storage would therefore be important.</w:t>
      </w:r>
    </w:p>
    <w:p>
      <w:pPr>
        <w:pStyle w:val="Heading2"/>
      </w:pPr>
      <w:r>
        <w:t>Privacy Risk</w:t>
      </w:r>
    </w:p>
    <w:p>
      <w:r>
        <w:t>The current analysis has low privacy risk because the ABARES and BOM datasets are public and do not contain personal information about individual farmers. Privacy concerns would increase if the model were later applied to farm-level information such as property locations, production records, financial information, or individual management practices. Those data would require appropriate consent, restricted access, and secure handling.</w:t>
      </w:r>
    </w:p>
    <w:p>
      <w:pPr>
        <w:pStyle w:val="Heading2"/>
      </w:pPr>
      <w:r>
        <w:t>Ethical Risks and Bias</w:t>
      </w:r>
    </w:p>
    <w:p>
      <w:r>
        <w:t>The analysis found a relationship between weather and Victorian wheat yield, especially rainfall, but weather does not explain the full variation in yield. The model excludes important factors such as soil type, pests and disease, rainfall timing, and individual farm-management decisions. The best model still left approximately 51.6% of yield variation unexplained.</w:t>
      </w:r>
    </w:p>
    <w:p>
      <w:r>
        <w:t>There is therefore an ethical risk if users treat the prediction as a complete representation of reality. Farmers outside the western and north-western areas represented by the three weather stations may also receive less reliable predictions. A model can be statistically accurate on the available sample while still being unsuitable or unfair for groups that are poorly represented.</w:t>
      </w:r>
    </w:p>
    <w:p>
      <w:r>
        <w:t>Even with more data and a more advanced model, I would not use the system to make agricultural decisions automatically. Its role should be to support the judgement of farmers, agronomists, and other domain experts by showing what may happen under similar conditions, not to replace their decision-making.</w:t>
      </w:r>
    </w:p>
    <w:p>
      <w:pPr>
        <w:pStyle w:val="Heading2"/>
      </w:pPr>
      <w:r>
        <w:t>Conclusion</w:t>
      </w:r>
    </w:p>
    <w:p>
      <w:r>
        <w:t>Overall, 5-fold cross-validation made the evaluation more reliable than a single train-test split, but it did not remove all bias. The small dataset, limited geographical coverage, shuffled evaluation of time-ordered observations, and leakage during detrending all limit how confidently the results can be generalised. The current public datasets create low privacy risk, but deployment with farm-level data would introduce additional security, privacy, and ethical concerns. The model should therefore be treated as a decision-support tool rather than a decision-maker, especially while substantial yield variation remains unexplained.</w:t>
      </w:r>
    </w:p>
    <w:p>
      <w:r>
        <w:br w:type="page"/>
      </w:r>
    </w:p>
    <w:p>
      <w:pPr>
        <w:pStyle w:val="Heading1"/>
      </w:pPr>
      <w:r>
        <w:t>References</w:t>
      </w:r>
    </w:p>
    <w:p>
      <w:pPr>
        <w:spacing w:after="120"/>
        <w:ind w:left="432" w:hanging="432"/>
      </w:pPr>
      <w:r>
        <w:t>Australian Bureau of Agricultural and Resource Economics and Sciences. (2026). Australian crop report: June 2026. Department of Agriculture, Fisheries and Forestry. https://www.agriculture.gov.au/abares/research-topics/agricultural-outlook/australian-crop-report/june-2026</w:t>
      </w:r>
    </w:p>
    <w:p>
      <w:pPr>
        <w:spacing w:after="120"/>
        <w:ind w:left="432" w:hanging="432"/>
      </w:pPr>
      <w:r>
        <w:t>Babaei, E., Dingler, T., Tag, B., &amp; Velloso, E. (2025). Should we use the NASA-TLX in HCI? A review of theoretical and methodological issues around mental workload measurement. International Journal of Human-Computer Studies, 201, 103515. https://doi.org/10.1016/j.ijhcs.2025.103515</w:t>
      </w:r>
    </w:p>
    <w:p>
      <w:pPr>
        <w:spacing w:after="120"/>
        <w:ind w:left="432" w:hanging="432"/>
      </w:pPr>
      <w:r>
        <w:t>Bureau of Meteorology. (2026). Climate Data Online. http://www.bom.gov.au/climate/data/</w:t>
      </w:r>
    </w:p>
    <w:p>
      <w:pPr>
        <w:spacing w:after="120"/>
        <w:ind w:left="432" w:hanging="432"/>
      </w:pPr>
      <w:r>
        <w:t>Fuller, T. E., Garabedian, P. M., Lemonias, D. P., Joyce, E., Schnipper, J. L., Harry, E. M., Bates, D. W., Dalal, A. K., &amp; Benneyan, J. C. (2020). Assessing the cognitive and work load of an inpatient safety dashboard in the context of opioid management. Applied Ergonomics, 85, 103047. https://doi.org/10.1016/j.apergo.2020.103047</w:t>
      </w:r>
    </w:p>
    <w:p>
      <w:pPr>
        <w:spacing w:after="120"/>
        <w:ind w:left="432" w:hanging="432"/>
      </w:pPr>
      <w:r>
        <w:t>Rabiei, R., &amp; Almasi, S. (2022). Requirements and challenges of hospital dashboards: A systematic literature review. BMC Medical Informatics and Decision Making, 22, 287. https://doi.org/10.1186/s12911-022-02037-8</w:t>
      </w:r>
    </w:p>
    <w:p>
      <w:pPr>
        <w:spacing w:after="120"/>
        <w:ind w:left="432" w:hanging="432"/>
      </w:pPr>
      <w:r>
        <w:t>Taylor-Vaughan, L., Helena, M. W., Silva Torres, G. E., Shea, K. D., Reed, P. G., &amp; Gephart, S. M. (2026). Spatially integrated electronic health record prototype improves usability and reduces cognitive load for intensive care nurses: A randomized crossover trial. Applied Clinical Informatics, 17(3), 604–614. https://doi.org/10.1055/a-2903-5822</w:t>
      </w:r>
    </w:p>
    <w:p>
      <w:pPr>
        <w:spacing w:after="120"/>
        <w:ind w:left="432" w:hanging="432"/>
      </w:pPr>
      <w:r>
        <w:t>Wisner, K., Lyndon, A., &amp; Chesla, C. A. (2019). The electronic health record's impact on nurses' cognitive work: An integrative review. International Journal of Nursing Studies, 94, 74–84. https://doi.org/10.1016/j.ijnurstu.2019.03.003</w:t>
      </w:r>
    </w:p>
    <w:p>
      <w:pPr>
        <w:spacing w:after="120"/>
        <w:ind w:left="432" w:hanging="432"/>
      </w:pPr>
      <w:r>
        <w:t>Young, L., &amp; Vogelsmeier, A. (2024). Quality dashboards in hospital settings: A systematic review with implications for nurses. Journal of Nursing Care Quality, 39(2), 188–194. https://doi.org/10.1097/NCQ.0000000000000747</w:t>
      </w:r>
    </w:p>
    <w:sectPr w:rsidR="00EE5997" w:rsidRPr="00CD4C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00EE8"/>
    <w:multiLevelType w:val="multilevel"/>
    <w:tmpl w:val="0ECC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A01E8"/>
    <w:multiLevelType w:val="multilevel"/>
    <w:tmpl w:val="AAEE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1445B"/>
    <w:multiLevelType w:val="multilevel"/>
    <w:tmpl w:val="4D6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B0297"/>
    <w:multiLevelType w:val="multilevel"/>
    <w:tmpl w:val="18EE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405657">
    <w:abstractNumId w:val="2"/>
  </w:num>
  <w:num w:numId="2" w16cid:durableId="1435397372">
    <w:abstractNumId w:val="1"/>
  </w:num>
  <w:num w:numId="3" w16cid:durableId="216088803">
    <w:abstractNumId w:val="3"/>
  </w:num>
  <w:num w:numId="4" w16cid:durableId="33116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C7B"/>
    <w:rsid w:val="0005316C"/>
    <w:rsid w:val="003112F2"/>
    <w:rsid w:val="005A23F3"/>
    <w:rsid w:val="006032F2"/>
    <w:rsid w:val="00B11BF9"/>
    <w:rsid w:val="00CD4C7B"/>
    <w:rsid w:val="00EE59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EDC61"/>
  <w15:chartTrackingRefBased/>
  <w15:docId w15:val="{18767558-B28D-47C5-A5A8-6D94BFAEA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ptos" w:hAnsi="Aptos"/>
      <w:sz w:val="22"/>
    </w:rPr>
  </w:style>
  <w:style w:type="paragraph" w:styleId="Heading1">
    <w:name w:val="heading 1"/>
    <w:basedOn w:val="Normal"/>
    <w:next w:val="Normal"/>
    <w:link w:val="Heading1Char"/>
    <w:uiPriority w:val="9"/>
    <w:qFormat/>
    <w:rsid w:val="00CD4C7B"/>
    <w:pPr>
      <w:keepNext/>
      <w:keepLines/>
      <w:spacing w:before="200" w:after="120"/>
      <w:outlineLvl w:val="0"/>
    </w:pPr>
    <w:rPr>
      <w:rFonts w:asciiTheme="majorHAnsi" w:eastAsiaTheme="majorEastAsia" w:hAnsiTheme="majorHAnsi" w:cstheme="majorBidi" w:ascii="Aptos" w:hAnsi="Aptos"/>
      <w:b/>
      <w:color w:val="0F4761" w:themeColor="accent1" w:themeShade="BF"/>
      <w:sz w:val="32"/>
      <w:szCs w:val="40"/>
    </w:rPr>
  </w:style>
  <w:style w:type="paragraph" w:styleId="Heading2">
    <w:name w:val="heading 2"/>
    <w:basedOn w:val="Normal"/>
    <w:next w:val="Normal"/>
    <w:link w:val="Heading2Char"/>
    <w:uiPriority w:val="9"/>
    <w:unhideWhenUsed/>
    <w:qFormat/>
    <w:rsid w:val="00CD4C7B"/>
    <w:pPr>
      <w:keepNext/>
      <w:keepLines/>
      <w:spacing w:before="200" w:after="120"/>
      <w:outlineLvl w:val="1"/>
    </w:pPr>
    <w:rPr>
      <w:rFonts w:asciiTheme="majorHAnsi" w:eastAsiaTheme="majorEastAsia" w:hAnsiTheme="majorHAnsi" w:cstheme="majorBidi" w:ascii="Aptos" w:hAnsi="Aptos"/>
      <w:b/>
      <w:color w:val="0F4761" w:themeColor="accent1" w:themeShade="BF"/>
      <w:sz w:val="26"/>
      <w:szCs w:val="32"/>
    </w:rPr>
  </w:style>
  <w:style w:type="paragraph" w:styleId="Heading3">
    <w:name w:val="heading 3"/>
    <w:basedOn w:val="Normal"/>
    <w:next w:val="Normal"/>
    <w:link w:val="Heading3Char"/>
    <w:uiPriority w:val="9"/>
    <w:semiHidden/>
    <w:unhideWhenUsed/>
    <w:qFormat/>
    <w:rsid w:val="00CD4C7B"/>
    <w:pPr>
      <w:keepNext/>
      <w:keepLines/>
      <w:spacing w:before="200" w:after="120"/>
      <w:outlineLvl w:val="2"/>
    </w:pPr>
    <w:rPr>
      <w:rFonts w:eastAsiaTheme="majorEastAsia" w:cstheme="majorBidi" w:ascii="Aptos" w:hAnsi="Aptos"/>
      <w:b/>
      <w:color w:val="0F4761" w:themeColor="accent1" w:themeShade="BF"/>
      <w:sz w:val="22"/>
      <w:szCs w:val="28"/>
    </w:rPr>
  </w:style>
  <w:style w:type="paragraph" w:styleId="Heading4">
    <w:name w:val="heading 4"/>
    <w:basedOn w:val="Normal"/>
    <w:next w:val="Normal"/>
    <w:link w:val="Heading4Char"/>
    <w:uiPriority w:val="9"/>
    <w:semiHidden/>
    <w:unhideWhenUsed/>
    <w:qFormat/>
    <w:rsid w:val="00CD4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4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C7B"/>
    <w:rPr>
      <w:rFonts w:eastAsiaTheme="majorEastAsia" w:cstheme="majorBidi"/>
      <w:color w:val="272727" w:themeColor="text1" w:themeTint="D8"/>
    </w:rPr>
  </w:style>
  <w:style w:type="paragraph" w:styleId="Title">
    <w:name w:val="Title"/>
    <w:basedOn w:val="Normal"/>
    <w:next w:val="Normal"/>
    <w:link w:val="TitleChar"/>
    <w:uiPriority w:val="10"/>
    <w:qFormat/>
    <w:rsid w:val="00CD4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C7B"/>
    <w:pPr>
      <w:spacing w:before="160"/>
      <w:jc w:val="center"/>
    </w:pPr>
    <w:rPr>
      <w:i/>
      <w:iCs/>
      <w:color w:val="404040" w:themeColor="text1" w:themeTint="BF"/>
    </w:rPr>
  </w:style>
  <w:style w:type="character" w:customStyle="1" w:styleId="QuoteChar">
    <w:name w:val="Quote Char"/>
    <w:basedOn w:val="DefaultParagraphFont"/>
    <w:link w:val="Quote"/>
    <w:uiPriority w:val="29"/>
    <w:rsid w:val="00CD4C7B"/>
    <w:rPr>
      <w:i/>
      <w:iCs/>
      <w:color w:val="404040" w:themeColor="text1" w:themeTint="BF"/>
    </w:rPr>
  </w:style>
  <w:style w:type="paragraph" w:styleId="ListParagraph">
    <w:name w:val="List Paragraph"/>
    <w:basedOn w:val="Normal"/>
    <w:uiPriority w:val="34"/>
    <w:qFormat/>
    <w:rsid w:val="00CD4C7B"/>
    <w:pPr>
      <w:ind w:left="720"/>
      <w:contextualSpacing/>
    </w:pPr>
  </w:style>
  <w:style w:type="character" w:styleId="IntenseEmphasis">
    <w:name w:val="Intense Emphasis"/>
    <w:basedOn w:val="DefaultParagraphFont"/>
    <w:uiPriority w:val="21"/>
    <w:qFormat/>
    <w:rsid w:val="00CD4C7B"/>
    <w:rPr>
      <w:i/>
      <w:iCs/>
      <w:color w:val="0F4761" w:themeColor="accent1" w:themeShade="BF"/>
    </w:rPr>
  </w:style>
  <w:style w:type="paragraph" w:styleId="IntenseQuote">
    <w:name w:val="Intense Quote"/>
    <w:basedOn w:val="Normal"/>
    <w:next w:val="Normal"/>
    <w:link w:val="IntenseQuoteChar"/>
    <w:uiPriority w:val="30"/>
    <w:qFormat/>
    <w:rsid w:val="00CD4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C7B"/>
    <w:rPr>
      <w:i/>
      <w:iCs/>
      <w:color w:val="0F4761" w:themeColor="accent1" w:themeShade="BF"/>
    </w:rPr>
  </w:style>
  <w:style w:type="character" w:styleId="IntenseReference">
    <w:name w:val="Intense Reference"/>
    <w:basedOn w:val="DefaultParagraphFont"/>
    <w:uiPriority w:val="32"/>
    <w:qFormat/>
    <w:rsid w:val="00CD4C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B0742-240F-4EEA-93A7-0705FE9CF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TotalTime>
  <Pages>8</Pages>
  <Words>2270</Words>
  <Characters>12941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 Theodore Gedowolo</dc:creator>
  <cp:keywords/>
  <dc:description/>
  <cp:lastModifiedBy>Alexandro Theodore Gedowolo</cp:lastModifiedBy>
  <cp:revision>2</cp:revision>
  <dcterms:created xsi:type="dcterms:W3CDTF">2026-09-14T12:32:00Z</dcterms:created>
  <dcterms:modified xsi:type="dcterms:W3CDTF">2026-09-15T03:48:00Z</dcterms:modified>
</cp:coreProperties>
</file>