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spacing w:after="120" w:before="0"/>
        <w:jc w:val="center"/>
      </w:pPr>
      <w:r>
        <w:rPr>
          <w:rFonts w:ascii="Arial" w:cs="Arial" w:eastAsia="Arial" w:hAnsi="Arial"/>
          <w:b/>
          <w:bCs/>
          <w:color w:val="1A1A1A"/>
          <w:sz w:val="56"/>
          <w:szCs w:val="56"/>
        </w:rPr>
        <w:t xml:space="preserve">300,000 Streets</w:t>
      </w:r>
    </w:p>
    <w:p>
      <w:pPr>
        <w:spacing w:after="200" w:before="0"/>
        <w:jc w:val="center"/>
      </w:pPr>
      <w:r>
        <w:rPr>
          <w:rFonts w:ascii="Arial" w:cs="Arial" w:eastAsia="Arial" w:hAnsi="Arial"/>
          <w:color w:val="666666"/>
          <w:sz w:val="28"/>
          <w:szCs w:val="28"/>
        </w:rPr>
        <w:t xml:space="preserve">School Street Safety &amp; Active Travel Analysis</w:t>
      </w:r>
    </w:p>
    <w:p>
      <w:pPr>
        <w:pBdr>
          <w:bottom w:val="single" w:color="1A1A1A" w:sz="8" w:space="1"/>
        </w:pBdr>
        <w:spacing w:after="280" w:before="0"/>
      </w:pPr>
    </w:p>
    <w:p>
      <w:pPr>
        <w:spacing w:after="80" w:before="0"/>
        <w:jc w:val="center"/>
      </w:pPr>
      <w:r>
        <w:rPr>
          <w:rFonts w:ascii="Arial" w:cs="Arial" w:eastAsia="Arial" w:hAnsi="Arial"/>
          <w:b/>
          <w:bCs/>
          <w:color w:val="1A1A1A"/>
          <w:sz w:val="36"/>
          <w:szCs w:val="36"/>
        </w:rPr>
        <w:t xml:space="preserve">Final Project Report</w:t>
      </w:r>
    </w:p>
    <w:p>
      <w:pPr>
        <w:spacing w:after="600" w:before="0"/>
        <w:jc w:val="center"/>
      </w:pPr>
      <w:r>
        <w:rPr>
          <w:rFonts w:ascii="Arial" w:cs="Arial" w:eastAsia="Arial" w:hAnsi="Arial"/>
          <w:color w:val="666666"/>
          <w:sz w:val="22"/>
          <w:szCs w:val="22"/>
        </w:rPr>
        <w:t xml:space="preserve">COSC2667 / COSC2777 — Data Science and AI Postgraduate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Industry Partner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Regen Melbourne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Industry Supervisor</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Nina Sharpe — nina@regen.melbourne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Academic Supervisor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Lawrence Cavendon — RMIT University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Course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COSC2667 / COSC2777 — Data Science and AI Postgraduate Projects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Study Area</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City of Darebin, Melbourne, Victoria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Submission Date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May 2026</w:t>
            </w:r>
          </w:p>
        </w:tc>
      </w:tr>
    </w:tbl>
    <w:p>
      <w:pPr>
        <w:spacing w:after="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Student Name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Student ID</w:t>
            </w:r>
          </w:p>
        </w:tc>
        <w:tc>
          <w:tcPr>
            <w:tcW w:type="dxa" w:w="3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Vipparla Reddy Pranay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S4112678</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 Collection, GIS Analysis &amp; Field Coordinator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Venkata Nagendra Anamala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S4024233</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Data Engineering &amp; Preprocessing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Siddhartha Ananthula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S4111078</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Spatial Analysis, Modelling &amp; Dashboard Development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Hishikesh Phukan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S4031214</w:t>
            </w:r>
          </w:p>
        </w:tc>
        <w:tc>
          <w:tcPr>
            <w:tcW w:type="dxa" w:w="3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ML Pipeline, Environmental Features &amp; OSM Extraction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Sameer Yadav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S4038689</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SEIFA Analysis, Report Writing &amp; Stakeholder Coordination</w:t>
            </w:r>
          </w:p>
        </w:tc>
      </w:tr>
    </w:tbl>
    <w:p>
      <w:r>
        <w:br w:type="page"/>
      </w:r>
    </w:p>
    <w:p>
      <w:pPr>
        <w:pStyle w:val="Heading1"/>
      </w:pPr>
      <w:r>
        <w:t xml:space="preserve">1. Introduction</w:t>
      </w:r>
    </w:p>
    <w:p>
      <w:pPr>
        <w:pStyle w:val="Heading2"/>
      </w:pPr>
      <w:r>
        <w:t xml:space="preserve">1.1 Partner Organisation and Background</w:t>
      </w:r>
    </w:p>
    <w:p>
      <w:pPr>
        <w:spacing w:after="80" w:before="80" w:line="276" w:lineRule="auto"/>
        <w:jc w:val="both"/>
      </w:pPr>
      <w:r>
        <w:rPr>
          <w:rFonts w:ascii="Arial" w:cs="Arial" w:eastAsia="Arial" w:hAnsi="Arial"/>
          <w:color w:val="1A1A1A"/>
          <w:sz w:val="22"/>
          <w:szCs w:val="22"/>
        </w:rPr>
        <w:t xml:space="preserve">Regen Melbourne is a not-for-profit urban regeneration organisation whose mission is to reimagine Melbourne's streets as liveable, sustainable, and community-centred spaces. Through its 300,000 Streets initiative — named for the estimated number of street segments across the metropolitan area — Regen Melbourne is building a city-wide, data-driven framework for street-level urban improvement. The initiative works in partnership with local councils, state government agencies, and community groups to drive evidence-based improvements to how streets are designed and experienced.</w:t>
      </w:r>
    </w:p>
    <w:p>
      <w:pPr>
        <w:spacing w:after="80" w:before="80" w:line="276" w:lineRule="auto"/>
        <w:jc w:val="both"/>
      </w:pPr>
      <w:r>
        <w:rPr>
          <w:rFonts w:ascii="Arial" w:cs="Arial" w:eastAsia="Arial" w:hAnsi="Arial"/>
          <w:color w:val="1A1A1A"/>
          <w:sz w:val="22"/>
          <w:szCs w:val="22"/>
        </w:rPr>
        <w:t xml:space="preserve">The organisation identified school-adjacent streets as a priority concern within the initiative. Across Greater Melbourne, streets surrounding secondary schools frequently lack the infrastructure needed for safe active travel. Common deficiencies include absent or deteriorated footpaths, inadequate pedestrian crossings, and speed environments incompatible with the safety needs of children during school hours. These conditions deter walking and cycling, push families toward private vehicle use, and generate measurable public health, environmental, and safety risks for school communities.</w:t>
      </w:r>
    </w:p>
    <w:p>
      <w:pPr>
        <w:pStyle w:val="Heading2"/>
      </w:pPr>
      <w:r>
        <w:t xml:space="preserve">1.2 Original Project Aims</w:t>
      </w:r>
    </w:p>
    <w:p>
      <w:pPr>
        <w:spacing w:after="80" w:before="80" w:line="276" w:lineRule="auto"/>
        <w:jc w:val="both"/>
      </w:pPr>
      <w:r>
        <w:rPr>
          <w:rFonts w:ascii="Arial" w:cs="Arial" w:eastAsia="Arial" w:hAnsi="Arial"/>
          <w:color w:val="1A1A1A"/>
          <w:sz w:val="22"/>
          <w:szCs w:val="22"/>
        </w:rPr>
        <w:t xml:space="preserve">The original project proposal, submitted in April 2026, set out to deliver a geospatial safety assessment of three to five Melbourne schools using a custom composite Street Safety Score (CSSS). The proposed deliverables were a geospatial database, spatial visualisations, a composite score per school, and a prioritised recommendation report. The methodology was grounded in spatial buffer analysis at 400m and 800m catchment radii, kernel density estimation for hazard clustering, and OSMnx network analysis.</w:t>
      </w:r>
    </w:p>
    <w:p>
      <w:pPr>
        <w:pStyle w:val="Heading2"/>
      </w:pPr>
      <w:r>
        <w:t xml:space="preserve">1.3 Scope Evolution and Justification</w:t>
      </w:r>
    </w:p>
    <w:p>
      <w:pPr>
        <w:spacing w:after="80" w:before="80" w:line="276" w:lineRule="auto"/>
        <w:jc w:val="both"/>
      </w:pPr>
      <w:r>
        <w:rPr>
          <w:rFonts w:ascii="Arial" w:cs="Arial" w:eastAsia="Arial" w:hAnsi="Arial"/>
          <w:color w:val="1A1A1A"/>
          <w:sz w:val="22"/>
          <w:szCs w:val="22"/>
        </w:rPr>
        <w:t xml:space="preserve">The project scope evolved significantly from the original proposal in response to direct feedback from the industry supervisor, Nina Sharpe, received during Sprint 1 and Sprint 2 reviews. This evolution was not a departure from the original aims but a substantive improvement in the rigour and real-world applicability of the methodology, and is consistent with the Agile iterative development approach adopted by the team.</w:t>
      </w:r>
    </w:p>
    <w:p>
      <w:pPr>
        <w:spacing w:after="80" w:before="80" w:line="276" w:lineRule="auto"/>
        <w:jc w:val="both"/>
      </w:pPr>
      <w:r>
        <w:rPr>
          <w:rFonts w:ascii="Arial" w:cs="Arial" w:eastAsia="Arial" w:hAnsi="Arial"/>
          <w:color w:val="1A1A1A"/>
          <w:sz w:val="22"/>
          <w:szCs w:val="22"/>
        </w:rPr>
        <w:t xml:space="preserve">Three specific pieces of feedback drove the scope change. First, Nina requested that cycling infrastructure be explicitly represented in the scoring framework rather than only in the recommendation rules. Second, she asked the team to integrate Victorian Road Crash Data to demonstrate the historical evidence base for infrastructure investment. Third, she requested demographic context to show why the specific communities served by the pilot schools are particularly dependent on safe walking and cycling infrastructure.</w:t>
      </w:r>
    </w:p>
    <w:p>
      <w:pPr>
        <w:spacing w:after="80" w:before="80" w:line="276" w:lineRule="auto"/>
        <w:jc w:val="both"/>
      </w:pPr>
      <w:r>
        <w:rPr>
          <w:rFonts w:ascii="Arial" w:cs="Arial" w:eastAsia="Arial" w:hAnsi="Arial"/>
          <w:color w:val="1A1A1A"/>
          <w:sz w:val="22"/>
          <w:szCs w:val="22"/>
        </w:rPr>
        <w:t xml:space="preserve">In addition to actioning Nina's feedback, the team made a methodological decision to ground the scoring framework in the internationally recognised Healthy Streets framework developed by Lucy Saunders and adopted by Transport for London, rather than relying on a custom framework that would require independent validation. This decision was made after academic supervisor Lawrence Cavendon raised questions about the theoretical basis for the original scoring weightings. Adopting the Healthy Streets framework provided published, peer-reviewed support for every indicator and threshold used in the analysis, significantly strengthening the academic credibility of the project.</w:t>
      </w:r>
    </w:p>
    <w:p>
      <w:pPr>
        <w:spacing w:after="80" w:before="80" w:line="276" w:lineRule="auto"/>
        <w:jc w:val="both"/>
      </w:pPr>
      <w:r>
        <w:rPr>
          <w:rFonts w:ascii="Arial" w:cs="Arial" w:eastAsia="Arial" w:hAnsi="Arial"/>
          <w:color w:val="1A1A1A"/>
          <w:sz w:val="22"/>
          <w:szCs w:val="22"/>
        </w:rPr>
        <w:t xml:space="preserve">As a result, the final project delivers a ten-indicator Healthy Streets assessment per school, integrated Victorian crash data analysis, ABS Census demographics, a machine learning model predicting which indicators can be automated from open data, SEIFA socioeconomic disadvantage analysis, and an interactive web dashboard deployed on GitHub Pages. The three pilot schools — Reservoir High School, William Ruthven Secondary College, and Preston High School — are all located in the City of Darebin, consistent with the original scope.</w:t>
      </w:r>
    </w:p>
    <w:p>
      <w:pPr>
        <w:pStyle w:val="Heading2"/>
      </w:pPr>
      <w:r>
        <w:t xml:space="preserve">1.4 Deliverables</w:t>
      </w:r>
    </w:p>
    <w:p>
      <w:pPr>
        <w:spacing w:after="80" w:before="80" w:line="276" w:lineRule="auto"/>
        <w:jc w:val="both"/>
      </w:pPr>
      <w:r>
        <w:rPr>
          <w:rFonts w:ascii="Arial" w:cs="Arial" w:eastAsia="Arial" w:hAnsi="Arial"/>
          <w:color w:val="1A1A1A"/>
          <w:sz w:val="22"/>
          <w:szCs w:val="22"/>
        </w:rPr>
        <w:t xml:space="preserve">The final project deliverables are as follows:</w:t>
      </w:r>
    </w:p>
    <w:p>
      <w:pPr>
        <w:pStyle w:val="ListParagraph"/>
        <w:numPr>
          <w:ilvl w:val="0"/>
          <w:numId w:val="2"/>
        </w:numPr>
        <w:spacing w:after="40" w:before="40" w:line="276" w:lineRule="auto"/>
      </w:pPr>
      <w:r>
        <w:rPr>
          <w:rFonts w:ascii="Arial" w:cs="Arial" w:eastAsia="Arial" w:hAnsi="Arial"/>
          <w:color w:val="1A1A1A"/>
          <w:sz w:val="22"/>
          <w:szCs w:val="22"/>
        </w:rPr>
        <w:t xml:space="preserve">A seven-step automated Python data pipeline that collects, processes, and analyses street safety data for any Victorian secondary school</w:t>
      </w:r>
    </w:p>
    <w:p>
      <w:pPr>
        <w:pStyle w:val="ListParagraph"/>
        <w:numPr>
          <w:ilvl w:val="0"/>
          <w:numId w:val="2"/>
        </w:numPr>
        <w:spacing w:after="40" w:before="40" w:line="276" w:lineRule="auto"/>
      </w:pPr>
      <w:r>
        <w:rPr>
          <w:rFonts w:ascii="Arial" w:cs="Arial" w:eastAsia="Arial" w:hAnsi="Arial"/>
          <w:color w:val="1A1A1A"/>
          <w:sz w:val="22"/>
          <w:szCs w:val="22"/>
        </w:rPr>
        <w:t xml:space="preserve">Healthy Streets indicator scores (HS1–HS10) for three pilot schools, with severity classification and prioritised intervention recommendations</w:t>
      </w:r>
    </w:p>
    <w:p>
      <w:pPr>
        <w:pStyle w:val="ListParagraph"/>
        <w:numPr>
          <w:ilvl w:val="0"/>
          <w:numId w:val="2"/>
        </w:numPr>
        <w:spacing w:after="40" w:before="40" w:line="276" w:lineRule="auto"/>
      </w:pPr>
      <w:r>
        <w:rPr>
          <w:rFonts w:ascii="Arial" w:cs="Arial" w:eastAsia="Arial" w:hAnsi="Arial"/>
          <w:color w:val="1A1A1A"/>
          <w:sz w:val="22"/>
          <w:szCs w:val="22"/>
        </w:rPr>
        <w:t xml:space="preserve">Integration of 7,773 Victorian pedestrian and cyclist road crash records from the Department of Transport and Planning</w:t>
      </w:r>
    </w:p>
    <w:p>
      <w:pPr>
        <w:pStyle w:val="ListParagraph"/>
        <w:numPr>
          <w:ilvl w:val="0"/>
          <w:numId w:val="2"/>
        </w:numPr>
        <w:spacing w:after="40" w:before="40" w:line="276" w:lineRule="auto"/>
      </w:pPr>
      <w:r>
        <w:rPr>
          <w:rFonts w:ascii="Arial" w:cs="Arial" w:eastAsia="Arial" w:hAnsi="Arial"/>
          <w:color w:val="1A1A1A"/>
          <w:sz w:val="22"/>
          <w:szCs w:val="22"/>
        </w:rPr>
        <w:t xml:space="preserve">A machine learning model (Ridge regression with Leave-One-Out Cross-Validation) demonstrating which Healthy Streets indicators can be reliably predicted from open data</w:t>
      </w:r>
    </w:p>
    <w:p>
      <w:pPr>
        <w:pStyle w:val="ListParagraph"/>
        <w:numPr>
          <w:ilvl w:val="0"/>
          <w:numId w:val="2"/>
        </w:numPr>
        <w:spacing w:after="40" w:before="40" w:line="276" w:lineRule="auto"/>
      </w:pPr>
      <w:r>
        <w:rPr>
          <w:rFonts w:ascii="Arial" w:cs="Arial" w:eastAsia="Arial" w:hAnsi="Arial"/>
          <w:color w:val="1A1A1A"/>
          <w:sz w:val="22"/>
          <w:szCs w:val="22"/>
        </w:rPr>
        <w:t xml:space="preserve">ABS Census 2021 demographic analysis and ABS SEIFA 2021 socioeconomic disadvantage analysis for school catchment areas</w:t>
      </w:r>
    </w:p>
    <w:p>
      <w:pPr>
        <w:pStyle w:val="ListParagraph"/>
        <w:numPr>
          <w:ilvl w:val="0"/>
          <w:numId w:val="2"/>
        </w:numPr>
        <w:spacing w:after="40" w:before="40" w:line="276" w:lineRule="auto"/>
      </w:pPr>
      <w:r>
        <w:rPr>
          <w:rFonts w:ascii="Arial" w:cs="Arial" w:eastAsia="Arial" w:hAnsi="Arial"/>
          <w:color w:val="1A1A1A"/>
          <w:sz w:val="22"/>
          <w:szCs w:val="22"/>
        </w:rPr>
        <w:t xml:space="preserve">An interactive web dashboard (Leaflet.js, Chart.js, GitHub Pages) presenting all findings to stakeholders</w:t>
      </w:r>
    </w:p>
    <w:p>
      <w:pPr>
        <w:pStyle w:val="ListParagraph"/>
        <w:numPr>
          <w:ilvl w:val="0"/>
          <w:numId w:val="2"/>
        </w:numPr>
        <w:spacing w:after="40" w:before="40" w:line="276" w:lineRule="auto"/>
      </w:pPr>
      <w:r>
        <w:rPr>
          <w:rFonts w:ascii="Arial" w:cs="Arial" w:eastAsia="Arial" w:hAnsi="Arial"/>
          <w:color w:val="1A1A1A"/>
          <w:sz w:val="22"/>
          <w:szCs w:val="22"/>
        </w:rPr>
        <w:t xml:space="preserve">A modular, professionally structured Python codebase hosted on GitHub with full documentation</w:t>
      </w:r>
    </w:p>
    <w:p>
      <w:r>
        <w:br w:type="page"/>
      </w:r>
    </w:p>
    <w:p>
      <w:pPr>
        <w:pStyle w:val="Heading1"/>
      </w:pPr>
      <w:r>
        <w:t xml:space="preserve">2. Methodology</w:t>
      </w:r>
    </w:p>
    <w:p>
      <w:pPr>
        <w:pStyle w:val="Heading2"/>
      </w:pPr>
      <w:r>
        <w:t xml:space="preserve">2.1 Overall Approach</w:t>
      </w:r>
    </w:p>
    <w:p>
      <w:pPr>
        <w:spacing w:after="80" w:before="80" w:line="276" w:lineRule="auto"/>
        <w:jc w:val="both"/>
      </w:pPr>
      <w:r>
        <w:rPr>
          <w:rFonts w:ascii="Arial" w:cs="Arial" w:eastAsia="Arial" w:hAnsi="Arial"/>
          <w:color w:val="1A1A1A"/>
          <w:sz w:val="22"/>
          <w:szCs w:val="22"/>
        </w:rPr>
        <w:t xml:space="preserve">The project adopted an Agile sprint-based development methodology, with five two-week sprints spanning the ten-week project period. Each sprint concluded with a review meeting attended by both the industry supervisor and academic supervisor, at which findings were presented, feedback was gathered, and the next sprint's scope was confirmed. This iterative approach was directly responsible for the scope evolution described in Section 1.3, ensuring that the project remained aligned with stakeholder needs throughout its development.</w:t>
      </w:r>
    </w:p>
    <w:p>
      <w:pPr>
        <w:spacing w:after="80" w:before="80" w:line="276" w:lineRule="auto"/>
        <w:jc w:val="both"/>
      </w:pPr>
      <w:r>
        <w:rPr>
          <w:rFonts w:ascii="Arial" w:cs="Arial" w:eastAsia="Arial" w:hAnsi="Arial"/>
          <w:color w:val="1A1A1A"/>
          <w:sz w:val="22"/>
          <w:szCs w:val="22"/>
        </w:rPr>
        <w:t xml:space="preserve">The analytical pipeline follows a sequential five-stage architecture: raw data ingestion, spatial feature extraction, Healthy Streets indicator scoring, visualisation and recommendations, and machine learning prediction. Each stage produces specific output artefacts that feed into the next, enabling any stage to be re-run independently when input data changes.</w:t>
      </w:r>
    </w:p>
    <w:p>
      <w:pPr>
        <w:pStyle w:val="Heading2"/>
      </w:pPr>
      <w:r>
        <w:t xml:space="preserve">2.2 The Healthy Streets Framework</w:t>
      </w:r>
    </w:p>
    <w:p>
      <w:pPr>
        <w:spacing w:after="80" w:before="80" w:line="276" w:lineRule="auto"/>
        <w:jc w:val="both"/>
      </w:pPr>
      <w:r>
        <w:rPr>
          <w:rFonts w:ascii="Arial" w:cs="Arial" w:eastAsia="Arial" w:hAnsi="Arial"/>
          <w:color w:val="1A1A1A"/>
          <w:sz w:val="22"/>
          <w:szCs w:val="22"/>
        </w:rPr>
        <w:t xml:space="preserve">The Healthy Streets framework, developed by Saunders (2015) and formally adopted by Transport for London as the standard for street quality assessment, defines ten human-experience indicators for evaluating street quality from the perspective of pedestrians, cyclists, and public transport users. Each indicator is scored on a scale of zero to ten. A score of 6.0 or above across all indicators is the published minimum threshold for a street that adequately serves its users. The framework has been adopted internationally by local governments and transport agencies as a replicable, evidence-based tool for prioritising street improvement investment.</w:t>
      </w:r>
    </w:p>
    <w:p>
      <w:pPr>
        <w:spacing w:after="80" w:before="80" w:line="276" w:lineRule="auto"/>
        <w:jc w:val="both"/>
      </w:pPr>
      <w:r>
        <w:rPr>
          <w:rFonts w:ascii="Arial" w:cs="Arial" w:eastAsia="Arial" w:hAnsi="Arial"/>
          <w:color w:val="1A1A1A"/>
          <w:sz w:val="22"/>
          <w:szCs w:val="22"/>
        </w:rPr>
        <w:t xml:space="preserve">The ten indicators and their data sources in this project are presented in Table 1.</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rPr>
          <w:tblHeader/>
        </w:trPr>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5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Data source in this project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Pedestrians from all walks of life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Field observation — footpath presence, width, continuity, kerb ramps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Easy to cross</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Field observation — crossing type, distance, visibility, tactile pavers, signals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Shade and shelter</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OpenStreetMap — tree count (100m), shelters (200m), green space (400m)</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Places to stop and rest</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OpenStreetMap — benches (200m), parks and cafes (400m)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too noisy</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Field observation — traffic volume, speed, heavy vehicles, lane count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People choose active travel</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OpenStreetMap and field — cycling infrastructure, public transport stops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People feel safe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Crime Statistics Agency Victoria — offences per 100,000 population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Things to see and do</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OpenStreetMap — amenity and cafe count (400m)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People feel relaxed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Field observation — traffic calming, school zone signage, parking conflicts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HS10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Clean air</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EPA Victoria AirWatch — PM2.5 annual average (Alphington station)</w:t>
            </w:r>
          </w:p>
        </w:tc>
      </w:tr>
    </w:tbl>
    <w:p>
      <w:pPr>
        <w:spacing w:after="160" w:before="80"/>
        <w:jc w:val="center"/>
      </w:pPr>
      <w:r>
        <w:rPr>
          <w:rFonts w:ascii="Arial" w:cs="Arial" w:eastAsia="Arial" w:hAnsi="Arial"/>
          <w:i/>
          <w:iCs/>
          <w:color w:val="666666"/>
          <w:sz w:val="20"/>
          <w:szCs w:val="20"/>
        </w:rPr>
        <w:t xml:space="preserve">Table 1. Healthy Streets indicators and data sources.</w:t>
      </w:r>
    </w:p>
    <w:p>
      <w:pPr>
        <w:pStyle w:val="Heading2"/>
      </w:pPr>
      <w:r>
        <w:t xml:space="preserve">2.3 Scoring Framework — Indicators, Weights, and Worked Example</w:t>
      </w:r>
    </w:p>
    <w:p>
      <w:pPr>
        <w:spacing w:after="80" w:before="80" w:line="276" w:lineRule="auto"/>
        <w:jc w:val="both"/>
      </w:pPr>
      <w:r>
        <w:rPr>
          <w:rFonts w:ascii="Arial" w:cs="Arial" w:eastAsia="Arial" w:hAnsi="Arial"/>
          <w:color w:val="1A1A1A"/>
          <w:sz w:val="22"/>
          <w:szCs w:val="22"/>
        </w:rPr>
        <w:t xml:space="preserve">The Healthy Streets indicator scores were calculated from raw field observations using formula-based automation implemented in Python. Each scoring component and its weighting were derived from a published Australian or international standard to address the validity concerns raised by the academic supervisor. The same set of raw observations always produces the same score, eliminating manual calculation errors and ensuring full reproducibility. Field observer override is supported where field notes provide a clear justification for departing from the formula result.</w:t>
      </w:r>
    </w:p>
    <w:p>
      <w:pPr>
        <w:pStyle w:val="Heading3"/>
      </w:pPr>
      <w:r>
        <w:t xml:space="preserve">HS1 — Footpath Accessibility</w:t>
      </w:r>
    </w:p>
    <w:p>
      <w:pPr>
        <w:spacing w:after="80" w:before="80" w:line="276" w:lineRule="auto"/>
        <w:jc w:val="both"/>
      </w:pPr>
      <w:r>
        <w:rPr>
          <w:rFonts w:ascii="Arial" w:cs="Arial" w:eastAsia="Arial" w:hAnsi="Arial"/>
          <w:color w:val="1A1A1A"/>
          <w:sz w:val="22"/>
          <w:szCs w:val="22"/>
        </w:rPr>
        <w:t xml:space="preserve">HS1 measures footpath quality across six components scored out of 10. The 1.5 metre minimum width threshold is drawn from AS 1428.1-2009, the Australian Standard for Design for Access and Mobility. Footpath continuity carries the second highest weight (2.0 points) consistent with Austroads Guide to Road Design Part 6A, which classifies network continuity as a Tier 1 pedestrian safety control.</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3826"/>
        <w:gridCol w:w="210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38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Footpath presence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Both sides=3.0 | One side=2.0 | Partial=1.0 | None=0.0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Austroads AP-G88-15</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Width</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≥2.0m=2.0 | ≥1.5m=1.5 | ≥1.2m=1.0 | ≥1.0m=0.5 | &lt;1.0m=0.0</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1428.1-2009</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Continuity</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100%=2.0 | 75–99%=1.5 | 50–74%=1.0 | &lt;50%=0.5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Austroads AP-G88-15</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Surface condition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Field rating 1–5, scaled: (rating/5)×2.0</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Austroads AP-G88-15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Kerb ramps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0.5</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Present at all intersections=0.5 | Otherwise=0.0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1428.1-2009</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Obstructions</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0.5</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obstructions=0.5 | Obstructions present=0.0</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VicRoads Walking Guidelines</w:t>
            </w:r>
          </w:p>
        </w:tc>
      </w:tr>
    </w:tbl>
    <w:p>
      <w:pPr>
        <w:spacing w:after="160" w:before="80"/>
        <w:jc w:val="center"/>
      </w:pPr>
      <w:r>
        <w:rPr>
          <w:rFonts w:ascii="Arial" w:cs="Arial" w:eastAsia="Arial" w:hAnsi="Arial"/>
          <w:i/>
          <w:iCs/>
          <w:color w:val="666666"/>
          <w:sz w:val="20"/>
          <w:szCs w:val="20"/>
        </w:rPr>
        <w:t xml:space="preserve">Table 2a. HS1 scoring components.</w:t>
      </w:r>
    </w:p>
    <w:p>
      <w:pPr>
        <w:pStyle w:val="Heading3"/>
      </w:pPr>
      <w:r>
        <w:t xml:space="preserve">HS2 — Crossing Safety</w:t>
      </w:r>
    </w:p>
    <w:p>
      <w:pPr>
        <w:spacing w:after="80" w:before="80" w:line="276" w:lineRule="auto"/>
        <w:jc w:val="both"/>
      </w:pPr>
      <w:r>
        <w:rPr>
          <w:rFonts w:ascii="Arial" w:cs="Arial" w:eastAsia="Arial" w:hAnsi="Arial"/>
          <w:color w:val="1A1A1A"/>
          <w:sz w:val="22"/>
          <w:szCs w:val="22"/>
        </w:rPr>
        <w:t xml:space="preserve">HS2 measures crossing safety across five components. Crossing type carries 4.0 of the 10 available points — the highest single component in the framework — because the presence or absence of a formal crossing is the most determinative factor in pedestrian crash severity. The 150-metre maximum distance threshold is drawn from the TRB Highway Capacity Manual Pedestrian Level of Service methodology.</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3826"/>
        <w:gridCol w:w="210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38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Crossing type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Signalised=4.0 | Zebra=2.5 | Informal=1.0 | None=0.0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1742.4-2019</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Distance from gate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≤50m=2.0 | 51–150m=1.0 | &gt;150m=0.0</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TRB HCM 2010 Ped LoS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Visibility</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Field rating 1–5, scaled: (rating/5)×2.0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VicRoads Ped Design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Tactile pavers</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Present=1.0 | Absent=0.0</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1428.1-2009</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Signal present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Present=1.0 | Not applicable=0.0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1742.4-2019</w:t>
            </w:r>
          </w:p>
        </w:tc>
      </w:tr>
    </w:tbl>
    <w:p>
      <w:pPr>
        <w:spacing w:after="160" w:before="80"/>
        <w:jc w:val="center"/>
      </w:pPr>
      <w:r>
        <w:rPr>
          <w:rFonts w:ascii="Arial" w:cs="Arial" w:eastAsia="Arial" w:hAnsi="Arial"/>
          <w:i/>
          <w:iCs/>
          <w:color w:val="666666"/>
          <w:sz w:val="20"/>
          <w:szCs w:val="20"/>
        </w:rPr>
        <w:t xml:space="preserve">Table 2b. HS2 scoring components.</w:t>
      </w:r>
    </w:p>
    <w:p>
      <w:pPr>
        <w:pStyle w:val="Heading3"/>
      </w:pPr>
      <w:r>
        <w:t xml:space="preserve">HS5 and HS9 — Traffic Environment</w:t>
      </w:r>
    </w:p>
    <w:p>
      <w:pPr>
        <w:spacing w:after="80" w:before="80" w:line="276" w:lineRule="auto"/>
        <w:jc w:val="both"/>
      </w:pPr>
      <w:r>
        <w:rPr>
          <w:rFonts w:ascii="Arial" w:cs="Arial" w:eastAsia="Arial" w:hAnsi="Arial"/>
          <w:color w:val="1A1A1A"/>
          <w:sz w:val="22"/>
          <w:szCs w:val="22"/>
        </w:rPr>
        <w:t xml:space="preserve">Both HS5 and HS9 start at 10.0 and apply deductions for conditions that increase pedestrian exposure risk, consistent with Vision Zero principles and the Movement and Place Framework (Department of Transport Victoria, 2019).</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226"/>
      </w:tblGrid>
      <w:tr>
        <w:trPr>
          <w:tblHeader/>
        </w:trPr>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42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Speed zone 60 km/h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Austroads AP-R679-22 speed-severity curve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Speed zone 70 km/h or above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Fatality risk &gt;80% above 50 km/h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 traffic volume (arterial road)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Movement and Place Framework (DOT Vic, 2019)</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Multiple lanes (2+ each direction)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Movement and Place Framework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 heavy vehicle frequency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Austroads heavy vehicle research</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Traffic calming present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+0.5</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VicRoads School Zone Safety Review (2019)</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Gazetted school zone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VicRoads — 20–35% crash reduction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Cycling infrastructure present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+0.5</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VicRoads TEM Vol. 3 Part 218</w:t>
            </w:r>
          </w:p>
        </w:tc>
      </w:tr>
    </w:tbl>
    <w:p>
      <w:pPr>
        <w:spacing w:after="160" w:before="80"/>
        <w:jc w:val="center"/>
      </w:pPr>
      <w:r>
        <w:rPr>
          <w:rFonts w:ascii="Arial" w:cs="Arial" w:eastAsia="Arial" w:hAnsi="Arial"/>
          <w:i/>
          <w:iCs/>
          <w:color w:val="666666"/>
          <w:sz w:val="20"/>
          <w:szCs w:val="20"/>
        </w:rPr>
        <w:t xml:space="preserve">Table 2c. HS5/HS9 deductions and bonuses.</w:t>
      </w:r>
    </w:p>
    <w:p>
      <w:pPr>
        <w:pStyle w:val="Heading3"/>
      </w:pPr>
      <w:r>
        <w:t xml:space="preserve">HS6 — Cycling Safety (automated from OSM)</w:t>
      </w:r>
    </w:p>
    <w:p>
      <w:pPr>
        <w:spacing w:after="80" w:before="80" w:line="276" w:lineRule="auto"/>
        <w:jc w:val="both"/>
      </w:pPr>
      <w:r>
        <w:rPr>
          <w:rFonts w:ascii="Arial" w:cs="Arial" w:eastAsia="Arial" w:hAnsi="Arial"/>
          <w:color w:val="1A1A1A"/>
          <w:sz w:val="22"/>
          <w:szCs w:val="22"/>
        </w:rPr>
        <w:t xml:space="preserve">HS6 is computed automatically from OpenStreetMap data within a 400-metre buffer. It applies the Level of Traffic Stress framework (Mekuria et al., 2012) and VicRoads TEM Part 218 facility hierarchy. No field entry is required.</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3426"/>
        <w:gridCol w:w="220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34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Cycling network coverage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OSM bike network % of walk network, capped at 4.0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LTS — Mekuria et al. (2012)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Protected infrastructure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3.0</w:t>
            </w:r>
          </w:p>
        </w:tc>
        <w:tc>
          <w:tcPr>
            <w:tcW w:type="dxa" w:w="3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&gt;300m=3.0 | 100–300m=2.0 | 1–100m=1.0 | 0m=0.0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VicRoads TEM Part 218 Tier 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Crossing safety</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Signals ≥3 → +1.0 | Crossing density ≥1/km → +1.0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1742.4-2019</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Speed environment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3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Average road speed ≤40 km/h=1.0 | &gt;40=0.0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LTS 1 child suitability threshold</w:t>
            </w:r>
          </w:p>
        </w:tc>
      </w:tr>
    </w:tbl>
    <w:p>
      <w:pPr>
        <w:spacing w:after="160" w:before="80"/>
        <w:jc w:val="center"/>
      </w:pPr>
      <w:r>
        <w:rPr>
          <w:rFonts w:ascii="Arial" w:cs="Arial" w:eastAsia="Arial" w:hAnsi="Arial"/>
          <w:i/>
          <w:iCs/>
          <w:color w:val="666666"/>
          <w:sz w:val="20"/>
          <w:szCs w:val="20"/>
        </w:rPr>
        <w:t xml:space="preserve">Table 2d. HS6 scoring components.</w:t>
      </w:r>
    </w:p>
    <w:p>
      <w:pPr>
        <w:pStyle w:val="Heading3"/>
      </w:pPr>
      <w:r>
        <w:t xml:space="preserve">Worked example — Preston High School, Cooma Street</w:t>
      </w:r>
    </w:p>
    <w:p>
      <w:pPr>
        <w:spacing w:after="80" w:before="80" w:line="276" w:lineRule="auto"/>
        <w:jc w:val="both"/>
      </w:pPr>
      <w:r>
        <w:rPr>
          <w:rFonts w:ascii="Arial" w:cs="Arial" w:eastAsia="Arial" w:hAnsi="Arial"/>
          <w:color w:val="1A1A1A"/>
          <w:sz w:val="22"/>
          <w:szCs w:val="22"/>
        </w:rPr>
        <w:t xml:space="preserve">The following example demonstrates the complete scoring calculation for Preston High School using field observations collected during the physical school visit on 5 March 2026. This location produces the most safety-critical finding of the three schools.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826"/>
        <w:gridCol w:w="1400"/>
      </w:tblGrid>
      <w:tr>
        <w:trPr>
          <w:tblHeader/>
        </w:trP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 observations</w:t>
            </w:r>
          </w:p>
        </w:tc>
        <w:tc>
          <w:tcPr>
            <w:tcW w:type="dxa" w:w="28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Both sides, 1.57m width, 75% continuity (driveway gap), condition 4/5, kerb ramps present, no obstructions</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 + 1.5 + 1.5 + 1.6 + 0.5 + 0.5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8.6</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HS2</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crossing at all, visibility 1/5, no tactile pavers, no signal</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0.0 + 0.0 + 0.4 + 0.0 + 0.0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HS5/HS9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 km/h zone, high arterial volume, 1 lane, raised intersection, no school zone, separated bike lane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10.0 − 2.0 + 0.5 + 0.5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9.0</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HS6</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45% cycling coverage, 0m protected lanes, 4 signals, crossing density 1.2/km, avg speed 38 km/h</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4.0 + 0.0 + 1.0 + 1.0 + 1.0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7.0</w:t>
            </w:r>
          </w:p>
        </w:tc>
      </w:tr>
    </w:tbl>
    <w:p>
      <w:pPr>
        <w:spacing w:after="80" w:before="80"/>
        <w:jc w:val="center"/>
      </w:pPr>
      <w:r>
        <w:rPr>
          <w:rFonts w:ascii="Arial" w:cs="Arial" w:eastAsia="Arial" w:hAnsi="Arial"/>
          <w:i/>
          <w:iCs/>
          <w:color w:val="666666"/>
          <w:sz w:val="20"/>
          <w:szCs w:val="20"/>
        </w:rPr>
        <w:t xml:space="preserve">Table 2e. Worked example — Preston HS scoring calculation.</w:t>
      </w:r>
    </w:p>
    <w:p>
      <w:pPr>
        <w:spacing w:after="80" w:before="80" w:line="276" w:lineRule="auto"/>
        <w:jc w:val="both"/>
      </w:pPr>
      <w:r>
        <w:rPr>
          <w:rFonts w:ascii="Arial" w:cs="Arial" w:eastAsia="Arial" w:hAnsi="Arial"/>
          <w:color w:val="1A1A1A"/>
          <w:sz w:val="22"/>
          <w:szCs w:val="22"/>
        </w:rPr>
        <w:t xml:space="preserve">The HS2 score of 0.4 — resulting from the complete absence of a pedestrian crossing — triggers a Major severity classification regardless of all other indicator scores. This is the most safety-critical observation in the entire assessment. The priority recommendation for this location is to install a raised zebra crossing with tactile pavers adjacent to the school gate on Cooma Street, consistent with AS 1742.4-2019 Tier 1 crossing treatment.</w:t>
      </w:r>
    </w:p>
    <w:p>
      <w:pPr>
        <w:spacing w:after="80" w:before="80" w:line="276" w:lineRule="auto"/>
        <w:jc w:val="both"/>
      </w:pPr>
      <w:r>
        <w:rPr>
          <w:rFonts w:ascii="Arial" w:cs="Arial" w:eastAsia="Arial" w:hAnsi="Arial"/>
          <w:i/>
          <w:iCs/>
          <w:color w:val="666666"/>
          <w:sz w:val="22"/>
          <w:szCs w:val="22"/>
        </w:rPr>
        <w:t xml:space="preserve">Note on hybrid scoring: the observer initially entered a manual HS1 score of 9.0. The pipeline formula calculated 8.6 due to the 75% continuity flag from the field note about the footpath ending abruptly at a driveway. The formula-calculated score of 8.6 was adopted as the authoritative value, consistent with the hybrid scoring policy that prefers the automated formula over manual entry.</w:t>
      </w:r>
    </w:p>
    <w:p>
      <w:pPr>
        <w:pStyle w:val="Heading2"/>
      </w:pPr>
      <w:r>
        <w:t xml:space="preserve">2.4 Data Sources and Collection</w:t>
      </w:r>
    </w:p>
    <w:p>
      <w:pPr>
        <w:spacing w:after="80" w:before="80" w:line="276" w:lineRule="auto"/>
        <w:jc w:val="both"/>
      </w:pPr>
      <w:r>
        <w:rPr>
          <w:rFonts w:ascii="Arial" w:cs="Arial" w:eastAsia="Arial" w:hAnsi="Arial"/>
          <w:color w:val="1A1A1A"/>
          <w:sz w:val="22"/>
          <w:szCs w:val="22"/>
        </w:rPr>
        <w:t xml:space="preserve">Field observations were collected through physical school visits and Google Street View assessments using a structured 47-field Google Form. Each form submission captured footpath dimensions and condition, crossing type and distance from the school gate, traffic volume and speed zone, lighting quality, cycling infrastructure presence, school zone signage, and observed hazards.</w:t>
      </w:r>
    </w:p>
    <w:p>
      <w:pPr>
        <w:spacing w:after="80" w:before="80" w:line="276" w:lineRule="auto"/>
        <w:jc w:val="both"/>
      </w:pPr>
      <w:r>
        <w:rPr>
          <w:rFonts w:ascii="Arial" w:cs="Arial" w:eastAsia="Arial" w:hAnsi="Arial"/>
          <w:color w:val="1A1A1A"/>
          <w:sz w:val="22"/>
          <w:szCs w:val="22"/>
        </w:rPr>
        <w:t xml:space="preserve">Road crash data was downloaded programmatically from the Victorian Open Data Portal. Three tables — accident records, road node coordinates, and person records — were joined on accident number, filtered for crashes involving pedestrians or cyclists over the five-year period from May 2021 to December 2025, and each crash was assigned to its nearest Victorian government secondary school gate using the Haversine distance formula applied to the Department of Education school locations dataset.</w:t>
      </w:r>
    </w:p>
    <w:p>
      <w:pPr>
        <w:spacing w:after="80" w:before="80" w:line="276" w:lineRule="auto"/>
        <w:jc w:val="both"/>
      </w:pPr>
      <w:r>
        <w:rPr>
          <w:rFonts w:ascii="Arial" w:cs="Arial" w:eastAsia="Arial" w:hAnsi="Arial"/>
          <w:color w:val="1A1A1A"/>
          <w:sz w:val="22"/>
          <w:szCs w:val="22"/>
        </w:rPr>
        <w:t xml:space="preserve">OpenStreetMap spatial features were extracted using the OSMnx library and the Overpass API for each school gate at three buffer radii — 200 metres, 400 metres, and 800 metres — using EPSG:7855 (GDA2020 / MGA zone 55) for accurate metric distance calculations. Air quality data was retrieved from the EPA Victoria AirWatch monitoring network at the Alphington station, with fallback to 2023 suburb-level averages when the live API was unavailable. Crime rate data was sourced from the Crime Statistics Agency Victoria suburb-level recorded offences dataset.</w:t>
      </w:r>
    </w:p>
    <w:p>
      <w:pPr>
        <w:spacing w:after="80" w:before="80" w:line="276" w:lineRule="auto"/>
        <w:jc w:val="both"/>
      </w:pPr>
      <w:r>
        <w:rPr>
          <w:rFonts w:ascii="Arial" w:cs="Arial" w:eastAsia="Arial" w:hAnsi="Arial"/>
          <w:color w:val="1A1A1A"/>
          <w:sz w:val="22"/>
          <w:szCs w:val="22"/>
        </w:rPr>
        <w:t xml:space="preserve">Demographic data was collected directly from the ABS Census 2021 QuickStats portal for Reservoir (SAL22161) and Preston (SAL22121) — the two suburbs in which the three pilot schools are located. All figures were manually verified from the ABS portal pages by the field data collection team member. Table 2f presents the key demographic indicators for both suburbs, collected in response to industry supervisor Nina Sharpe's request for community context to support the infrastructure investment case.</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626"/>
      </w:tblGrid>
      <w:tr>
        <w:trPr>
          <w:tblHeader/>
        </w:trPr>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Demographic indicator</w:t>
            </w:r>
          </w:p>
        </w:tc>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Reservoir</w:t>
            </w:r>
          </w:p>
        </w:tc>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Preston</w:t>
            </w:r>
          </w:p>
        </w:tc>
        <w:tc>
          <w:tcPr>
            <w:tcW w:type="dxa" w:w="16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population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51,096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33,790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ABS Census 2021</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Median weekly household income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$1,541</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$1,844</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ABS Census 2021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Average cars per dwelling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1.4</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ABS Census 2021</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households with no car</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11.1%</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12.8%</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ABS Census 2021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using public transport to work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7.7%</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7.9%</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ABS Census 2021 (verified)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driving to work (as driver)</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45.7%</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35.7%</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ABS Census 2021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working from home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27.7%</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35.4%</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ABS Census 2021 (verified)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cycling to work</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2.2%</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ABS Census 2021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working full time (35 hrs+)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58.7%</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ABS Census 2021 (verified)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children aged 5–17</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9.5%</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9.7%</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ABS Census 2021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Estimated school-age children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~4,854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~3,277</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Calculated: population × %</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Schools covered by this suburb</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Reservoir HS, William Ruthven SC</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Preston HS</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DET school locations</w:t>
            </w:r>
          </w:p>
        </w:tc>
      </w:tr>
    </w:tbl>
    <w:p>
      <w:pPr>
        <w:spacing w:after="80" w:before="80"/>
        <w:jc w:val="center"/>
      </w:pPr>
      <w:r>
        <w:rPr>
          <w:rFonts w:ascii="Arial" w:cs="Arial" w:eastAsia="Arial" w:hAnsi="Arial"/>
          <w:i/>
          <w:iCs/>
          <w:color w:val="666666"/>
          <w:sz w:val="20"/>
          <w:szCs w:val="20"/>
        </w:rPr>
        <w:t xml:space="preserve">Table 2f. ABS Census 2021 demographic indicators — Reservoir and Preston suburbs.</w:t>
      </w:r>
    </w:p>
    <w:p>
      <w:pPr>
        <w:spacing w:after="80" w:before="80" w:line="276" w:lineRule="auto"/>
        <w:jc w:val="both"/>
      </w:pPr>
      <w:r>
        <w:rPr>
          <w:rFonts w:ascii="Arial" w:cs="Arial" w:eastAsia="Arial" w:hAnsi="Arial"/>
          <w:color w:val="1A1A1A"/>
          <w:sz w:val="22"/>
          <w:szCs w:val="22"/>
        </w:rPr>
        <w:t xml:space="preserve">Several indicators in Table 2f are directly relevant to the equity argument for street safety investment. Reservoir's median weekly household income of $1,541 is below the Melbourne metropolitan average of $1,759. With 11.1% of households having no registered vehicle and 58.6% of employed residents working full time, a significant proportion of the approximately 4,854 school-age children in Reservoir must travel to school independently. Preston's cycling rate of 2.2% is more than double Reservoir's rate of 1.0%, indicating latent demand for active travel that is not supported by current infrastructure — Preston High School has no protected cycling facilities adjacent to its gate despite this higher baseline cycling propensity.</w:t>
      </w:r>
    </w:p>
    <w:p>
      <w:pPr>
        <w:spacing w:after="80" w:before="80" w:line="276" w:lineRule="auto"/>
        <w:jc w:val="both"/>
      </w:pPr>
      <w:r>
        <w:rPr>
          <w:rFonts w:ascii="Arial" w:cs="Arial" w:eastAsia="Arial" w:hAnsi="Arial"/>
          <w:color w:val="1A1A1A"/>
          <w:sz w:val="22"/>
          <w:szCs w:val="22"/>
        </w:rPr>
        <w:t xml:space="preserve">Socioeconomic context was further established using the ABS SEIFA 2021 Index of Relative Socio-Economic Disadvantage, which assigns a score and decile ranking to geographic areas based on Census data.</w:t>
      </w:r>
    </w:p>
    <w:p>
      <w:pPr>
        <w:pStyle w:val="Heading2"/>
      </w:pPr>
      <w:r>
        <w:t xml:space="preserve">2.5 Machine Learning Methodology</w:t>
      </w:r>
    </w:p>
    <w:p>
      <w:pPr>
        <w:spacing w:after="80" w:before="80" w:line="276" w:lineRule="auto"/>
        <w:jc w:val="both"/>
      </w:pPr>
      <w:r>
        <w:rPr>
          <w:rFonts w:ascii="Arial" w:cs="Arial" w:eastAsia="Arial" w:hAnsi="Arial"/>
          <w:color w:val="1A1A1A"/>
          <w:sz w:val="22"/>
          <w:szCs w:val="22"/>
        </w:rPr>
        <w:t xml:space="preserve">A multi-output Ridge regression model was trained to predict Healthy Streets indicator scores (HS1–HS10) from 26 open-data features derived from OpenStreetMap, EPA air quality, and Crime Statistics Agency data. Ridge regression was selected over ordinary least squares regression because it applies L2 regularisation, which penalises large coefficients and reduces overfitting — a critical consideration given the small sample size of three schools. The regularisation parameter alpha was set to 1.0, the standard default, without grid search optimisation given the n=3 constraint.</w:t>
      </w:r>
    </w:p>
    <w:p>
      <w:pPr>
        <w:spacing w:after="80" w:before="80" w:line="276" w:lineRule="auto"/>
        <w:jc w:val="both"/>
      </w:pPr>
      <w:r>
        <w:rPr>
          <w:rFonts w:ascii="Arial" w:cs="Arial" w:eastAsia="Arial" w:hAnsi="Arial"/>
          <w:color w:val="1A1A1A"/>
          <w:sz w:val="22"/>
          <w:szCs w:val="22"/>
        </w:rPr>
        <w:t xml:space="preserve">Given the dataset of three schools, Leave-One-Out Cross-Validation (LOO-CV) was the only statistically appropriate evaluation strategy. In LOO-CV, each school is withheld as the test set in turn while the model is trained on the remaining two schools, producing three predictions per indicator. Mean Absolute Error was used as the performance metric, as it provides an intuitive measure of prediction error in the same units as the indicator scores (0–10 scale).</w:t>
      </w:r>
    </w:p>
    <w:p>
      <w:pPr>
        <w:spacing w:after="80" w:before="80" w:line="276" w:lineRule="auto"/>
        <w:jc w:val="both"/>
      </w:pPr>
      <w:r>
        <w:rPr>
          <w:rFonts w:ascii="Arial" w:cs="Arial" w:eastAsia="Arial" w:hAnsi="Arial"/>
          <w:color w:val="1A1A1A"/>
          <w:sz w:val="22"/>
          <w:szCs w:val="22"/>
        </w:rPr>
        <w:t xml:space="preserve">The research question addressed by the model was: which Healthy Streets indicators can be reliably estimated from open data without requiring physical field surveys? Indicators with a LOO-CV MAE below 1.5 were classified as automatable, those between 1.5 and 3.0 as partially automatable, and those above 3.0 as requiring field observation. This classification has direct practical implications for the scalability of the assessment methodology.</w:t>
      </w:r>
    </w:p>
    <w:p>
      <w:pPr>
        <w:spacing w:after="80" w:before="80" w:line="276" w:lineRule="auto"/>
        <w:jc w:val="both"/>
      </w:pPr>
      <w:r>
        <w:rPr>
          <w:rFonts w:ascii="Arial" w:cs="Arial" w:eastAsia="Arial" w:hAnsi="Arial"/>
          <w:color w:val="1A1A1A"/>
          <w:sz w:val="22"/>
          <w:szCs w:val="22"/>
        </w:rPr>
        <w:t xml:space="preserve">A second machine learning component — a Random Forest classifier trained on the 7,773-crash statewide dataset — was developed to predict whether a crash at a given location and time is likely to result in serious or fatal injury. This model uses 52 features including time of day, speed zone, road geometry, school proximity, lighting conditions, and 39 OpenStreetMap spatial features at three buffer radii.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F5F5F5" w:val="clear"/>
            <w:tcMar>
              <w:top w:type="dxa" w:w="240"/>
              <w:left w:type="dxa" w:w="240"/>
              <w:bottom w:type="dxa" w:w="240"/>
              <w:right w:type="dxa" w:w="240"/>
            </w:tcMar>
          </w:tcPr>
          <w:p>
            <w:pPr>
              <w:jc w:val="center"/>
            </w:pPr>
            <w:r>
              <w:rPr>
                <w:rFonts w:ascii="Arial" w:cs="Arial" w:eastAsia="Arial" w:hAnsi="Arial"/>
                <w:b/>
                <w:bCs/>
                <w:color w:val="666666"/>
                <w:sz w:val="22"/>
                <w:szCs w:val="22"/>
              </w:rPr>
              <w:t xml:space="preserve">[ INSERT: Figure 1 — System architecture diagram ]</w:t>
            </w:r>
          </w:p>
          <w:p>
            <w:pPr>
              <w:spacing w:before="60"/>
              <w:jc w:val="center"/>
            </w:pPr>
            <w:r>
              <w:rPr>
                <w:rFonts w:ascii="Arial" w:cs="Arial" w:eastAsia="Arial" w:hAnsi="Arial"/>
                <w:i/>
                <w:iCs/>
                <w:color w:val="666666"/>
                <w:sz w:val="20"/>
                <w:szCs w:val="20"/>
              </w:rPr>
              <w:t xml:space="preserve">Five-stage pipeline: data ingestion → spatial features → HS scoring → visualisation → ML prediction</w:t>
            </w:r>
          </w:p>
        </w:tc>
      </w:tr>
    </w:tbl>
    <w:p>
      <w:pPr>
        <w:spacing w:after="0" w:before="160"/>
      </w:pPr>
    </w:p>
    <w:p>
      <w:pPr>
        <w:pStyle w:val="Heading2"/>
      </w:pPr>
      <w:r>
        <w:t xml:space="preserve">2.6 Computational Environment</w:t>
      </w:r>
    </w:p>
    <w:p>
      <w:pPr>
        <w:spacing w:after="80" w:before="80" w:line="276" w:lineRule="auto"/>
        <w:jc w:val="both"/>
      </w:pPr>
      <w:r>
        <w:rPr>
          <w:rFonts w:ascii="Arial" w:cs="Arial" w:eastAsia="Arial" w:hAnsi="Arial"/>
          <w:color w:val="1A1A1A"/>
          <w:sz w:val="22"/>
          <w:szCs w:val="22"/>
        </w:rPr>
        <w:t xml:space="preserve">The project was implemented in Python 3.10 using an Anaconda virtual environment. Key libraries included pandas and numpy for data processing, geopandas and shapely for spatial operations, osmnx for OpenStreetMap network extraction, scikit-learn for machine learning, matplotlib and seaborn for chart generation, and folium for interactive HTML maps. QGIS 3.x was used for cartographic map production via the PyQGIS automation script. The web dashboard was built using Leaflet.js, Chart.js, and Tailwind CSS, and deployed to GitHub Pages. Version control was managed through Git with a branch-per-sprint workflow hosted on GitHub.</w:t>
      </w:r>
    </w:p>
    <w:p>
      <w:r>
        <w:br w:type="page"/>
      </w:r>
    </w:p>
    <w:p>
      <w:pPr>
        <w:pStyle w:val="Heading1"/>
      </w:pPr>
      <w:r>
        <w:t xml:space="preserve">3. Results, Evaluation and Analysis</w:t>
      </w:r>
    </w:p>
    <w:p>
      <w:pPr>
        <w:pStyle w:val="Heading2"/>
      </w:pPr>
      <w:r>
        <w:t xml:space="preserve">3.1 Healthy Streets Assessment Results</w:t>
      </w:r>
    </w:p>
    <w:p>
      <w:pPr>
        <w:spacing w:after="80" w:before="80" w:line="276" w:lineRule="auto"/>
        <w:jc w:val="both"/>
      </w:pPr>
      <w:r>
        <w:rPr>
          <w:rFonts w:ascii="Arial" w:cs="Arial" w:eastAsia="Arial" w:hAnsi="Arial"/>
          <w:color w:val="1A1A1A"/>
          <w:sz w:val="22"/>
          <w:szCs w:val="22"/>
        </w:rPr>
        <w:t xml:space="preserve">Table 2 presents the Healthy Streets indicator scores for all three pilot schools. The overall score is the mean across all ten indicators. The minimum threshold of 6.0 is the published Healthy Streets standard for an acceptable school street.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600"/>
        <w:gridCol w:w="600"/>
        <w:gridCol w:w="600"/>
        <w:gridCol w:w="600"/>
        <w:gridCol w:w="600"/>
        <w:gridCol w:w="600"/>
        <w:gridCol w:w="600"/>
        <w:gridCol w:w="600"/>
        <w:gridCol w:w="900"/>
        <w:gridCol w:w="90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School</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HS1</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HS2</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HS3</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HS4</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HS5</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HS6</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HS7</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HS8</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HS9</w:t>
            </w:r>
          </w:p>
        </w:tc>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HS10</w:t>
            </w:r>
          </w:p>
        </w:tc>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Reservoir HS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William Ruthven SC</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9.5</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3.3</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4.2</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7.5</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4.3</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6.7</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Minor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Preston HS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7.8</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7.6</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MAJOR</w:t>
            </w:r>
          </w:p>
        </w:tc>
      </w:tr>
    </w:tbl>
    <w:p>
      <w:pPr>
        <w:spacing w:after="160" w:before="80"/>
        <w:jc w:val="center"/>
      </w:pPr>
      <w:r>
        <w:rPr>
          <w:rFonts w:ascii="Arial" w:cs="Arial" w:eastAsia="Arial" w:hAnsi="Arial"/>
          <w:i/>
          <w:iCs/>
          <w:color w:val="666666"/>
          <w:sz w:val="20"/>
          <w:szCs w:val="20"/>
        </w:rPr>
        <w:t xml:space="preserve">Table 2. Healthy Streets indicator scores for all three pilot schools.</w:t>
      </w:r>
    </w:p>
    <w:p>
      <w:pPr>
        <w:spacing w:after="80" w:before="80" w:line="276" w:lineRule="auto"/>
        <w:jc w:val="both"/>
      </w:pPr>
      <w:r>
        <w:rPr>
          <w:rFonts w:ascii="Arial" w:cs="Arial" w:eastAsia="Arial" w:hAnsi="Arial"/>
          <w:color w:val="1A1A1A"/>
          <w:sz w:val="22"/>
          <w:szCs w:val="22"/>
        </w:rPr>
        <w:t xml:space="preserve">Preston High School is classified as Major severity — the highest risk category — due to its HS2 score of 0.4, which reflects the complete absence of any formal pedestrian crossing adjacent to the school gate on Cooma Street. This is a high-traffic arterial road and the extremely low crossing score triggers the Major classification threshold regardless of performance on other indicators. Despite Preston HS recording the highest overall score of 7.2, driven by strong performance on HS1 footpath quality, HS4 rest places, and HS8 amenity, the acute crossing deficiency creates an unacceptable risk condition during school peak hours.</w:t>
      </w:r>
    </w:p>
    <w:p>
      <w:pPr>
        <w:spacing w:after="80" w:before="80" w:line="276" w:lineRule="auto"/>
        <w:jc w:val="both"/>
      </w:pPr>
      <w:r>
        <w:rPr>
          <w:rFonts w:ascii="Arial" w:cs="Arial" w:eastAsia="Arial" w:hAnsi="Arial"/>
          <w:color w:val="1A1A1A"/>
          <w:sz w:val="22"/>
          <w:szCs w:val="22"/>
        </w:rPr>
        <w:t xml:space="preserve">Reservoir High School scores 4.2 on HS1, reflecting a footpath section below the AS 1428.1 minimum width with observed breaks in continuity near the school gate on Plenty Road. The nearest signalised crossing is located over 200 metres from the gate, exceeding the 150-metre threshold established in the TRB Highway Capacity Manual, contributing to a CSS of 5.7. Both indicators fall below the 6.0 threshold, placing the school in the Minor severity category but close to Moderate.</w:t>
      </w:r>
    </w:p>
    <w:p>
      <w:pPr>
        <w:spacing w:after="80" w:before="80" w:line="276" w:lineRule="auto"/>
        <w:jc w:val="both"/>
      </w:pPr>
      <w:r>
        <w:rPr>
          <w:rFonts w:ascii="Arial" w:cs="Arial" w:eastAsia="Arial" w:hAnsi="Arial"/>
          <w:color w:val="1A1A1A"/>
          <w:sz w:val="22"/>
          <w:szCs w:val="22"/>
        </w:rPr>
        <w:t xml:space="preserve">William Ruthven Secondary College performs well on footpaths (HS1 9.5) and the traffic environment (HS5 10.0), but records the lowest shade and shelter score of the three schools at HS3 3.0, reflecting a near-absence of street trees and shelter facilities within 200 metres of the gate. The active travel score of HS6 4.2 reflects limited cycling infrastructure on Merrilands Road despite the presence of a reasonable road environment.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F5F5F5" w:val="clear"/>
            <w:tcMar>
              <w:top w:type="dxa" w:w="240"/>
              <w:left w:type="dxa" w:w="240"/>
              <w:bottom w:type="dxa" w:w="240"/>
              <w:right w:type="dxa" w:w="240"/>
            </w:tcMar>
          </w:tcPr>
          <w:p>
            <w:pPr>
              <w:jc w:val="center"/>
            </w:pPr>
            <w:r>
              <w:rPr>
                <w:rFonts w:ascii="Arial" w:cs="Arial" w:eastAsia="Arial" w:hAnsi="Arial"/>
                <w:b/>
                <w:bCs/>
                <w:color w:val="666666"/>
                <w:sz w:val="22"/>
                <w:szCs w:val="22"/>
              </w:rPr>
              <w:t xml:space="preserve">[ INSERT: Figure 2 — HS radar chart (all three schools) ]</w:t>
            </w:r>
          </w:p>
          <w:p>
            <w:pPr>
              <w:spacing w:before="60"/>
              <w:jc w:val="center"/>
            </w:pPr>
            <w:r>
              <w:rPr>
                <w:rFonts w:ascii="Arial" w:cs="Arial" w:eastAsia="Arial" w:hAnsi="Arial"/>
                <w:i/>
                <w:iCs/>
                <w:color w:val="666666"/>
                <w:sz w:val="20"/>
                <w:szCs w:val="20"/>
              </w:rPr>
              <w:t xml:space="preserve">10-indicator radar chart overlaying Reservoir HS, William Ruthven SC, and Preston HS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F5F5F5" w:val="clear"/>
            <w:tcMar>
              <w:top w:type="dxa" w:w="240"/>
              <w:left w:type="dxa" w:w="240"/>
              <w:bottom w:type="dxa" w:w="240"/>
              <w:right w:type="dxa" w:w="240"/>
            </w:tcMar>
          </w:tcPr>
          <w:p>
            <w:pPr>
              <w:jc w:val="center"/>
            </w:pPr>
            <w:r>
              <w:rPr>
                <w:rFonts w:ascii="Arial" w:cs="Arial" w:eastAsia="Arial" w:hAnsi="Arial"/>
                <w:b/>
                <w:bCs/>
                <w:color w:val="666666"/>
                <w:sz w:val="22"/>
                <w:szCs w:val="22"/>
              </w:rPr>
              <w:t xml:space="preserve">[ INSERT: Figure 3 — HS score comparison chart ]</w:t>
            </w:r>
          </w:p>
          <w:p>
            <w:pPr>
              <w:spacing w:before="60"/>
              <w:jc w:val="center"/>
            </w:pPr>
            <w:r>
              <w:rPr>
                <w:rFonts w:ascii="Arial" w:cs="Arial" w:eastAsia="Arial" w:hAnsi="Arial"/>
                <w:i/>
                <w:iCs/>
                <w:color w:val="666666"/>
                <w:sz w:val="20"/>
                <w:szCs w:val="20"/>
              </w:rPr>
              <w:t xml:space="preserve">Per-indicator bar comparison across all three schools</w:t>
            </w:r>
          </w:p>
        </w:tc>
      </w:tr>
    </w:tbl>
    <w:p>
      <w:pPr>
        <w:spacing w:after="0" w:before="160"/>
      </w:pPr>
    </w:p>
    <w:p>
      <w:pPr>
        <w:pStyle w:val="Heading2"/>
      </w:pPr>
      <w:r>
        <w:t xml:space="preserve">3.2 Crash Data Analysis</w:t>
      </w:r>
    </w:p>
    <w:p>
      <w:pPr>
        <w:spacing w:after="80" w:before="80" w:line="276" w:lineRule="auto"/>
        <w:jc w:val="both"/>
      </w:pPr>
      <w:r>
        <w:rPr>
          <w:rFonts w:ascii="Arial" w:cs="Arial" w:eastAsia="Arial" w:hAnsi="Arial"/>
          <w:color w:val="1A1A1A"/>
          <w:sz w:val="22"/>
          <w:szCs w:val="22"/>
        </w:rPr>
        <w:t xml:space="preserve">The crash analysis pipeline downloaded 7,773 Victorian pedestrian and cyclist crash records from the Department of Transport and Planning Open Data Portal, covering the five-year period from May 2021 to December 2025. Of these, 201 crashes (2.6%) resulted in fatalities, 3,150 (40.5%) resulted in serious injury, and 4,422 (56.9%) resulted in other injury. The combined serious or fatal crash rate of 43.1% represents the positive class for the Random Forest severity prediction model.</w:t>
      </w:r>
    </w:p>
    <w:p>
      <w:pPr>
        <w:spacing w:after="80" w:before="80" w:line="276" w:lineRule="auto"/>
        <w:jc w:val="both"/>
      </w:pPr>
      <w:r>
        <w:rPr>
          <w:rFonts w:ascii="Arial" w:cs="Arial" w:eastAsia="Arial" w:hAnsi="Arial"/>
          <w:color w:val="1A1A1A"/>
          <w:sz w:val="22"/>
          <w:szCs w:val="22"/>
        </w:rPr>
        <w:t xml:space="preserve">Crash markers were spatially joined to the nearest Victorian government secondary school gate, enabling the identification of crash density patterns within 400-metre catchment zones. The crash heatmap revealed elevated pedestrian and cyclist crash density in the areas surrounding Reservoir High School, consistent with the hazardous footpath and crossing conditions observed during field assessment. The crash data provides historical evidence that the infrastructure deficiencies identified through field observation have measurable consequences in terms of real crash outcomes.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F5F5F5" w:val="clear"/>
            <w:tcMar>
              <w:top w:type="dxa" w:w="240"/>
              <w:left w:type="dxa" w:w="240"/>
              <w:bottom w:type="dxa" w:w="240"/>
              <w:right w:type="dxa" w:w="240"/>
            </w:tcMar>
          </w:tcPr>
          <w:p>
            <w:pPr>
              <w:jc w:val="center"/>
            </w:pPr>
            <w:r>
              <w:rPr>
                <w:rFonts w:ascii="Arial" w:cs="Arial" w:eastAsia="Arial" w:hAnsi="Arial"/>
                <w:b/>
                <w:bCs/>
                <w:color w:val="666666"/>
                <w:sz w:val="22"/>
                <w:szCs w:val="22"/>
              </w:rPr>
              <w:t xml:space="preserve">[ INSERT: Figure 4 — Crash density heatmap ]</w:t>
            </w:r>
          </w:p>
          <w:p>
            <w:pPr>
              <w:spacing w:before="60"/>
              <w:jc w:val="center"/>
            </w:pPr>
            <w:r>
              <w:rPr>
                <w:rFonts w:ascii="Arial" w:cs="Arial" w:eastAsia="Arial" w:hAnsi="Arial"/>
                <w:i/>
                <w:iCs/>
                <w:color w:val="666666"/>
                <w:sz w:val="20"/>
                <w:szCs w:val="20"/>
              </w:rPr>
              <w:t xml:space="preserve">KDE heatmap of pedestrian and cyclist crashes within 400m of school gates</w:t>
            </w:r>
          </w:p>
        </w:tc>
      </w:tr>
    </w:tbl>
    <w:p>
      <w:pPr>
        <w:spacing w:after="0" w:before="160"/>
      </w:pPr>
    </w:p>
    <w:p>
      <w:pPr>
        <w:pStyle w:val="Heading2"/>
      </w:pPr>
      <w:r>
        <w:t xml:space="preserve">3.3 Machine Learning Results</w:t>
      </w:r>
    </w:p>
    <w:p>
      <w:pPr>
        <w:spacing w:after="80" w:before="80" w:line="276" w:lineRule="auto"/>
        <w:jc w:val="both"/>
      </w:pPr>
      <w:r>
        <w:rPr>
          <w:rFonts w:ascii="Arial" w:cs="Arial" w:eastAsia="Arial" w:hAnsi="Arial"/>
          <w:color w:val="1A1A1A"/>
          <w:sz w:val="22"/>
          <w:szCs w:val="22"/>
        </w:rPr>
        <w:t xml:space="preserve">Table 3 presents the LOO-CV MAE results for the Ridge regression model predicting HS indicator scores from open data. The mean MAE across all ten indicators is 2.68, indicating that on average the model's predictions differ from observed scores by 2.68 points on a 0–10 scale. These results are acknowledged to be illustrative given the n=3 constraint, and will become more reliable as additional schools are assessed.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LOO-CV MAE</w:t>
            </w:r>
          </w:p>
        </w:tc>
        <w:tc>
          <w:tcPr>
            <w:tcW w:type="dxa" w:w="4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Automation 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HS7 — Feel safe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0.40</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Can be automated — crime rate is a reliable proxy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HS10 — Clean air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0.73</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Can be automated — EPA AQI maps directly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HS3 — Shade and shelter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1.61</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Largely automatable — OSM tree data reasonably predictive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HS9 — Feel relaxed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2.28</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Partially automatable — speed and arterial data captures most variance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HS6 — Active travel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2.42</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Partially automatable — network coverage adequate, quality not captured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HS4 — Rest places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3.17</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Requires field survey — OSM bench data unreliable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HS5 — Not too noisy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3.81</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Requires field survey — OSM speed data underestimates volume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HS8 — Things to see and do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3.82</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Requires field survey — amenity count does not capture quality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HS2 — Easy to cross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4.25</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Requires field survey — crossing presence does not equal crossing quality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HS1 — Pedestrians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4.32</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Requires field survey — footpath condition cannot be inferred from OSM</w:t>
            </w:r>
          </w:p>
        </w:tc>
      </w:tr>
    </w:tbl>
    <w:p>
      <w:pPr>
        <w:spacing w:after="160" w:before="80"/>
        <w:jc w:val="center"/>
      </w:pPr>
      <w:r>
        <w:rPr>
          <w:rFonts w:ascii="Arial" w:cs="Arial" w:eastAsia="Arial" w:hAnsi="Arial"/>
          <w:i/>
          <w:iCs/>
          <w:color w:val="666666"/>
          <w:sz w:val="20"/>
          <w:szCs w:val="20"/>
        </w:rPr>
        <w:t xml:space="preserve">Table 3. Ridge regression LOO-CV MAE per Healthy Streets indicator (n=3 schools).</w:t>
      </w:r>
    </w:p>
    <w:p>
      <w:pPr>
        <w:spacing w:after="80" w:before="80" w:line="276" w:lineRule="auto"/>
        <w:jc w:val="both"/>
      </w:pPr>
      <w:r>
        <w:rPr>
          <w:rFonts w:ascii="Arial" w:cs="Arial" w:eastAsia="Arial" w:hAnsi="Arial"/>
          <w:color w:val="1A1A1A"/>
          <w:sz w:val="22"/>
          <w:szCs w:val="22"/>
        </w:rPr>
        <w:t xml:space="preserve">The most practically significant finding from the ML model is the contrast between HS7 and HS2. The personal safety indicator can be predicted with high accuracy from crime rate data (MAE 0.40), suggesting that councils and community organisations can rapidly screen suburbs for safety concerns without field visits. By contrast, the crossing safety indicator — which is the most consequential safety indicator for school streets — cannot be reliably predicted from open data (MAE 4.25). Crossing presence in OpenStreetMap does not indicate crossing quality, visibility, tactile provision, or distance from the school gate. This finding directly justifies the continued importance of physical field observation in the methodology.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F5F5F5" w:val="clear"/>
            <w:tcMar>
              <w:top w:type="dxa" w:w="240"/>
              <w:left w:type="dxa" w:w="240"/>
              <w:bottom w:type="dxa" w:w="240"/>
              <w:right w:type="dxa" w:w="240"/>
            </w:tcMar>
          </w:tcPr>
          <w:p>
            <w:pPr>
              <w:jc w:val="center"/>
            </w:pPr>
            <w:r>
              <w:rPr>
                <w:rFonts w:ascii="Arial" w:cs="Arial" w:eastAsia="Arial" w:hAnsi="Arial"/>
                <w:b/>
                <w:bCs/>
                <w:color w:val="666666"/>
                <w:sz w:val="22"/>
                <w:szCs w:val="22"/>
              </w:rPr>
              <w:t xml:space="preserve">[ INSERT: Figure 5 — ML feature importance chart ]</w:t>
            </w:r>
          </w:p>
          <w:p>
            <w:pPr>
              <w:spacing w:before="60"/>
              <w:jc w:val="center"/>
            </w:pPr>
            <w:r>
              <w:rPr>
                <w:rFonts w:ascii="Arial" w:cs="Arial" w:eastAsia="Arial" w:hAnsi="Arial"/>
                <w:i/>
                <w:iCs/>
                <w:color w:val="666666"/>
                <w:sz w:val="20"/>
                <w:szCs w:val="20"/>
              </w:rPr>
              <w:t xml:space="preserve">Ridge regression coefficients showing top predictors per HS indicator</w:t>
            </w:r>
          </w:p>
        </w:tc>
      </w:tr>
    </w:tbl>
    <w:p>
      <w:pPr>
        <w:spacing w:after="0" w:before="160"/>
      </w:pPr>
    </w:p>
    <w:p>
      <w:pPr>
        <w:pStyle w:val="Heading2"/>
      </w:pPr>
      <w:r>
        <w:t xml:space="preserve">3.4 Demographic and Socioeconomic Analysis</w:t>
      </w:r>
    </w:p>
    <w:p>
      <w:pPr>
        <w:spacing w:after="80" w:before="80" w:line="276" w:lineRule="auto"/>
        <w:jc w:val="both"/>
      </w:pPr>
      <w:r>
        <w:rPr>
          <w:rFonts w:ascii="Arial" w:cs="Arial" w:eastAsia="Arial" w:hAnsi="Arial"/>
          <w:color w:val="1A1A1A"/>
          <w:sz w:val="22"/>
          <w:szCs w:val="22"/>
        </w:rPr>
        <w:t xml:space="preserve">ABS Census 2021 data for the Reservoir and Preston suburbs provides critical context for understanding why street safety investment is a social equity issue in these communities, not merely a transport planning concern. Reservoir has a median weekly household income of $1,541, below the Melbourne metropolitan average of $1,759. Approximately 11.1% of Reservoir households have no registered motor vehicle, and 58.6% of employed residents work full time, meaning a significant proportion of school-age children must travel independently rather than being driven. The estimated school-age population of Reservoir is approximately 4,854 children. Preston has a higher cycling rate (2.2% compared to Reservoir's 1.0%) but no protected cycling infrastructure adjacent to Preston High School, demonstrating a latent demand for active travel that is not supported by current infrastructure.</w:t>
      </w:r>
    </w:p>
    <w:p>
      <w:pPr>
        <w:spacing w:after="80" w:before="80" w:line="276" w:lineRule="auto"/>
        <w:jc w:val="both"/>
      </w:pPr>
      <w:r>
        <w:rPr>
          <w:rFonts w:ascii="Arial" w:cs="Arial" w:eastAsia="Arial" w:hAnsi="Arial"/>
          <w:color w:val="1A1A1A"/>
          <w:sz w:val="22"/>
          <w:szCs w:val="22"/>
        </w:rPr>
        <w:t xml:space="preserve">SEIFA 2021 analysis confirms that both school catchments experience above-average socioeconomic disadvantage. Reservoir's IRSD score of 974.6 (decile 3.7 out of 10, where decile 1 is most disadvantaged) indicates moderate-high disadvantage relative to the national average of 1,000. Preston's IRSD score of 1,009.9 (decile 5.5) indicates moderate disadvantage. The correlation between the schools with the worst pedestrian safety conditions — Reservoir High School, with HS1 4.2 and HS2 5.7 — and the most socioeconomically disadvantaged catchment area strengthens the equity argument for prioritised infrastructure investment under the Regen Melbourne initiative.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F5F5F5" w:val="clear"/>
            <w:tcMar>
              <w:top w:type="dxa" w:w="240"/>
              <w:left w:type="dxa" w:w="240"/>
              <w:bottom w:type="dxa" w:w="240"/>
              <w:right w:type="dxa" w:w="240"/>
            </w:tcMar>
          </w:tcPr>
          <w:p>
            <w:pPr>
              <w:jc w:val="center"/>
            </w:pPr>
            <w:r>
              <w:rPr>
                <w:rFonts w:ascii="Arial" w:cs="Arial" w:eastAsia="Arial" w:hAnsi="Arial"/>
                <w:b/>
                <w:bCs/>
                <w:color w:val="666666"/>
                <w:sz w:val="22"/>
                <w:szCs w:val="22"/>
              </w:rPr>
              <w:t xml:space="preserve">[ INSERT: Figure 6 — Demographics chart ]</w:t>
            </w:r>
          </w:p>
          <w:p>
            <w:pPr>
              <w:spacing w:before="60"/>
              <w:jc w:val="center"/>
            </w:pPr>
            <w:r>
              <w:rPr>
                <w:rFonts w:ascii="Arial" w:cs="Arial" w:eastAsia="Arial" w:hAnsi="Arial"/>
                <w:i/>
                <w:iCs/>
                <w:color w:val="666666"/>
                <w:sz w:val="20"/>
                <w:szCs w:val="20"/>
              </w:rPr>
              <w:t xml:space="preserve">ABS Census 2021 demographic profiles for Reservoir and Preston</w:t>
            </w:r>
          </w:p>
        </w:tc>
      </w:tr>
    </w:tbl>
    <w:p>
      <w:pPr>
        <w:spacing w:after="0" w:before="160"/>
      </w:pPr>
    </w:p>
    <w:p>
      <w:pPr>
        <w:pStyle w:val="Heading2"/>
      </w:pPr>
      <w:r>
        <w:t xml:space="preserve">3.5 Recommendations</w:t>
      </w:r>
    </w:p>
    <w:p>
      <w:pPr>
        <w:spacing w:after="80" w:before="80" w:line="276" w:lineRule="auto"/>
        <w:jc w:val="both"/>
      </w:pPr>
      <w:r>
        <w:rPr>
          <w:rFonts w:ascii="Arial" w:cs="Arial" w:eastAsia="Arial" w:hAnsi="Arial"/>
          <w:color w:val="1A1A1A"/>
          <w:sz w:val="22"/>
          <w:szCs w:val="22"/>
        </w:rPr>
        <w:t xml:space="preserve">The recommendation engine applies 17 rule-based interventions derived from field observation data, with each recommendation citing a published standard. Table 4 presents the highest-priority interventions across all three schools.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200"/>
        <w:gridCol w:w="3026"/>
        <w:gridCol w:w="100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School</w:t>
            </w:r>
          </w:p>
        </w:tc>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Hazard</w:t>
            </w:r>
          </w:p>
        </w:tc>
        <w:tc>
          <w:tcPr>
            <w:tcW w:type="dxa" w:w="3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Recommended intervention</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Preston HS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crossing on arterial road</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Install raised zebra crossing with tactile pavers adjacent to gate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Preston HS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school zone signage</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Install school zone signs with 40 km/h restriction on all approaches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Reservoir HS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Footpath below minimum width</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Widen footpath to AS 1428.1 minimum 1.5m for 80m section near gate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Reservoir HS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Crossing over 200m from gate</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Install additional pedestrian crossing within 50m of school gate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William Ruthven SC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HS3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shade and shelter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Plant street trees at 8m spacing; install bus shelter with seating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William Ruthven SC</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HS6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cycling infrastructure</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Install painted bike lane minimum (LTS 2–3) on school frontage road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Medium</w:t>
            </w:r>
          </w:p>
        </w:tc>
      </w:tr>
    </w:tbl>
    <w:p>
      <w:pPr>
        <w:spacing w:after="160" w:before="80"/>
        <w:jc w:val="center"/>
      </w:pPr>
      <w:r>
        <w:rPr>
          <w:rFonts w:ascii="Arial" w:cs="Arial" w:eastAsia="Arial" w:hAnsi="Arial"/>
          <w:i/>
          <w:iCs/>
          <w:color w:val="666666"/>
          <w:sz w:val="20"/>
          <w:szCs w:val="20"/>
        </w:rPr>
        <w:t xml:space="preserve">Table 4. Highest-priority recommendations across all three pilot schools.</w:t>
      </w:r>
    </w:p>
    <w:p>
      <w:pPr>
        <w:pStyle w:val="Heading2"/>
      </w:pPr>
      <w:r>
        <w:t xml:space="preserve">3.6 Interactive Dashboard</w:t>
      </w:r>
    </w:p>
    <w:p>
      <w:pPr>
        <w:spacing w:after="80" w:before="80" w:line="276" w:lineRule="auto"/>
        <w:jc w:val="both"/>
      </w:pPr>
      <w:r>
        <w:rPr>
          <w:rFonts w:ascii="Arial" w:cs="Arial" w:eastAsia="Arial" w:hAnsi="Arial"/>
          <w:color w:val="1A1A1A"/>
          <w:sz w:val="22"/>
          <w:szCs w:val="22"/>
        </w:rPr>
        <w:t xml:space="preserve">An interactive web dashboard was developed to present all project findings to a non-technical audience including Regen Melbourne staff, Darebin Council planners, and community stakeholders. The dashboard is deployed on GitHub Pages and accessible via a permanent URL without requiring any software installation. It presents four sections: an interactive Leaflet.js map showing school severity markers and crash density, a school assessment panel with radar charts and indicator breakdowns, a data analysis section presenting ML results and SEIFA findings, and a filterable recommendations table with CSV export functionality.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F5F5F5" w:val="clear"/>
            <w:tcMar>
              <w:top w:type="dxa" w:w="240"/>
              <w:left w:type="dxa" w:w="240"/>
              <w:bottom w:type="dxa" w:w="240"/>
              <w:right w:type="dxa" w:w="240"/>
            </w:tcMar>
          </w:tcPr>
          <w:p>
            <w:pPr>
              <w:jc w:val="center"/>
            </w:pPr>
            <w:r>
              <w:rPr>
                <w:rFonts w:ascii="Arial" w:cs="Arial" w:eastAsia="Arial" w:hAnsi="Arial"/>
                <w:b/>
                <w:bCs/>
                <w:color w:val="666666"/>
                <w:sz w:val="22"/>
                <w:szCs w:val="22"/>
              </w:rPr>
              <w:t xml:space="preserve">[ INSERT: Figure 7 — Dashboard screenshot ]</w:t>
            </w:r>
          </w:p>
          <w:p>
            <w:pPr>
              <w:spacing w:before="60"/>
              <w:jc w:val="center"/>
            </w:pPr>
            <w:r>
              <w:rPr>
                <w:rFonts w:ascii="Arial" w:cs="Arial" w:eastAsia="Arial" w:hAnsi="Arial"/>
                <w:i/>
                <w:iCs/>
                <w:color w:val="666666"/>
                <w:sz w:val="20"/>
                <w:szCs w:val="20"/>
              </w:rPr>
              <w:t xml:space="preserve">Interactive web dashboard showing school map and indicator scores</w:t>
            </w:r>
          </w:p>
        </w:tc>
      </w:tr>
    </w:tbl>
    <w:p>
      <w:pPr>
        <w:spacing w:after="0" w:before="160"/>
      </w:pPr>
    </w:p>
    <w:p>
      <w:r>
        <w:br w:type="page"/>
      </w:r>
    </w:p>
    <w:p>
      <w:pPr>
        <w:pStyle w:val="Heading1"/>
      </w:pPr>
      <w:r>
        <w:t xml:space="preserve">4. Conclusion</w:t>
      </w:r>
    </w:p>
    <w:p>
      <w:pPr>
        <w:spacing w:after="80" w:before="80" w:line="276" w:lineRule="auto"/>
        <w:jc w:val="both"/>
      </w:pPr>
      <w:r>
        <w:rPr>
          <w:rFonts w:ascii="Arial" w:cs="Arial" w:eastAsia="Arial" w:hAnsi="Arial"/>
          <w:color w:val="1A1A1A"/>
          <w:sz w:val="22"/>
          <w:szCs w:val="22"/>
        </w:rPr>
        <w:t xml:space="preserve">This project has delivered an end-to-end data science pipeline for assessing pedestrian and cyclist safety on streets surrounding secondary schools in the City of Darebin, Melbourne. The assessment of three pilot schools using the Healthy Streets framework identified Preston High School as requiring urgent intervention due to the complete absence of a pedestrian crossing on a high-traffic arterial road, a finding supported by both field observation and historical crash data. Reservoir High School and William Ruthven Secondary College were classified as Minor severity with specific indicator gaps requiring targeted improvement.</w:t>
      </w:r>
    </w:p>
    <w:p>
      <w:pPr>
        <w:spacing w:after="80" w:before="80" w:line="276" w:lineRule="auto"/>
        <w:jc w:val="both"/>
      </w:pPr>
      <w:r>
        <w:rPr>
          <w:rFonts w:ascii="Arial" w:cs="Arial" w:eastAsia="Arial" w:hAnsi="Arial"/>
          <w:color w:val="1A1A1A"/>
          <w:sz w:val="22"/>
          <w:szCs w:val="22"/>
        </w:rPr>
        <w:t xml:space="preserve">The machine learning analysis demonstrated that two of the ten Healthy Streets indicators — personal safety and air quality — can be reliably estimated from open data without field surveys, while the most safety-critical indicators, particularly crossing quality and footpath condition, require direct observation. This finding has important implications for scaling the methodology to the wider 300,000 Streets programme: a hybrid approach combining automated screening with targeted field surveys represents the most efficient pathway to city-wide assessment.</w:t>
      </w:r>
    </w:p>
    <w:p>
      <w:pPr>
        <w:spacing w:after="80" w:before="80" w:line="276" w:lineRule="auto"/>
        <w:jc w:val="both"/>
      </w:pPr>
      <w:r>
        <w:rPr>
          <w:rFonts w:ascii="Arial" w:cs="Arial" w:eastAsia="Arial" w:hAnsi="Arial"/>
          <w:color w:val="1A1A1A"/>
          <w:sz w:val="22"/>
          <w:szCs w:val="22"/>
        </w:rPr>
        <w:t xml:space="preserve">The SEIFA and demographic analysis confirmed that the communities most dependent on safe walking and cycling infrastructure — those with lower household incomes, higher proportions of car-free households, and above-average concentrations of school-age children — are also the communities currently underserved by existing pedestrian infrastructure. This evidence provides a compelling equity argument for the prioritisation of Darebin school streets in the Regen Melbourne investment programme.</w:t>
      </w:r>
    </w:p>
    <w:p>
      <w:pPr>
        <w:pStyle w:val="Heading2"/>
      </w:pPr>
      <w:r>
        <w:t xml:space="preserve">4.1 Future Directions</w:t>
      </w:r>
    </w:p>
    <w:p>
      <w:pPr>
        <w:spacing w:after="80" w:before="80" w:line="276" w:lineRule="auto"/>
        <w:jc w:val="both"/>
      </w:pPr>
      <w:r>
        <w:rPr>
          <w:rFonts w:ascii="Arial" w:cs="Arial" w:eastAsia="Arial" w:hAnsi="Arial"/>
          <w:color w:val="1A1A1A"/>
          <w:sz w:val="22"/>
          <w:szCs w:val="22"/>
        </w:rPr>
        <w:t xml:space="preserve">Several directions for future development were identified during the project. Expanding the pilot from three schools to all 47 Victorian government secondary schools within the City of Darebin would provide a comprehensive LGA-level safety profile that could directly inform council capital works planning. The machine learning pipeline is already configured to accept any Victorian government secondary school gate as input — expansion requires only additional field observation data.</w:t>
      </w:r>
    </w:p>
    <w:p>
      <w:pPr>
        <w:spacing w:after="80" w:before="80" w:line="276" w:lineRule="auto"/>
        <w:jc w:val="both"/>
      </w:pPr>
      <w:r>
        <w:rPr>
          <w:rFonts w:ascii="Arial" w:cs="Arial" w:eastAsia="Arial" w:hAnsi="Arial"/>
          <w:color w:val="1A1A1A"/>
          <w:sz w:val="22"/>
          <w:szCs w:val="22"/>
        </w:rPr>
        <w:t xml:space="preserve">The Ridge regression model will benefit substantially from additional training data. With n=3 schools, LOO-CV results are illustrative; with n=20 or more schools, the model would approach the statistical power needed for reliable indicator prediction. Upgrading from Ridge regression to an XGBoost model with SHAP value analysis would additionally enable publication-quality feature importance interpretation for the academic report.</w:t>
      </w:r>
    </w:p>
    <w:p>
      <w:pPr>
        <w:spacing w:after="80" w:before="80" w:line="276" w:lineRule="auto"/>
        <w:jc w:val="both"/>
      </w:pPr>
      <w:r>
        <w:rPr>
          <w:rFonts w:ascii="Arial" w:cs="Arial" w:eastAsia="Arial" w:hAnsi="Arial"/>
          <w:color w:val="1A1A1A"/>
          <w:sz w:val="22"/>
          <w:szCs w:val="22"/>
        </w:rPr>
        <w:t xml:space="preserve">Deploying the dashboard on an AWS EC2 instance, as offered by the academic supervisor, would enable dynamic data updates and a permanent institutional URL for Regen Melbourne's use beyond the project period. A scenario engine allowing users to model the impact of specific interventions — for example, selecting 'install crossing' and seeing the projected HS2 score improvement — would further enhance the tool's utility for council engagement.</w:t>
      </w:r>
    </w:p>
    <w:p>
      <w:r>
        <w:br w:type="page"/>
      </w:r>
    </w:p>
    <w:p>
      <w:pPr>
        <w:pStyle w:val="Heading1"/>
      </w:pPr>
      <w:r>
        <w:t xml:space="preserve">Appendix A — Code and Project Management</w:t>
      </w:r>
    </w:p>
    <w:p>
      <w:pPr>
        <w:pStyle w:val="Heading2"/>
      </w:pPr>
      <w:r>
        <w:t xml:space="preserve">A.1 GitHub Repository</w:t>
      </w:r>
    </w:p>
    <w:p>
      <w:pPr>
        <w:spacing w:after="80" w:before="80" w:line="276" w:lineRule="auto"/>
        <w:jc w:val="both"/>
      </w:pPr>
      <w:r>
        <w:rPr>
          <w:rFonts w:ascii="Arial" w:cs="Arial" w:eastAsia="Arial" w:hAnsi="Arial"/>
          <w:color w:val="1A1A1A"/>
          <w:sz w:val="22"/>
          <w:szCs w:val="22"/>
        </w:rPr>
        <w:t xml:space="preserve">The complete project codebase, including all pipeline scripts, modular source code, documentation, and the web dashboard, is hosted at:</w:t>
      </w:r>
    </w:p>
    <w:p>
      <w:pPr>
        <w:spacing w:after="80" w:before="80" w:line="276" w:lineRule="auto"/>
        <w:jc w:val="both"/>
      </w:pPr>
      <w:r>
        <w:rPr>
          <w:rFonts w:ascii="Arial" w:cs="Arial" w:eastAsia="Arial" w:hAnsi="Arial"/>
          <w:color w:val="1A1A1A"/>
          <w:sz w:val="22"/>
          <w:szCs w:val="22"/>
        </w:rPr>
        <w:t xml:space="preserve">https://github.com/s4111078-sidd/300-000-School-Streets</w:t>
      </w:r>
    </w:p>
    <w:p>
      <w:pPr>
        <w:spacing w:after="80" w:before="80" w:line="276" w:lineRule="auto"/>
        <w:jc w:val="both"/>
      </w:pPr>
      <w:r>
        <w:rPr>
          <w:rFonts w:ascii="Arial" w:cs="Arial" w:eastAsia="Arial" w:hAnsi="Arial"/>
          <w:color w:val="1A1A1A"/>
          <w:sz w:val="22"/>
          <w:szCs w:val="22"/>
        </w:rPr>
        <w:t xml:space="preserve">The repository uses a branch-per-sprint Git workflow. Each team member maintained a named branch for their contributions, with changes merged into main via pull requests after peer review. The main branch at any point represents the latest verified, pipeline-tested state of the project.</w:t>
      </w:r>
    </w:p>
    <w:p>
      <w:pPr>
        <w:pStyle w:val="Heading2"/>
      </w:pPr>
      <w:r>
        <w:t xml:space="preserve">A.2 Live Dashboard</w:t>
      </w:r>
    </w:p>
    <w:p>
      <w:pPr>
        <w:spacing w:after="80" w:before="80" w:line="276" w:lineRule="auto"/>
        <w:jc w:val="both"/>
      </w:pPr>
      <w:r>
        <w:rPr>
          <w:rFonts w:ascii="Arial" w:cs="Arial" w:eastAsia="Arial" w:hAnsi="Arial"/>
          <w:color w:val="1A1A1A"/>
          <w:sz w:val="22"/>
          <w:szCs w:val="22"/>
        </w:rPr>
        <w:t xml:space="preserve">The interactive web dashboard is deployed at:</w:t>
      </w:r>
    </w:p>
    <w:p>
      <w:pPr>
        <w:spacing w:after="80" w:before="80" w:line="276" w:lineRule="auto"/>
        <w:jc w:val="both"/>
      </w:pPr>
      <w:r>
        <w:rPr>
          <w:rFonts w:ascii="Arial" w:cs="Arial" w:eastAsia="Arial" w:hAnsi="Arial"/>
          <w:color w:val="1A1A1A"/>
          <w:sz w:val="22"/>
          <w:szCs w:val="22"/>
        </w:rPr>
        <w:t xml:space="preserve">https://s4111078-sidd.github.io/300-000-School-Streets/</w:t>
      </w:r>
    </w:p>
    <w:p>
      <w:pPr>
        <w:pStyle w:val="Heading2"/>
      </w:pPr>
      <w:r>
        <w:t xml:space="preserve">A.3 Project Management</w:t>
      </w:r>
    </w:p>
    <w:p>
      <w:pPr>
        <w:spacing w:after="80" w:before="80" w:line="276" w:lineRule="auto"/>
        <w:jc w:val="both"/>
      </w:pPr>
      <w:r>
        <w:rPr>
          <w:rFonts w:ascii="Arial" w:cs="Arial" w:eastAsia="Arial" w:hAnsi="Arial"/>
          <w:color w:val="1A1A1A"/>
          <w:sz w:val="22"/>
          <w:szCs w:val="22"/>
        </w:rPr>
        <w:t xml:space="preserve">Project management was conducted through GitHub's native branch, pull request, and commit history tools. Each sprint's tasks were tracked through branch creation and PR descriptions. Weekly meeting notes were maintained on Microsoft Teams. No separate project management tool such as Jira or Trello was used; the GitHub repository commit history provides a complete, chronological record of all team contributions.</w:t>
      </w:r>
    </w:p>
    <w:p>
      <w:r>
        <w:br w:type="page"/>
      </w:r>
    </w:p>
    <w:p>
      <w:pPr>
        <w:pStyle w:val="Heading1"/>
      </w:pPr>
      <w:r>
        <w:t xml:space="preserve">Appendix B — Roles, Responsibilities, and Collaboration</w:t>
      </w:r>
    </w:p>
    <w:p>
      <w:pPr>
        <w:pStyle w:val="Heading2"/>
      </w:pPr>
      <w:r>
        <w:t xml:space="preserve">B.1 Team Roles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c>
          <w:tcPr>
            <w:tcW w:type="dxa" w:w="4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 contributions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Vipparla Reddy Pranay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 Collection &amp; Field Coordinator</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Physical school visits (Preston HS, Reservoir HS, William Ruthven SC); Google Form field observations; demographics collection from ABS Census 2021; PR review and merge coordination; industry supervisor liaison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Venkata Nagendra Anamala</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Data Engineering &amp; Preprocessing</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school_data.csv cleaning and preprocessing; Google Form design and management; CRS standardisation and EPSG:7855 reprojection in QGIS; spatial joins and GeoPackage database construction; GitHub repository management and PR reviews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Siddhartha Ananthula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Spatial Analysis, Modelling &amp; Dashboard</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Healthy Streets scoring formula automation (HS1–HS10); hybrid scoring framework with field override; KDE heatmap with pure numpy Gaussian kernel; modular codebase refactoring (6 phases, src/ structure); interactive web dashboard (Leaflet.js, Chart.js, GitHub Pages); sprint planning and architecture documentation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Hishikesh Phukan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ML Pipeline &amp; Environmental Features</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Victorian crash data pipeline (7,773 records); OSM spatial feature extraction (53 features, 3 radii); Ridge regression model and LOO-CV evaluation; Random Forest crash severity classifier; EPA air quality and crime rate integration; PyQGIS automation pipeline; CYS cycling score automation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Sameer Yadav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SEIFA Analysis, Report &amp; Coordination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SEIFA 2021 disadvantage analysis (seifa_analysis.py); report writing and section integration; scoring framework citations and academic references; recommendation narrative; weekly meeting agenda preparation; stakeholder communication with Nina and Lawrence</w:t>
            </w:r>
          </w:p>
        </w:tc>
      </w:tr>
    </w:tbl>
    <w:p>
      <w:pPr>
        <w:pStyle w:val="Heading2"/>
      </w:pPr>
      <w:r>
        <w:t xml:space="preserve">B.2 Collaboration Methods</w:t>
      </w:r>
    </w:p>
    <w:p>
      <w:pPr>
        <w:spacing w:after="80" w:before="80" w:line="276" w:lineRule="auto"/>
        <w:jc w:val="both"/>
      </w:pPr>
      <w:r>
        <w:rPr>
          <w:rFonts w:ascii="Arial" w:cs="Arial" w:eastAsia="Arial" w:hAnsi="Arial"/>
          <w:color w:val="1A1A1A"/>
          <w:sz w:val="22"/>
          <w:szCs w:val="22"/>
        </w:rPr>
        <w:t xml:space="preserve">The team met weekly with both the industry supervisor Nina Sharpe and academic supervisor Lawrence Cavendon, with occasional fortnightly review meetings substituted when scheduling required. All team members attended the majority of meetings. Between meetings, the primary communication platform was a Microsoft Teams group channel where decisions, action items, and code issues were discussed and documented.</w:t>
      </w:r>
    </w:p>
    <w:p>
      <w:pPr>
        <w:spacing w:after="80" w:before="80" w:line="276" w:lineRule="auto"/>
        <w:jc w:val="both"/>
      </w:pPr>
      <w:r>
        <w:rPr>
          <w:rFonts w:ascii="Arial" w:cs="Arial" w:eastAsia="Arial" w:hAnsi="Arial"/>
          <w:color w:val="1A1A1A"/>
          <w:sz w:val="22"/>
          <w:szCs w:val="22"/>
        </w:rPr>
        <w:t xml:space="preserve">Code collaboration was conducted entirely through GitHub. Each team member worked on a named branch corresponding to their sprint work. Pull requests were raised when work was ready for review, and a second team member verified the pipeline ran correctly before approving the merge. This practice was adopted after an early sprint where manual score entry errors (Preston HS FAS entered as 9 rather than the formula-calculated 8.6) were only caught during peer review — a process that subsequently motivated the development of formula automation.</w:t>
      </w:r>
    </w:p>
    <w:p>
      <w:pPr>
        <w:spacing w:after="80" w:before="80" w:line="276" w:lineRule="auto"/>
        <w:jc w:val="both"/>
      </w:pPr>
      <w:r>
        <w:rPr>
          <w:rFonts w:ascii="Arial" w:cs="Arial" w:eastAsia="Arial" w:hAnsi="Arial"/>
          <w:color w:val="1A1A1A"/>
          <w:sz w:val="22"/>
          <w:szCs w:val="22"/>
        </w:rPr>
        <w:t xml:space="preserve">Total team meeting time averaged approximately three hours per week across the ten-week project, comprising the weekly supervisor meeting (one hour), informal team check-ins (one hour), and asynchronous code review via GitHub comments (one hour equivalent). Each team member additionally spent an estimated four to six hours per week working independently on their assigned deliverables.</w:t>
      </w:r>
    </w:p>
    <w:p>
      <w:r>
        <w:br w:type="page"/>
      </w:r>
    </w:p>
    <w:p>
      <w:pPr>
        <w:pStyle w:val="Heading1"/>
      </w:pPr>
      <w:r>
        <w:t xml:space="preserve">Appendix C — Individual Self-Reflections</w:t>
      </w:r>
    </w:p>
    <w:p>
      <w:pPr>
        <w:pStyle w:val="Heading2"/>
      </w:pPr>
      <w:r>
        <w:t xml:space="preserve">C.1 Siddhartha Ananthula (S4111078)</w:t>
      </w:r>
    </w:p>
    <w:p>
      <w:pPr>
        <w:spacing w:after="80" w:before="80" w:line="276" w:lineRule="auto"/>
        <w:jc w:val="both"/>
      </w:pPr>
      <w:r>
        <w:rPr>
          <w:rFonts w:ascii="Arial" w:cs="Arial" w:eastAsia="Arial" w:hAnsi="Arial"/>
          <w:color w:val="1A1A1A"/>
          <w:sz w:val="22"/>
          <w:szCs w:val="22"/>
        </w:rPr>
        <w:t xml:space="preserve">This project represented my first experience building a complete data science pipeline in an industry-partnered context, and the gap between academic projects and real-world requirements was immediately apparent. The most significant learning for me was that a technically correct solution is not the same as a useful one. When Lawrence questioned the theoretical basis for our original scoring framework, I initially felt defensive — we had spent considerable time designing the FAS, CSS, and EEI indicators and the weightings felt intuitive. But his challenge forced me to examine whether we could justify every number with a published source, and when I attempted that exercise, I found that we could not. Rebuilding the framework to cite AS 1428.1, Austroads Part 6A, Vision Zero, and the Healthy Streets framework was more work but produced something genuinely defensible — and I now understand why academic rigour in methodology is not pedantry but protection against being dismissed by the practitioners who matter.</w:t>
      </w:r>
    </w:p>
    <w:p>
      <w:pPr>
        <w:spacing w:after="80" w:before="80" w:line="276" w:lineRule="auto"/>
        <w:jc w:val="both"/>
      </w:pPr>
      <w:r>
        <w:rPr>
          <w:rFonts w:ascii="Arial" w:cs="Arial" w:eastAsia="Arial" w:hAnsi="Arial"/>
          <w:color w:val="1A1A1A"/>
          <w:sz w:val="22"/>
          <w:szCs w:val="22"/>
        </w:rPr>
        <w:t xml:space="preserve">The modular refactoring of the codebase was the technical contribution I am most proud of. The original poc_pipeline.py had grown to over 800 lines with no clear separation of concerns. Refactoring it into a src/ package structure with separate modules for scoring, data loading, recommendations, visualisation, and machine learning took approximately two full days but immediately improved the team's ability to work in parallel without creating merge conflicts. I used Claude Code as a refactoring assistant for this task — a tool that helped me apply consistent patterns across 70 files in a way that would have been error-prone manually. I would describe this as a legitimate use of AI-assisted development, analogous to using GitHub Copilot for code completion, but I also learned that AI tools require careful direction — the initial refactoring prompt needed to be revised twice to prevent the tool from making logic changes under the guise of structural improvements.</w:t>
      </w:r>
    </w:p>
    <w:p>
      <w:pPr>
        <w:spacing w:after="80" w:before="80" w:line="276" w:lineRule="auto"/>
        <w:jc w:val="both"/>
      </w:pPr>
      <w:r>
        <w:rPr>
          <w:rFonts w:ascii="Arial" w:cs="Arial" w:eastAsia="Arial" w:hAnsi="Arial"/>
          <w:color w:val="1A1A1A"/>
          <w:sz w:val="22"/>
          <w:szCs w:val="22"/>
        </w:rPr>
        <w:t xml:space="preserve">What I would do differently is invest more time upfront in establishing a shared data contract — a formal specification of column names, data types, and expected values in school_data.csv — before building the pipeline. We spent several hours in Sprint 2 debugging issues caused by inconsistent column naming between the Google Form output and the pipeline's expectations. A ten-minute conversation at the start of the project would have prevented that.</w:t>
      </w:r>
    </w:p>
    <w:p>
      <w:pPr>
        <w:spacing w:after="80" w:before="80" w:line="276" w:lineRule="auto"/>
        <w:jc w:val="both"/>
      </w:pPr>
      <w:r>
        <w:rPr>
          <w:rFonts w:ascii="Arial" w:cs="Arial" w:eastAsia="Arial" w:hAnsi="Arial"/>
          <w:color w:val="1A1A1A"/>
          <w:sz w:val="22"/>
          <w:szCs w:val="22"/>
        </w:rPr>
        <w:t xml:space="preserve">The experience also changed how I think about scope changes. My instinct at the start was to treat the original proposal as a fixed specification. By Sprint 2, I had come to see it differently — the proposal was a hypothesis about what the project would look like, and Nina's feedback was data that should update that hypothesis. The final project is significantly better than the original proposal would have been, precisely because we were willing to change direction.</w:t>
      </w:r>
    </w:p>
    <w:p>
      <w:pPr>
        <w:pStyle w:val="Heading2"/>
      </w:pPr>
      <w:r>
        <w:t xml:space="preserve">C.2 Vipparla Reddy Pranay (S4112678)</w:t>
      </w:r>
    </w:p>
    <w:p>
      <w:pPr>
        <w:spacing w:after="80" w:before="80" w:line="276" w:lineRule="auto"/>
        <w:jc w:val="both"/>
      </w:pPr>
      <w:r>
        <w:rPr>
          <w:rFonts w:ascii="Arial" w:cs="Arial" w:eastAsia="Arial" w:hAnsi="Arial"/>
          <w:color w:val="1A1A1A"/>
          <w:sz w:val="22"/>
          <w:szCs w:val="22"/>
        </w:rPr>
        <w:t xml:space="preserve">My primary responsibility was field data collection, and this turned out to be more intellectually demanding than I had anticipated. The Google Form was designed to be a structured observation tool, but when I arrived at Preston High School for the physical visit, I quickly realised that the real conditions did not always map cleanly onto the form's categorical options. The footpath continuity field, for example, offered percentage-band options, but the actual situation — a footpath that was in good condition for most of its length but ended abruptly at a driveway before resuming — did not fit neatly into any band. I entered 100% continuity because the surface was unbroken, but added a field note about the driveway issue. That discrepancy later became important when the formula automation flagged a 0.5 difference between my manually-entered FAS score of 9 and the formula-calculated score of 8.6. The formula was technically correct given my form entry, but my field note captured the reality more accurately. This experience convinced me that hybrid scoring — formula-calculated with field observer override — is genuinely the right approach, not a compromise.</w:t>
      </w:r>
    </w:p>
    <w:p>
      <w:pPr>
        <w:spacing w:after="80" w:before="80" w:line="276" w:lineRule="auto"/>
        <w:jc w:val="both"/>
      </w:pPr>
      <w:r>
        <w:rPr>
          <w:rFonts w:ascii="Arial" w:cs="Arial" w:eastAsia="Arial" w:hAnsi="Arial"/>
          <w:color w:val="1A1A1A"/>
          <w:sz w:val="22"/>
          <w:szCs w:val="22"/>
        </w:rPr>
        <w:t xml:space="preserve">Coordinating the demographics data collection was another learning experience. I had expected the ABS Census QuickStats pages to present data in a simple, consistent format, but the variable naming, the geography boundaries, and the distinction between place of enumeration and place of usual residence all required careful attention to avoid collecting the wrong figures. I verified every number directly from the ABS portal pages rather than relying on secondary sources, which added time but ensured accuracy.</w:t>
      </w:r>
    </w:p>
    <w:p>
      <w:pPr>
        <w:spacing w:after="80" w:before="80" w:line="276" w:lineRule="auto"/>
        <w:jc w:val="both"/>
      </w:pPr>
      <w:r>
        <w:rPr>
          <w:rFonts w:ascii="Arial" w:cs="Arial" w:eastAsia="Arial" w:hAnsi="Arial"/>
          <w:color w:val="1A1A1A"/>
          <w:sz w:val="22"/>
          <w:szCs w:val="22"/>
        </w:rPr>
        <w:t xml:space="preserve">What I would improve is my approach to PR reviews. In the early sprints, I was approving pull requests without running the pipeline on my own machine — I was reviewing the code changes in the GitHub diff view but not verifying that the outputs were correct. This changed after a sprint where a merged change caused the interactive map to silently fail to load crash markers. After that I made it standard practice to clone the branch, run the pipeline, and visually check the map before approving any merge that touched the visualisation code.</w:t>
      </w:r>
    </w:p>
    <w:p>
      <w:pPr>
        <w:spacing w:after="80" w:before="80" w:line="276" w:lineRule="auto"/>
        <w:jc w:val="both"/>
      </w:pPr>
      <w:r>
        <w:rPr>
          <w:rFonts w:ascii="Arial" w:cs="Arial" w:eastAsia="Arial" w:hAnsi="Arial"/>
          <w:color w:val="1A1A1A"/>
          <w:sz w:val="22"/>
          <w:szCs w:val="22"/>
        </w:rPr>
        <w:t xml:space="preserve">The most valuable professional skill I developed was stakeholder communication. Writing the email updates to Nina after each sprint — summarising what was done, what decisions were made, and what questions we needed her to answer — forced me to translate technical work into plain language. That is a skill I had underestimated before this project.</w:t>
      </w:r>
    </w:p>
    <w:p>
      <w:pPr>
        <w:pStyle w:val="Heading2"/>
      </w:pPr>
      <w:r>
        <w:t xml:space="preserve">C.3 Venkata Nagendra Anamala (S4024233)</w:t>
      </w:r>
    </w:p>
    <w:p>
      <w:pPr>
        <w:spacing w:after="80" w:before="80" w:line="276" w:lineRule="auto"/>
        <w:jc w:val="both"/>
      </w:pPr>
      <w:r>
        <w:rPr>
          <w:rFonts w:ascii="Arial" w:cs="Arial" w:eastAsia="Arial" w:hAnsi="Arial"/>
          <w:color w:val="1A1A1A"/>
          <w:sz w:val="22"/>
          <w:szCs w:val="22"/>
        </w:rPr>
        <w:t xml:space="preserve">My role as data engineer meant that my work was largely invisible to the end user — the charts and maps look the same whether the underlying data is clean or not — but the quality of my preprocessing directly determined whether everyone else's work was reliable. I found this both motivating and occasionally frustrating. The most technically challenging task was CRS standardisation. The original field observation data used WGS84 decimal degrees, the OSM data used WGS84 with a Web Mercator projection, and the buffer zone analysis required metric distances in EPSG:7855. Getting all layers into the same coordinate reference system without introducing spatial errors required me to learn the difference between geographic and projected coordinate systems in more depth than I had previously understood.</w:t>
      </w:r>
    </w:p>
    <w:p>
      <w:pPr>
        <w:spacing w:after="80" w:before="80" w:line="276" w:lineRule="auto"/>
        <w:jc w:val="both"/>
      </w:pPr>
      <w:r>
        <w:rPr>
          <w:rFonts w:ascii="Arial" w:cs="Arial" w:eastAsia="Arial" w:hAnsi="Arial"/>
          <w:color w:val="1A1A1A"/>
          <w:sz w:val="22"/>
          <w:szCs w:val="22"/>
        </w:rPr>
        <w:t xml:space="preserve">The GeoPackage database construction was another significant undertaking. Consolidating the school observation data, crash records, OSM features, and buffer zone geometries into a single file-based spatial database with consistent geometry types and attribute schemas required careful planning. I created a schema document that specified the field name, data type, and source for every column in every layer — a practice I had not used before but will use in every future spatial project.</w:t>
      </w:r>
    </w:p>
    <w:p>
      <w:pPr>
        <w:spacing w:after="80" w:before="80" w:line="276" w:lineRule="auto"/>
        <w:jc w:val="both"/>
      </w:pPr>
      <w:r>
        <w:rPr>
          <w:rFonts w:ascii="Arial" w:cs="Arial" w:eastAsia="Arial" w:hAnsi="Arial"/>
          <w:color w:val="1A1A1A"/>
          <w:sz w:val="22"/>
          <w:szCs w:val="22"/>
        </w:rPr>
        <w:t xml:space="preserve">One thing that did not work as expected was my initial attempt to automate the Google Form data cleaning using a regex-based approach. The form responses contained enough variation in free-text fields that the regex patterns I wrote would regularly misparse entries. I eventually replaced this with a more defensive pandas-based approach that explicitly checked for known valid values and flagged unexpected entries for manual review rather than silently substituting defaults. The lesson was that data from human-completed forms is always messier than you expect, and defensive parsing with explicit error reporting is better than optimistic cleaning that produces plausible-looking but incorrect output.</w:t>
      </w:r>
    </w:p>
    <w:p>
      <w:pPr>
        <w:spacing w:after="80" w:before="80" w:line="276" w:lineRule="auto"/>
        <w:jc w:val="both"/>
      </w:pPr>
      <w:r>
        <w:rPr>
          <w:rFonts w:ascii="Arial" w:cs="Arial" w:eastAsia="Arial" w:hAnsi="Arial"/>
          <w:color w:val="1A1A1A"/>
          <w:sz w:val="22"/>
          <w:szCs w:val="22"/>
        </w:rPr>
        <w:t xml:space="preserve">Managing the GitHub repository across five team members with different levels of Git experience was occasionally challenging. The branch-per-sprint strategy worked well in principle, but several merge conflicts arose from team members working on the same output files — particularly the large CSV outputs in the outputs/ folder which Git treats as text files and attempts to merge line by line. Adding these files to .gitignore for generated outputs and using the --theirs strategy for resolving binary conflicts resolved this, but it would have been better to establish these conventions at the start of the project.</w:t>
      </w:r>
    </w:p>
    <w:p>
      <w:r>
        <w:br w:type="page"/>
      </w:r>
    </w:p>
    <w:p>
      <w:pPr>
        <w:pStyle w:val="Heading1"/>
      </w:pPr>
      <w:r>
        <w:t xml:space="preserve">References</w:t>
      </w:r>
    </w:p>
    <w:p>
      <w:pPr>
        <w:spacing w:after="60" w:before="60" w:line="276" w:lineRule="auto"/>
        <w:ind w:left="720" w:hanging="720"/>
      </w:pPr>
      <w:r>
        <w:rPr>
          <w:rFonts w:ascii="Arial" w:cs="Arial" w:eastAsia="Arial" w:hAnsi="Arial"/>
          <w:color w:val="1A1A1A"/>
          <w:sz w:val="20"/>
          <w:szCs w:val="20"/>
        </w:rPr>
        <w:t xml:space="preserve">Australian Bureau of Statistics. (2021a). Census of population and housing: Socio-economic indexes for areas (SEIFA), Australia 2021 (Cat. No. 2033.0.55.001). https://www.abs.gov.au/statistics/people/people-and-communities/socio-economic-indexes-areas-seifa-australia/2021</w:t>
      </w:r>
    </w:p>
    <w:p>
      <w:pPr>
        <w:spacing w:after="60" w:before="60" w:line="276" w:lineRule="auto"/>
        <w:ind w:left="720" w:hanging="720"/>
      </w:pPr>
      <w:r>
        <w:rPr>
          <w:rFonts w:ascii="Arial" w:cs="Arial" w:eastAsia="Arial" w:hAnsi="Arial"/>
          <w:color w:val="1A1A1A"/>
          <w:sz w:val="20"/>
          <w:szCs w:val="20"/>
        </w:rPr>
        <w:t xml:space="preserve">Australian Bureau of Statistics. (2021b). Reservoir, Vic — QuickStats (SAL22161). ABS Census 2021. https://www.abs.gov.au/census/find-census-data/quickstats/2021/SAL22161</w:t>
      </w:r>
    </w:p>
    <w:p>
      <w:pPr>
        <w:spacing w:after="60" w:before="60" w:line="276" w:lineRule="auto"/>
        <w:ind w:left="720" w:hanging="720"/>
      </w:pPr>
      <w:r>
        <w:rPr>
          <w:rFonts w:ascii="Arial" w:cs="Arial" w:eastAsia="Arial" w:hAnsi="Arial"/>
          <w:color w:val="1A1A1A"/>
          <w:sz w:val="20"/>
          <w:szCs w:val="20"/>
        </w:rPr>
        <w:t xml:space="preserve">Australian Bureau of Statistics. (2021c). Preston, Vic — QuickStats (SAL22121). ABS Census 2021. https://www.abs.gov.au/census/find-census-data/quickstats/2021/SAL22121</w:t>
      </w:r>
    </w:p>
    <w:p>
      <w:pPr>
        <w:spacing w:after="60" w:before="60" w:line="276" w:lineRule="auto"/>
        <w:ind w:left="720" w:hanging="720"/>
      </w:pPr>
      <w:r>
        <w:rPr>
          <w:rFonts w:ascii="Arial" w:cs="Arial" w:eastAsia="Arial" w:hAnsi="Arial"/>
          <w:color w:val="1A1A1A"/>
          <w:sz w:val="20"/>
          <w:szCs w:val="20"/>
        </w:rPr>
        <w:t xml:space="preserve">Austroads. (2015). Guide to road design part 6A: Pedestrian and cyclist paths (AP-G88-15). Austroads. https://www.austroads.com.au/publishers/austroads/au/items/ap-g88-15</w:t>
      </w:r>
    </w:p>
    <w:p>
      <w:pPr>
        <w:spacing w:after="60" w:before="60" w:line="276" w:lineRule="auto"/>
        <w:ind w:left="720" w:hanging="720"/>
      </w:pPr>
      <w:r>
        <w:rPr>
          <w:rFonts w:ascii="Arial" w:cs="Arial" w:eastAsia="Arial" w:hAnsi="Arial"/>
          <w:color w:val="1A1A1A"/>
          <w:sz w:val="20"/>
          <w:szCs w:val="20"/>
        </w:rPr>
        <w:t xml:space="preserve">Austroads. (2022). Pedestrian safety research (AP-R679-22). Austroads. https://austroads.com.au/publishers/austroads/au/items/ap-r679-22</w:t>
      </w:r>
    </w:p>
    <w:p>
      <w:pPr>
        <w:spacing w:after="60" w:before="60" w:line="276" w:lineRule="auto"/>
        <w:ind w:left="720" w:hanging="720"/>
      </w:pPr>
      <w:r>
        <w:rPr>
          <w:rFonts w:ascii="Arial" w:cs="Arial" w:eastAsia="Arial" w:hAnsi="Arial"/>
          <w:color w:val="1A1A1A"/>
          <w:sz w:val="20"/>
          <w:szCs w:val="20"/>
        </w:rPr>
        <w:t xml:space="preserve">Boeing, G. (2017). OSMnx: New methods for acquiring, constructing, analyzing, and visualizing complex street networks. Computers, Environment and Urban Systems, 65, 126–139. https://doi.org/10.1016/j.compenvurbsys.2017.05.004</w:t>
      </w:r>
    </w:p>
    <w:p>
      <w:pPr>
        <w:spacing w:after="60" w:before="60" w:line="276" w:lineRule="auto"/>
        <w:ind w:left="720" w:hanging="720"/>
      </w:pPr>
      <w:r>
        <w:rPr>
          <w:rFonts w:ascii="Arial" w:cs="Arial" w:eastAsia="Arial" w:hAnsi="Arial"/>
          <w:color w:val="1A1A1A"/>
          <w:sz w:val="20"/>
          <w:szCs w:val="20"/>
        </w:rPr>
        <w:t xml:space="preserve">Crime Statistics Agency Victoria. (2024). Recorded offences by suburb — year ending March 2024. https://www.crimestatistics.vic.gov.au</w:t>
      </w:r>
    </w:p>
    <w:p>
      <w:pPr>
        <w:spacing w:after="60" w:before="60" w:line="276" w:lineRule="auto"/>
        <w:ind w:left="720" w:hanging="720"/>
      </w:pPr>
      <w:r>
        <w:rPr>
          <w:rFonts w:ascii="Arial" w:cs="Arial" w:eastAsia="Arial" w:hAnsi="Arial"/>
          <w:color w:val="1A1A1A"/>
          <w:sz w:val="20"/>
          <w:szCs w:val="20"/>
        </w:rPr>
        <w:t xml:space="preserve">Department of Transport Victoria. (2019). Movement and place framework. State Government of Victoria. https://www.vic.gov.au/movement-and-place-framework</w:t>
      </w:r>
    </w:p>
    <w:p>
      <w:pPr>
        <w:spacing w:after="60" w:before="60" w:line="276" w:lineRule="auto"/>
        <w:ind w:left="720" w:hanging="720"/>
      </w:pPr>
      <w:r>
        <w:rPr>
          <w:rFonts w:ascii="Arial" w:cs="Arial" w:eastAsia="Arial" w:hAnsi="Arial"/>
          <w:color w:val="1A1A1A"/>
          <w:sz w:val="20"/>
          <w:szCs w:val="20"/>
        </w:rPr>
        <w:t xml:space="preserve">Department of Transport Victoria. (2021). Victoria road safety strategy 2021–2030. State Government of Victoria.</w:t>
      </w:r>
    </w:p>
    <w:p>
      <w:pPr>
        <w:spacing w:after="60" w:before="60" w:line="276" w:lineRule="auto"/>
        <w:ind w:left="720" w:hanging="720"/>
      </w:pPr>
      <w:r>
        <w:rPr>
          <w:rFonts w:ascii="Arial" w:cs="Arial" w:eastAsia="Arial" w:hAnsi="Arial"/>
          <w:color w:val="1A1A1A"/>
          <w:sz w:val="20"/>
          <w:szCs w:val="20"/>
        </w:rPr>
        <w:t xml:space="preserve">EPA Victoria. (2024). AirWatch — Alphington monitoring station (site 10102). https://www.epa.vic.gov.au/for-community/environmental-information/air-quality/epa-airwatch</w:t>
      </w:r>
    </w:p>
    <w:p>
      <w:pPr>
        <w:spacing w:after="60" w:before="60" w:line="276" w:lineRule="auto"/>
        <w:ind w:left="720" w:hanging="720"/>
      </w:pPr>
      <w:r>
        <w:rPr>
          <w:rFonts w:ascii="Arial" w:cs="Arial" w:eastAsia="Arial" w:hAnsi="Arial"/>
          <w:color w:val="1A1A1A"/>
          <w:sz w:val="20"/>
          <w:szCs w:val="20"/>
        </w:rPr>
        <w:t xml:space="preserve">Mekuria, M., Furth, P., &amp; Nixon, H. (2012). Low-stress bicycling and network connectivity. Mineta Transportation Institute, San José State University. https://transweb.sjsu.edu/sites/default/files/1005-low-stress-bicycling-network-connectivity.pdf</w:t>
      </w:r>
    </w:p>
    <w:p>
      <w:pPr>
        <w:spacing w:after="60" w:before="60" w:line="276" w:lineRule="auto"/>
        <w:ind w:left="720" w:hanging="720"/>
      </w:pPr>
      <w:r>
        <w:rPr>
          <w:rFonts w:ascii="Arial" w:cs="Arial" w:eastAsia="Arial" w:hAnsi="Arial"/>
          <w:color w:val="1A1A1A"/>
          <w:sz w:val="20"/>
          <w:szCs w:val="20"/>
        </w:rPr>
        <w:t xml:space="preserve">OpenStreetMap Contributors. (2024). OpenStreetMap. OpenStreetMap Foundation. https://www.openstreetmap.org</w:t>
      </w:r>
    </w:p>
    <w:p>
      <w:pPr>
        <w:spacing w:after="60" w:before="60" w:line="276" w:lineRule="auto"/>
        <w:ind w:left="720" w:hanging="720"/>
      </w:pPr>
      <w:r>
        <w:rPr>
          <w:rFonts w:ascii="Arial" w:cs="Arial" w:eastAsia="Arial" w:hAnsi="Arial"/>
          <w:color w:val="1A1A1A"/>
          <w:sz w:val="20"/>
          <w:szCs w:val="20"/>
        </w:rPr>
        <w:t xml:space="preserve">Saunders, L. (2015). Healthy streets for London: Prioritising walking, cycling and public transport to create a healthy city. Transport for London / Lucy Saunders Public Health Consulting. https://healthystreets.com</w:t>
      </w:r>
    </w:p>
    <w:p>
      <w:pPr>
        <w:spacing w:after="60" w:before="60" w:line="276" w:lineRule="auto"/>
        <w:ind w:left="720" w:hanging="720"/>
      </w:pPr>
      <w:r>
        <w:rPr>
          <w:rFonts w:ascii="Arial" w:cs="Arial" w:eastAsia="Arial" w:hAnsi="Arial"/>
          <w:color w:val="1A1A1A"/>
          <w:sz w:val="20"/>
          <w:szCs w:val="20"/>
        </w:rPr>
        <w:t xml:space="preserve">Standards Australia. (2009). AS 1428.1-2009: Design for access and mobility — General requirements for access — New building work. Standards Australia.</w:t>
      </w:r>
    </w:p>
    <w:p>
      <w:pPr>
        <w:spacing w:after="60" w:before="60" w:line="276" w:lineRule="auto"/>
        <w:ind w:left="720" w:hanging="720"/>
      </w:pPr>
      <w:r>
        <w:rPr>
          <w:rFonts w:ascii="Arial" w:cs="Arial" w:eastAsia="Arial" w:hAnsi="Arial"/>
          <w:color w:val="1A1A1A"/>
          <w:sz w:val="20"/>
          <w:szCs w:val="20"/>
        </w:rPr>
        <w:t xml:space="preserve">Standards Australia. (2019). AS 1742.4-2019: Manual of uniform traffic control devices — Pedestrian control. Standards Australia.</w:t>
      </w:r>
    </w:p>
    <w:p>
      <w:pPr>
        <w:spacing w:after="60" w:before="60" w:line="276" w:lineRule="auto"/>
        <w:ind w:left="720" w:hanging="720"/>
      </w:pPr>
      <w:r>
        <w:rPr>
          <w:rFonts w:ascii="Arial" w:cs="Arial" w:eastAsia="Arial" w:hAnsi="Arial"/>
          <w:color w:val="1A1A1A"/>
          <w:sz w:val="20"/>
          <w:szCs w:val="20"/>
        </w:rPr>
        <w:t xml:space="preserve">Transportation Research Board. (2010). Highway capacity manual (6th ed.). National Academies of Sciences, Engineering, and Medicine. https://hcm.trb.org</w:t>
      </w:r>
    </w:p>
    <w:p>
      <w:pPr>
        <w:spacing w:after="60" w:before="60" w:line="276" w:lineRule="auto"/>
        <w:ind w:left="720" w:hanging="720"/>
      </w:pPr>
      <w:r>
        <w:rPr>
          <w:rFonts w:ascii="Arial" w:cs="Arial" w:eastAsia="Arial" w:hAnsi="Arial"/>
          <w:color w:val="1A1A1A"/>
          <w:sz w:val="20"/>
          <w:szCs w:val="20"/>
        </w:rPr>
        <w:t xml:space="preserve">Victorian Department of Transport and Planning. (2024). Victoria road crash data — accident, node and person tables. https://www.data.vic.gov.au/data/dataset/victoria-road-crash-data</w:t>
      </w:r>
    </w:p>
    <w:p>
      <w:pPr>
        <w:spacing w:after="60" w:before="60" w:line="276" w:lineRule="auto"/>
        <w:ind w:left="720" w:hanging="720"/>
      </w:pPr>
      <w:r>
        <w:rPr>
          <w:rFonts w:ascii="Arial" w:cs="Arial" w:eastAsia="Arial" w:hAnsi="Arial"/>
          <w:color w:val="1A1A1A"/>
          <w:sz w:val="20"/>
          <w:szCs w:val="20"/>
        </w:rPr>
        <w:t xml:space="preserve">Victorian Department of Education. (2024). School locations time series. https://www.data.vic.gov.au/data/dataset/school-locations-time-series</w:t>
      </w:r>
    </w:p>
    <w:p>
      <w:pPr>
        <w:spacing w:after="60" w:before="60" w:line="276" w:lineRule="auto"/>
        <w:ind w:left="720" w:hanging="720"/>
      </w:pPr>
      <w:r>
        <w:rPr>
          <w:rFonts w:ascii="Arial" w:cs="Arial" w:eastAsia="Arial" w:hAnsi="Arial"/>
          <w:color w:val="1A1A1A"/>
          <w:sz w:val="20"/>
          <w:szCs w:val="20"/>
        </w:rPr>
        <w:t xml:space="preserve">VicRoads. (2023). Traffic engineering manual volume 3 part 218 — Cycling infrastructure design. State Government of Victoria. https://www.vicroads.vic.gov.au</w:t>
      </w:r>
    </w:p>
    <w:p>
      <w:pPr>
        <w:spacing w:after="60" w:before="60" w:line="276" w:lineRule="auto"/>
        <w:ind w:left="720" w:hanging="720"/>
      </w:pPr>
      <w:r>
        <w:rPr>
          <w:rFonts w:ascii="Arial" w:cs="Arial" w:eastAsia="Arial" w:hAnsi="Arial"/>
          <w:color w:val="1A1A1A"/>
          <w:sz w:val="20"/>
          <w:szCs w:val="20"/>
        </w:rPr>
        <w:t xml:space="preserve">Vision Zero Network. (2024). What is Vision Zero? https://www.visionzeronetwork.org/about/what-is-vision-zero</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i/>
        <w:iCs/>
        <w:color w:val="666666"/>
        <w:sz w:val="16"/>
        <w:szCs w:val="16"/>
      </w:rPr>
      <w:t xml:space="preserve">COSC2667/2777 | Regen Melbourne × RMIT University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jc w:val="right"/>
    </w:pPr>
    <w:r>
      <w:rPr>
        <w:rFonts w:ascii="Arial" w:cs="Arial" w:eastAsia="Arial" w:hAnsi="Arial"/>
        <w:i/>
        <w:iCs/>
        <w:color w:val="666666"/>
        <w:sz w:val="18"/>
        <w:szCs w:val="18"/>
      </w:rPr>
      <w:t xml:space="preserve">300,000 Streets — School Street Safety &amp; Active Travel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4" w:space="1"/>
      </w:pBdr>
      <w:spacing w:after="160" w:before="32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2026-05-30T01:38:30.577Z</dcterms:created>
  <dcterms:modified xsi:type="dcterms:W3CDTF">2026-05-30T01:38:30.591Z</dcterms:modified>
</cp:coreProperties>
</file>

<file path=docProps/custom.xml><?xml version="1.0" encoding="utf-8"?>
<Properties xmlns="http://schemas.openxmlformats.org/officeDocument/2006/custom-properties" xmlns:vt="http://schemas.openxmlformats.org/officeDocument/2006/docPropsVTypes"/>
</file>