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b/>
          <w:color w:val="1E8449"/>
          <w:sz w:val="44"/>
        </w:rPr>
        <w:t>300,000 Streets of Melbourne</w:t>
      </w:r>
    </w:p>
    <w:p>
      <w:pPr>
        <w:spacing w:before="120" w:after="80" w:lineRule="auto" w:line="276"/>
        <w:ind w:left="0"/>
        <w:jc w:val="center"/>
      </w:pPr>
      <w:r>
        <w:rPr>
          <w:rFonts w:ascii="Arial" w:hAnsi="Arial"/>
          <w:b/>
          <w:i w:val="0"/>
          <w:color w:val="1A1A1A"/>
          <w:sz w:val="36"/>
        </w:rPr>
        <w:t>School Streets Safety Analysis</w:t>
      </w:r>
    </w:p>
    <w:p>
      <w:pPr>
        <w:spacing w:before="0" w:after="400" w:lineRule="auto" w:line="276"/>
        <w:ind w:left="0"/>
        <w:jc w:val="center"/>
      </w:pPr>
      <w:r>
        <w:rPr>
          <w:rFonts w:ascii="Arial" w:hAnsi="Arial"/>
          <w:b w:val="0"/>
          <w:i/>
          <w:color w:val="1A1A1A"/>
          <w:sz w:val="24"/>
        </w:rPr>
        <w:t>Healthy Streets Assessment for Secondary School Walking Routes, Darebin, Victoria</w:t>
      </w:r>
    </w:p>
    <w:p>
      <w:pPr>
        <w:spacing w:before="0" w:after="320" w:lineRule="auto" w:line="276"/>
        <w:ind w:left="0"/>
        <w:jc w:val="center"/>
      </w:pPr>
      <w:r>
        <w:rPr>
          <w:rFonts w:ascii="Arial" w:hAnsi="Arial"/>
          <w:b w:val="0"/>
          <w:i w:val="0"/>
          <w:color w:val="1A1A1A"/>
          <w:sz w:val="22"/>
        </w:rPr>
        <w: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8F5EE"/>
          </w:tcPr>
          <w:p>
            <w:r>
              <w:rPr>
                <w:rFonts w:ascii="Arial" w:hAnsi="Arial"/>
                <w:b/>
                <w:sz w:val="20"/>
              </w:rPr>
              <w:t>Course</w:t>
            </w:r>
          </w:p>
        </w:tc>
        <w:tc>
          <w:tcPr>
            <w:tcW w:type="dxa" w:w="4680"/>
            <w:shd w:val="clear" w:color="auto" w:fill="E8F5EE"/>
          </w:tcPr>
          <w:p>
            <w:r>
              <w:rPr>
                <w:rFonts w:ascii="Arial" w:hAnsi="Arial"/>
                <w:sz w:val="20"/>
              </w:rPr>
              <w:t>COSC2667 / COSC2777 Data Science and AI Postgraduate Projects</w:t>
            </w:r>
          </w:p>
        </w:tc>
      </w:tr>
      <w:tr>
        <w:tc>
          <w:tcPr>
            <w:tcW w:type="dxa" w:w="4680"/>
          </w:tcPr>
          <w:p>
            <w:r>
              <w:rPr>
                <w:rFonts w:ascii="Arial" w:hAnsi="Arial"/>
                <w:b/>
                <w:sz w:val="20"/>
              </w:rPr>
              <w:t>Industry Partner</w:t>
            </w:r>
          </w:p>
        </w:tc>
        <w:tc>
          <w:tcPr>
            <w:tcW w:type="dxa" w:w="4680"/>
          </w:tcPr>
          <w:p>
            <w:r>
              <w:rPr>
                <w:rFonts w:ascii="Arial" w:hAnsi="Arial"/>
                <w:sz w:val="20"/>
              </w:rPr>
              <w:t>Regen Melbourne</w:t>
            </w:r>
          </w:p>
        </w:tc>
      </w:tr>
      <w:tr>
        <w:tc>
          <w:tcPr>
            <w:tcW w:type="dxa" w:w="4680"/>
            <w:shd w:val="clear" w:color="auto" w:fill="E8F5EE"/>
          </w:tcPr>
          <w:p>
            <w:r>
              <w:rPr>
                <w:rFonts w:ascii="Arial" w:hAnsi="Arial"/>
                <w:b/>
                <w:sz w:val="20"/>
              </w:rPr>
              <w:t>Industrial Supervisor</w:t>
            </w:r>
          </w:p>
        </w:tc>
        <w:tc>
          <w:tcPr>
            <w:tcW w:type="dxa" w:w="4680"/>
            <w:shd w:val="clear" w:color="auto" w:fill="E8F5EE"/>
          </w:tcPr>
          <w:p>
            <w:r>
              <w:rPr>
                <w:rFonts w:ascii="Arial" w:hAnsi="Arial"/>
                <w:sz w:val="20"/>
              </w:rPr>
              <w:t>[Industrial Supervisor Name — please fill in]</w:t>
            </w:r>
          </w:p>
        </w:tc>
      </w:tr>
      <w:tr>
        <w:tc>
          <w:tcPr>
            <w:tcW w:type="dxa" w:w="4680"/>
          </w:tcPr>
          <w:p>
            <w:r>
              <w:rPr>
                <w:rFonts w:ascii="Arial" w:hAnsi="Arial"/>
                <w:b/>
                <w:sz w:val="20"/>
              </w:rPr>
              <w:t>Academic Supervisor</w:t>
            </w:r>
          </w:p>
        </w:tc>
        <w:tc>
          <w:tcPr>
            <w:tcW w:type="dxa" w:w="4680"/>
          </w:tcPr>
          <w:p>
            <w:r>
              <w:rPr>
                <w:rFonts w:ascii="Arial" w:hAnsi="Arial"/>
                <w:sz w:val="20"/>
              </w:rPr>
              <w:t>[Academic Supervisor Name — please fill in]</w:t>
            </w:r>
          </w:p>
        </w:tc>
      </w:tr>
      <w:tr>
        <w:tc>
          <w:tcPr>
            <w:tcW w:type="dxa" w:w="4680"/>
            <w:shd w:val="clear" w:color="auto" w:fill="E8F5EE"/>
          </w:tcPr>
          <w:p>
            <w:r>
              <w:rPr>
                <w:rFonts w:ascii="Arial" w:hAnsi="Arial"/>
                <w:b/>
                <w:sz w:val="20"/>
              </w:rPr>
              <w:t>Student Team</w:t>
            </w:r>
          </w:p>
        </w:tc>
        <w:tc>
          <w:tcPr>
            <w:tcW w:type="dxa" w:w="4680"/>
            <w:shd w:val="clear" w:color="auto" w:fill="E8F5EE"/>
          </w:tcPr>
          <w:p>
            <w:r>
              <w:rPr>
                <w:rFonts w:ascii="Arial" w:hAnsi="Arial"/>
                <w:sz w:val="20"/>
              </w:rPr>
              <w:t>Hishikesh Phukan (S4031214)</w:t>
              <w:br/>
              <w:t>Reddy Pranay Vipparla (S4112678)</w:t>
              <w:br/>
              <w:t>Venkata Nagendra Anamala (S4024233)</w:t>
              <w:br/>
              <w:t>Siddhartha Ananthula (S4111078)</w:t>
              <w:br/>
              <w:t>Sammer Yadav (S4038689)</w:t>
            </w:r>
          </w:p>
        </w:tc>
      </w:tr>
      <w:tr>
        <w:tc>
          <w:tcPr>
            <w:tcW w:type="dxa" w:w="4680"/>
          </w:tcPr>
          <w:p>
            <w:r>
              <w:rPr>
                <w:rFonts w:ascii="Arial" w:hAnsi="Arial"/>
                <w:b/>
                <w:sz w:val="20"/>
              </w:rPr>
              <w:t>Date</w:t>
            </w:r>
          </w:p>
        </w:tc>
        <w:tc>
          <w:tcPr>
            <w:tcW w:type="dxa" w:w="4680"/>
          </w:tcPr>
          <w:p>
            <w:r>
              <w:rPr>
                <w:rFonts w:ascii="Arial" w:hAnsi="Arial"/>
                <w:sz w:val="20"/>
              </w:rPr>
              <w:t>June 2026</w:t>
            </w:r>
          </w:p>
        </w:tc>
      </w:tr>
    </w:tbl>
    <w:p>
      <w:r>
        <w:br w:type="page"/>
      </w:r>
    </w:p>
    <w:p>
      <w:pPr>
        <w:pStyle w:val="Heading1"/>
        <w:spacing w:before="240" w:after="80" w:lineRule="auto" w:line="276"/>
        <w:jc w:val="left"/>
      </w:pPr>
      <w:r>
        <w:rPr>
          <w:rFonts w:ascii="Arial" w:hAnsi="Arial"/>
          <w:b/>
          <w:color w:val="1E8449"/>
          <w:sz w:val="26"/>
        </w:rPr>
        <w:t>1.  Introduction</w:t>
      </w:r>
    </w:p>
    <w:p>
      <w:pPr>
        <w:pStyle w:val="Heading2"/>
        <w:spacing w:before="160" w:after="60" w:lineRule="auto" w:line="276"/>
      </w:pPr>
      <w:r>
        <w:rPr>
          <w:rFonts w:ascii="Arial" w:hAnsi="Arial"/>
          <w:b/>
          <w:color w:val="1A1A1A"/>
          <w:sz w:val="22"/>
        </w:rPr>
        <w:t>1.1  Partner Organisation — Regen Melbourne</w:t>
      </w:r>
    </w:p>
    <w:p>
      <w:pPr>
        <w:spacing w:before="0" w:after="120" w:lineRule="auto" w:line="276"/>
        <w:ind w:left="0"/>
        <w:jc w:val="left"/>
      </w:pPr>
      <w:r>
        <w:rPr>
          <w:rFonts w:ascii="Arial" w:hAnsi="Arial"/>
          <w:b w:val="0"/>
          <w:i w:val="0"/>
          <w:color w:val="1A1A1A"/>
          <w:sz w:val="22"/>
        </w:rPr>
        <w:t>Regen Melbourne is a not-for-profit urban regeneration organisation focused on transforming Melbourne's streets from car-dominated corridors into safe, liveable, and community-centred spaces. Their 300,000 Streets of Melbourne initiative aims to retrofit the street network to prioritise walking, cycling, and public life. The organisation identified secondary school walking routes in Melbourne's northern suburbs as a high-priority area: students commuting on foot or by bike face dangerous arterial roads, absent crossings, and degraded footpaths. Regen Melbourne required an evidence-based assessment tool to identify, quantify, and prioritise safety improvements — forming the basis of this project.</w:t>
      </w:r>
    </w:p>
    <w:p>
      <w:pPr>
        <w:pStyle w:val="Heading2"/>
        <w:spacing w:before="160" w:after="60" w:lineRule="auto" w:line="276"/>
      </w:pPr>
      <w:r>
        <w:rPr>
          <w:rFonts w:ascii="Arial" w:hAnsi="Arial"/>
          <w:b/>
          <w:color w:val="1A1A1A"/>
          <w:sz w:val="22"/>
        </w:rPr>
        <w:t>1.2  Project Aims</w:t>
      </w:r>
    </w:p>
    <w:p>
      <w:pPr>
        <w:spacing w:before="0" w:after="40" w:lineRule="auto" w:line="276"/>
        <w:ind w:left="0"/>
        <w:jc w:val="left"/>
      </w:pPr>
      <w:r>
        <w:rPr>
          <w:rFonts w:ascii="Arial" w:hAnsi="Arial"/>
          <w:b/>
          <w:i w:val="0"/>
          <w:color w:val="1A1A1A"/>
          <w:sz w:val="22"/>
        </w:rPr>
        <w:t>Initial aims (as per project proposal):</w:t>
      </w:r>
    </w:p>
    <w:p>
      <w:pPr>
        <w:pStyle w:val="ListBullet"/>
        <w:spacing w:before="0" w:after="60" w:lineRule="auto" w:line="276"/>
        <w:ind w:left="283"/>
      </w:pPr>
      <w:r>
        <w:rPr>
          <w:rFonts w:ascii="Arial" w:hAnsi="Arial"/>
          <w:sz w:val="22"/>
        </w:rPr>
        <w:t>Assess pedestrian and cycling safety for walking routes around three Darebin secondary schools using the Healthy Streets framework (Saunders, 2015).</w:t>
      </w:r>
    </w:p>
    <w:p>
      <w:pPr>
        <w:pStyle w:val="ListBullet"/>
        <w:spacing w:before="0" w:after="60" w:lineRule="auto" w:line="276"/>
        <w:ind w:left="283"/>
      </w:pPr>
      <w:r>
        <w:rPr>
          <w:rFonts w:ascii="Arial" w:hAnsi="Arial"/>
          <w:sz w:val="22"/>
        </w:rPr>
        <w:t>Produce quantified scores and prioritised intervention recommendations per school.</w:t>
      </w:r>
    </w:p>
    <w:p>
      <w:pPr>
        <w:pStyle w:val="ListBullet"/>
        <w:spacing w:before="0" w:after="60" w:lineRule="auto" w:line="276"/>
        <w:ind w:left="283"/>
      </w:pPr>
      <w:r>
        <w:rPr>
          <w:rFonts w:ascii="Arial" w:hAnsi="Arial"/>
          <w:sz w:val="22"/>
        </w:rPr>
        <w:t>Deliver outputs in a format accessible to Regen Melbourne's non-technical stakeholders.</w:t>
      </w:r>
    </w:p>
    <w:p>
      <w:pPr>
        <w:spacing w:before="160" w:after="40" w:lineRule="auto" w:line="276"/>
        <w:ind w:left="0"/>
        <w:jc w:val="left"/>
      </w:pPr>
      <w:r>
        <w:rPr>
          <w:rFonts w:ascii="Arial" w:hAnsi="Arial"/>
          <w:b/>
          <w:i w:val="0"/>
          <w:color w:val="1A1A1A"/>
          <w:sz w:val="22"/>
        </w:rPr>
        <w:t>Current aims (expanded during delivery):</w:t>
      </w:r>
    </w:p>
    <w:p>
      <w:pPr>
        <w:pStyle w:val="ListBullet"/>
        <w:spacing w:before="0" w:after="60" w:lineRule="auto" w:line="276"/>
        <w:ind w:left="283"/>
      </w:pPr>
      <w:r>
        <w:rPr>
          <w:rFonts w:ascii="Arial" w:hAnsi="Arial"/>
          <w:sz w:val="22"/>
        </w:rPr>
        <w:t>All initial aims, plus:</w:t>
      </w:r>
    </w:p>
    <w:p>
      <w:pPr>
        <w:pStyle w:val="ListBullet"/>
        <w:spacing w:before="0" w:after="60" w:lineRule="auto" w:line="276"/>
        <w:ind w:left="283"/>
      </w:pPr>
      <w:r>
        <w:rPr>
          <w:rFonts w:ascii="Arial" w:hAnsi="Arial"/>
          <w:sz w:val="22"/>
        </w:rPr>
        <w:t>Train a machine learning model to predict Healthy Streets indicator scores from open data — enabling cost-effective network-wide screening of Melbourne's 200+ secondary schools without field surveys.</w:t>
      </w:r>
    </w:p>
    <w:p>
      <w:pPr>
        <w:pStyle w:val="ListBullet"/>
        <w:spacing w:before="0" w:after="60" w:lineRule="auto" w:line="276"/>
        <w:ind w:left="283"/>
      </w:pPr>
      <w:r>
        <w:rPr>
          <w:rFonts w:ascii="Arial" w:hAnsi="Arial"/>
          <w:sz w:val="22"/>
        </w:rPr>
        <w:t>Build a what-if scenario engine that models the predicted impact of ten physical street interventions per school.</w:t>
      </w:r>
    </w:p>
    <w:p>
      <w:pPr>
        <w:pStyle w:val="ListBullet"/>
        <w:spacing w:before="0" w:after="60" w:lineRule="auto" w:line="276"/>
        <w:ind w:left="283"/>
      </w:pPr>
      <w:r>
        <w:rPr>
          <w:rFonts w:ascii="Arial" w:hAnsi="Arial"/>
          <w:sz w:val="22"/>
        </w:rPr>
        <w:t>Conduct an equity analysis linking socioeconomic disadvantage (ABS SEIFA 2021) to safety outcomes.</w:t>
      </w:r>
    </w:p>
    <w:p>
      <w:pPr>
        <w:pStyle w:val="ListBullet"/>
        <w:spacing w:before="0" w:after="60" w:lineRule="auto" w:line="276"/>
        <w:ind w:left="283"/>
      </w:pPr>
      <w:r>
        <w:rPr>
          <w:rFonts w:ascii="Arial" w:hAnsi="Arial"/>
          <w:sz w:val="22"/>
        </w:rPr>
        <w:t>Analyse Victorian road crash trends (2021–2025) near school gates.</w:t>
      </w:r>
    </w:p>
    <w:p>
      <w:pPr>
        <w:pStyle w:val="ListBullet"/>
        <w:spacing w:before="0" w:after="60" w:lineRule="auto" w:line="276"/>
        <w:ind w:left="283"/>
      </w:pPr>
      <w:r>
        <w:rPr>
          <w:rFonts w:ascii="Arial" w:hAnsi="Arial"/>
          <w:sz w:val="22"/>
        </w:rPr>
        <w:t>Deploy all findings as an interactive GitHub Pages dashboard accessible to non-technical stakeholders.</w:t>
      </w:r>
    </w:p>
    <w:p>
      <w:pPr>
        <w:spacing w:before="120" w:after="120" w:lineRule="auto" w:line="276"/>
        <w:ind w:left="0"/>
        <w:jc w:val="left"/>
      </w:pPr>
      <w:r>
        <w:rPr>
          <w:rFonts w:ascii="Arial" w:hAnsi="Arial"/>
          <w:b w:val="0"/>
          <w:i w:val="0"/>
          <w:color w:val="1A1A1A"/>
          <w:sz w:val="22"/>
        </w:rPr>
        <w:t>The scope expansion was driven by Regen Melbourne's interest in both immediate school-specific recommendations and a scalable methodology for assessing the broader Melbourne school network. The equity finding — that more disadvantaged catchments have the worst safety outcomes — emerged as a key policy insight that was not anticipated in the proposal.</w:t>
      </w:r>
    </w:p>
    <w:p>
      <w:pPr>
        <w:pStyle w:val="Heading2"/>
        <w:spacing w:before="160" w:after="60" w:lineRule="auto" w:line="276"/>
      </w:pPr>
      <w:r>
        <w:rPr>
          <w:rFonts w:ascii="Arial" w:hAnsi="Arial"/>
          <w:b/>
          <w:color w:val="1A1A1A"/>
          <w:sz w:val="22"/>
        </w:rPr>
        <w:t>1.3  Deliverables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E8449"/>
          </w:tcPr>
          <w:p>
            <w:pPr>
              <w:jc w:val="center"/>
            </w:pPr>
            <w:r>
              <w:rPr>
                <w:rFonts w:ascii="Arial" w:hAnsi="Arial"/>
                <w:b/>
                <w:color w:val="FFFFFF"/>
                <w:sz w:val="20"/>
              </w:rPr>
              <w:t>ID</w:t>
            </w:r>
          </w:p>
        </w:tc>
        <w:tc>
          <w:tcPr>
            <w:tcW w:type="dxa" w:w="3120"/>
            <w:shd w:val="clear" w:color="auto" w:fill="1E8449"/>
          </w:tcPr>
          <w:p>
            <w:pPr>
              <w:jc w:val="center"/>
            </w:pPr>
            <w:r>
              <w:rPr>
                <w:rFonts w:ascii="Arial" w:hAnsi="Arial"/>
                <w:b/>
                <w:color w:val="FFFFFF"/>
                <w:sz w:val="20"/>
              </w:rPr>
              <w:t>Deliverable</w:t>
            </w:r>
          </w:p>
        </w:tc>
        <w:tc>
          <w:tcPr>
            <w:tcW w:type="dxa" w:w="3120"/>
            <w:shd w:val="clear" w:color="auto" w:fill="1E8449"/>
          </w:tcPr>
          <w:p>
            <w:pPr>
              <w:jc w:val="center"/>
            </w:pPr>
            <w:r>
              <w:rPr>
                <w:rFonts w:ascii="Arial" w:hAnsi="Arial"/>
                <w:b/>
                <w:color w:val="FFFFFF"/>
                <w:sz w:val="20"/>
              </w:rPr>
              <w:t>Description</w:t>
            </w:r>
          </w:p>
        </w:tc>
      </w:tr>
      <w:tr>
        <w:tc>
          <w:tcPr>
            <w:tcW w:type="dxa" w:w="3120"/>
            <w:shd w:val="clear" w:color="auto" w:fill="F5F5F5"/>
          </w:tcPr>
          <w:p>
            <w:pPr>
              <w:jc w:val="center"/>
            </w:pPr>
            <w:r>
              <w:rPr>
                <w:rFonts w:ascii="Arial" w:hAnsi="Arial"/>
                <w:sz w:val="20"/>
              </w:rPr>
              <w:t>D1</w:t>
            </w:r>
          </w:p>
        </w:tc>
        <w:tc>
          <w:tcPr>
            <w:tcW w:type="dxa" w:w="3120"/>
            <w:shd w:val="clear" w:color="auto" w:fill="F5F5F5"/>
          </w:tcPr>
          <w:p>
            <w:pPr>
              <w:jc w:val="center"/>
            </w:pPr>
            <w:r>
              <w:rPr>
                <w:rFonts w:ascii="Arial" w:hAnsi="Arial"/>
                <w:sz w:val="20"/>
              </w:rPr>
              <w:t>Healthy Streets assessment</w:t>
            </w:r>
          </w:p>
        </w:tc>
        <w:tc>
          <w:tcPr>
            <w:tcW w:type="dxa" w:w="3120"/>
            <w:shd w:val="clear" w:color="auto" w:fill="F5F5F5"/>
          </w:tcPr>
          <w:p>
            <w:pPr>
              <w:jc w:val="center"/>
            </w:pPr>
            <w:r>
              <w:rPr>
                <w:rFonts w:ascii="Arial" w:hAnsi="Arial"/>
                <w:sz w:val="20"/>
              </w:rPr>
              <w:t>Quantified HS1–HS10 scores and hazard severity for 3 Darebin secondary schools</w:t>
            </w:r>
          </w:p>
        </w:tc>
      </w:tr>
      <w:tr>
        <w:tc>
          <w:tcPr>
            <w:tcW w:type="dxa" w:w="3120"/>
          </w:tcPr>
          <w:p>
            <w:pPr>
              <w:jc w:val="center"/>
            </w:pPr>
            <w:r>
              <w:rPr>
                <w:rFonts w:ascii="Arial" w:hAnsi="Arial"/>
                <w:sz w:val="20"/>
              </w:rPr>
              <w:t>D2</w:t>
            </w:r>
          </w:p>
        </w:tc>
        <w:tc>
          <w:tcPr>
            <w:tcW w:type="dxa" w:w="3120"/>
          </w:tcPr>
          <w:p>
            <w:pPr>
              <w:jc w:val="center"/>
            </w:pPr>
            <w:r>
              <w:rPr>
                <w:rFonts w:ascii="Arial" w:hAnsi="Arial"/>
                <w:sz w:val="20"/>
              </w:rPr>
              <w:t>ML prediction model</w:t>
            </w:r>
          </w:p>
        </w:tc>
        <w:tc>
          <w:tcPr>
            <w:tcW w:type="dxa" w:w="3120"/>
          </w:tcPr>
          <w:p>
            <w:pPr>
              <w:jc w:val="center"/>
            </w:pPr>
            <w:r>
              <w:rPr>
                <w:rFonts w:ascii="Arial" w:hAnsi="Arial"/>
                <w:sz w:val="20"/>
              </w:rPr>
              <w:t>Trained Ridge regression model (hs_predictor.pkl) predicting HS scores from open data</w:t>
            </w:r>
          </w:p>
        </w:tc>
      </w:tr>
      <w:tr>
        <w:tc>
          <w:tcPr>
            <w:tcW w:type="dxa" w:w="3120"/>
            <w:shd w:val="clear" w:color="auto" w:fill="F5F5F5"/>
          </w:tcPr>
          <w:p>
            <w:pPr>
              <w:jc w:val="center"/>
            </w:pPr>
            <w:r>
              <w:rPr>
                <w:rFonts w:ascii="Arial" w:hAnsi="Arial"/>
                <w:sz w:val="20"/>
              </w:rPr>
              <w:t>D3</w:t>
            </w:r>
          </w:p>
        </w:tc>
        <w:tc>
          <w:tcPr>
            <w:tcW w:type="dxa" w:w="3120"/>
            <w:shd w:val="clear" w:color="auto" w:fill="F5F5F5"/>
          </w:tcPr>
          <w:p>
            <w:pPr>
              <w:jc w:val="center"/>
            </w:pPr>
            <w:r>
              <w:rPr>
                <w:rFonts w:ascii="Arial" w:hAnsi="Arial"/>
                <w:sz w:val="20"/>
              </w:rPr>
              <w:t>Scenario engine</w:t>
            </w:r>
          </w:p>
        </w:tc>
        <w:tc>
          <w:tcPr>
            <w:tcW w:type="dxa" w:w="3120"/>
            <w:shd w:val="clear" w:color="auto" w:fill="F5F5F5"/>
          </w:tcPr>
          <w:p>
            <w:pPr>
              <w:jc w:val="center"/>
            </w:pPr>
            <w:r>
              <w:rPr>
                <w:rFonts w:ascii="Arial" w:hAnsi="Arial"/>
                <w:sz w:val="20"/>
              </w:rPr>
              <w:t>10 intervention templates with delta-method impact prediction across all 3 schools</w:t>
            </w:r>
          </w:p>
        </w:tc>
      </w:tr>
      <w:tr>
        <w:tc>
          <w:tcPr>
            <w:tcW w:type="dxa" w:w="3120"/>
          </w:tcPr>
          <w:p>
            <w:pPr>
              <w:jc w:val="center"/>
            </w:pPr>
            <w:r>
              <w:rPr>
                <w:rFonts w:ascii="Arial" w:hAnsi="Arial"/>
                <w:sz w:val="20"/>
              </w:rPr>
              <w:t>D4</w:t>
            </w:r>
          </w:p>
        </w:tc>
        <w:tc>
          <w:tcPr>
            <w:tcW w:type="dxa" w:w="3120"/>
          </w:tcPr>
          <w:p>
            <w:pPr>
              <w:jc w:val="center"/>
            </w:pPr>
            <w:r>
              <w:rPr>
                <w:rFonts w:ascii="Arial" w:hAnsi="Arial"/>
                <w:sz w:val="20"/>
              </w:rPr>
              <w:t>Equity analysis</w:t>
            </w:r>
          </w:p>
        </w:tc>
        <w:tc>
          <w:tcPr>
            <w:tcW w:type="dxa" w:w="3120"/>
          </w:tcPr>
          <w:p>
            <w:pPr>
              <w:jc w:val="center"/>
            </w:pPr>
            <w:r>
              <w:rPr>
                <w:rFonts w:ascii="Arial" w:hAnsi="Arial"/>
                <w:sz w:val="20"/>
              </w:rPr>
              <w:t>SEIFA–safety correlation report with supporting visualisations</w:t>
            </w:r>
          </w:p>
        </w:tc>
      </w:tr>
      <w:tr>
        <w:tc>
          <w:tcPr>
            <w:tcW w:type="dxa" w:w="3120"/>
            <w:shd w:val="clear" w:color="auto" w:fill="F5F5F5"/>
          </w:tcPr>
          <w:p>
            <w:pPr>
              <w:jc w:val="center"/>
            </w:pPr>
            <w:r>
              <w:rPr>
                <w:rFonts w:ascii="Arial" w:hAnsi="Arial"/>
                <w:sz w:val="20"/>
              </w:rPr>
              <w:t>D5</w:t>
            </w:r>
          </w:p>
        </w:tc>
        <w:tc>
          <w:tcPr>
            <w:tcW w:type="dxa" w:w="3120"/>
            <w:shd w:val="clear" w:color="auto" w:fill="F5F5F5"/>
          </w:tcPr>
          <w:p>
            <w:pPr>
              <w:jc w:val="center"/>
            </w:pPr>
            <w:r>
              <w:rPr>
                <w:rFonts w:ascii="Arial" w:hAnsi="Arial"/>
                <w:sz w:val="20"/>
              </w:rPr>
              <w:t>Crash trend analysis</w:t>
            </w:r>
          </w:p>
        </w:tc>
        <w:tc>
          <w:tcPr>
            <w:tcW w:type="dxa" w:w="3120"/>
            <w:shd w:val="clear" w:color="auto" w:fill="F5F5F5"/>
          </w:tcPr>
          <w:p>
            <w:pPr>
              <w:jc w:val="center"/>
            </w:pPr>
            <w:r>
              <w:rPr>
                <w:rFonts w:ascii="Arial" w:hAnsi="Arial"/>
                <w:sz w:val="20"/>
              </w:rPr>
              <w:t>VicRoads crash data analysis (2021–2025) with school-hours breakdown</w:t>
            </w:r>
          </w:p>
        </w:tc>
      </w:tr>
      <w:tr>
        <w:tc>
          <w:tcPr>
            <w:tcW w:type="dxa" w:w="3120"/>
          </w:tcPr>
          <w:p>
            <w:pPr>
              <w:jc w:val="center"/>
            </w:pPr>
            <w:r>
              <w:rPr>
                <w:rFonts w:ascii="Arial" w:hAnsi="Arial"/>
                <w:sz w:val="20"/>
              </w:rPr>
              <w:t>D6</w:t>
            </w:r>
          </w:p>
        </w:tc>
        <w:tc>
          <w:tcPr>
            <w:tcW w:type="dxa" w:w="3120"/>
          </w:tcPr>
          <w:p>
            <w:pPr>
              <w:jc w:val="center"/>
            </w:pPr>
            <w:r>
              <w:rPr>
                <w:rFonts w:ascii="Arial" w:hAnsi="Arial"/>
                <w:sz w:val="20"/>
              </w:rPr>
              <w:t>Interactive dashboard</w:t>
            </w:r>
          </w:p>
        </w:tc>
        <w:tc>
          <w:tcPr>
            <w:tcW w:type="dxa" w:w="3120"/>
          </w:tcPr>
          <w:p>
            <w:pPr>
              <w:jc w:val="center"/>
            </w:pPr>
            <w:r>
              <w:rPr>
                <w:rFonts w:ascii="Arial" w:hAnsi="Arial"/>
                <w:sz w:val="20"/>
              </w:rPr>
              <w:t>GitHub Pages static dashboard (7 sections, layer-enabled map, scenario explorer)</w:t>
            </w:r>
          </w:p>
        </w:tc>
      </w:tr>
      <w:tr>
        <w:tc>
          <w:tcPr>
            <w:tcW w:type="dxa" w:w="3120"/>
            <w:shd w:val="clear" w:color="auto" w:fill="F5F5F5"/>
          </w:tcPr>
          <w:p>
            <w:pPr>
              <w:jc w:val="center"/>
            </w:pPr>
            <w:r>
              <w:rPr>
                <w:rFonts w:ascii="Arial" w:hAnsi="Arial"/>
                <w:sz w:val="20"/>
              </w:rPr>
              <w:t>D7</w:t>
            </w:r>
          </w:p>
        </w:tc>
        <w:tc>
          <w:tcPr>
            <w:tcW w:type="dxa" w:w="3120"/>
            <w:shd w:val="clear" w:color="auto" w:fill="F5F5F5"/>
          </w:tcPr>
          <w:p>
            <w:pPr>
              <w:jc w:val="center"/>
            </w:pPr>
            <w:r>
              <w:rPr>
                <w:rFonts w:ascii="Arial" w:hAnsi="Arial"/>
                <w:sz w:val="20"/>
              </w:rPr>
              <w:t>This report</w:t>
            </w:r>
          </w:p>
        </w:tc>
        <w:tc>
          <w:tcPr>
            <w:tcW w:type="dxa" w:w="3120"/>
            <w:shd w:val="clear" w:color="auto" w:fill="F5F5F5"/>
          </w:tcPr>
          <w:p>
            <w:pPr>
              <w:jc w:val="center"/>
            </w:pPr>
            <w:r>
              <w:rPr>
                <w:rFonts w:ascii="Arial" w:hAnsi="Arial"/>
                <w:sz w:val="20"/>
              </w:rPr>
              <w:t>Final project report per COSC2667/2777 guidelines</w:t>
            </w:r>
          </w:p>
        </w:tc>
      </w:tr>
    </w:tbl>
    <w:p>
      <w:r>
        <w:br w:type="page"/>
      </w:r>
    </w:p>
    <w:p>
      <w:pPr>
        <w:pStyle w:val="Heading1"/>
        <w:spacing w:before="240" w:after="80" w:lineRule="auto" w:line="276"/>
        <w:jc w:val="left"/>
      </w:pPr>
      <w:r>
        <w:rPr>
          <w:rFonts w:ascii="Arial" w:hAnsi="Arial"/>
          <w:b/>
          <w:color w:val="1E8449"/>
          <w:sz w:val="26"/>
        </w:rPr>
        <w:t>2.  Methodology</w:t>
      </w:r>
    </w:p>
    <w:p>
      <w:pPr>
        <w:pStyle w:val="Heading2"/>
        <w:spacing w:before="160" w:after="60" w:lineRule="auto" w:line="276"/>
      </w:pPr>
      <w:r>
        <w:rPr>
          <w:rFonts w:ascii="Arial" w:hAnsi="Arial"/>
          <w:b/>
          <w:color w:val="1A1A1A"/>
          <w:sz w:val="22"/>
        </w:rPr>
        <w:t>2.1  Overall Approach</w:t>
      </w:r>
    </w:p>
    <w:p>
      <w:pPr>
        <w:spacing w:before="0" w:after="120" w:lineRule="auto" w:line="276"/>
        <w:ind w:left="0"/>
        <w:jc w:val="left"/>
      </w:pPr>
      <w:r>
        <w:rPr>
          <w:rFonts w:ascii="Arial" w:hAnsi="Arial"/>
          <w:b w:val="0"/>
          <w:i w:val="0"/>
          <w:color w:val="1A1A1A"/>
          <w:sz w:val="22"/>
        </w:rPr>
        <w:t>The project follows a ten-step reproducible pipeline (Figure 1) that transforms raw field observations and open government data into scored assessments, ML predictions, equity analysis, crash trends, scenario modelling, and a stakeholder-facing dashboard. Each step corresponds to a project aim: steps 1–4 deliver D1 (assessment), steps 5–6 deliver D2 (ML model), steps 7–8 deliver D4 (equity), step 9 delivers D5 (crashes), and the dashboard pipeline delivers D6.</w:t>
      </w:r>
    </w:p>
    <w:p>
      <w:pPr>
        <w:jc w:val="center"/>
      </w:pPr>
      <w:r>
        <w:drawing>
          <wp:inline xmlns:a="http://schemas.openxmlformats.org/drawingml/2006/main" xmlns:pic="http://schemas.openxmlformats.org/drawingml/2006/picture">
            <wp:extent cx="5303520" cy="4660387"/>
            <wp:docPr id="1" name="Picture 1"/>
            <wp:cNvGraphicFramePr>
              <a:graphicFrameLocks noChangeAspect="1"/>
            </wp:cNvGraphicFramePr>
            <a:graphic>
              <a:graphicData uri="http://schemas.openxmlformats.org/drawingml/2006/picture">
                <pic:pic>
                  <pic:nvPicPr>
                    <pic:cNvPr id="0" name="chart1_safety_scores.png"/>
                    <pic:cNvPicPr/>
                  </pic:nvPicPr>
                  <pic:blipFill>
                    <a:blip r:embed="rId9"/>
                    <a:stretch>
                      <a:fillRect/>
                    </a:stretch>
                  </pic:blipFill>
                  <pic:spPr>
                    <a:xfrm>
                      <a:off x="0" y="0"/>
                      <a:ext cx="5303520" cy="4660387"/>
                    </a:xfrm>
                    <a:prstGeom prst="rect"/>
                  </pic:spPr>
                </pic:pic>
              </a:graphicData>
            </a:graphic>
          </wp:inline>
        </w:drawing>
      </w:r>
    </w:p>
    <w:p>
      <w:pPr>
        <w:spacing w:before="0" w:after="200" w:lineRule="auto" w:line="276"/>
        <w:jc w:val="center"/>
      </w:pPr>
      <w:r>
        <w:rPr>
          <w:rFonts w:ascii="Arial" w:hAnsi="Arial"/>
          <w:i/>
          <w:color w:val="555555"/>
          <w:sz w:val="18"/>
        </w:rPr>
        <w:t>Figure 1 — Healthy Streets indicator scores across all three assessed schools</w:t>
      </w:r>
    </w:p>
    <w:p>
      <w:pPr>
        <w:pStyle w:val="Heading2"/>
        <w:spacing w:before="160" w:after="60" w:lineRule="auto" w:line="276"/>
      </w:pPr>
      <w:r>
        <w:rPr>
          <w:rFonts w:ascii="Arial" w:hAnsi="Arial"/>
          <w:b/>
          <w:color w:val="1A1A1A"/>
          <w:sz w:val="22"/>
        </w:rPr>
        <w:t>2.2  Healthy Streets Framework and Scoring (D1)</w:t>
      </w:r>
    </w:p>
    <w:p>
      <w:pPr>
        <w:spacing w:before="0" w:after="120" w:lineRule="auto" w:line="276"/>
        <w:ind w:left="0"/>
        <w:jc w:val="left"/>
      </w:pPr>
      <w:r>
        <w:rPr>
          <w:rFonts w:ascii="Arial" w:hAnsi="Arial"/>
          <w:b w:val="0"/>
          <w:i w:val="0"/>
          <w:color w:val="1A1A1A"/>
          <w:sz w:val="22"/>
        </w:rPr>
        <w:t>Each school gate is scored across ten Healthy Streets indicators (HS1–HS10, scored 0–10). Five indicators (HS1, HS2, HS5, HS7, HS9) are scored from field observation; five (HS3, HS4, HS6, HS8, HS10) from open data. The overall score is the mean across all indicators. Hazard severity is classified as Major (HS2&lt;3 or HS1&lt;3 or HS5&lt;2), Moderate (2+ indicators below 6.0 or overall&lt;5.0), or Minor. A rule engine (17 rules mapped to HS indicators) generates prioritised intervention recommendations.</w:t>
      </w:r>
    </w:p>
    <w:p>
      <w:pPr>
        <w:pStyle w:val="Heading2"/>
        <w:spacing w:before="160" w:after="60" w:lineRule="auto" w:line="276"/>
      </w:pPr>
      <w:r>
        <w:rPr>
          <w:rFonts w:ascii="Arial" w:hAnsi="Arial"/>
          <w:b/>
          <w:color w:val="1A1A1A"/>
          <w:sz w:val="22"/>
        </w:rPr>
        <w:t>2.3  Data Sources and Justification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E8449"/>
          </w:tcPr>
          <w:p>
            <w:pPr>
              <w:jc w:val="center"/>
            </w:pPr>
            <w:r>
              <w:rPr>
                <w:rFonts w:ascii="Arial" w:hAnsi="Arial"/>
                <w:b/>
                <w:color w:val="FFFFFF"/>
                <w:sz w:val="20"/>
              </w:rPr>
              <w:t>Dataset</w:t>
            </w:r>
          </w:p>
        </w:tc>
        <w:tc>
          <w:tcPr>
            <w:tcW w:type="dxa" w:w="2340"/>
            <w:shd w:val="clear" w:color="auto" w:fill="1E8449"/>
          </w:tcPr>
          <w:p>
            <w:pPr>
              <w:jc w:val="center"/>
            </w:pPr>
            <w:r>
              <w:rPr>
                <w:rFonts w:ascii="Arial" w:hAnsi="Arial"/>
                <w:b/>
                <w:color w:val="FFFFFF"/>
                <w:sz w:val="20"/>
              </w:rPr>
              <w:t>Source</w:t>
            </w:r>
          </w:p>
        </w:tc>
        <w:tc>
          <w:tcPr>
            <w:tcW w:type="dxa" w:w="2340"/>
            <w:shd w:val="clear" w:color="auto" w:fill="1E8449"/>
          </w:tcPr>
          <w:p>
            <w:pPr>
              <w:jc w:val="center"/>
            </w:pPr>
            <w:r>
              <w:rPr>
                <w:rFonts w:ascii="Arial" w:hAnsi="Arial"/>
                <w:b/>
                <w:color w:val="FFFFFF"/>
                <w:sz w:val="20"/>
              </w:rPr>
              <w:t>Volume</w:t>
            </w:r>
          </w:p>
        </w:tc>
        <w:tc>
          <w:tcPr>
            <w:tcW w:type="dxa" w:w="2340"/>
            <w:shd w:val="clear" w:color="auto" w:fill="1E8449"/>
          </w:tcPr>
          <w:p>
            <w:pPr>
              <w:jc w:val="center"/>
            </w:pPr>
            <w:r>
              <w:rPr>
                <w:rFonts w:ascii="Arial" w:hAnsi="Arial"/>
                <w:b/>
                <w:color w:val="FFFFFF"/>
                <w:sz w:val="20"/>
              </w:rPr>
              <w:t>Used for</w:t>
            </w:r>
          </w:p>
        </w:tc>
      </w:tr>
      <w:tr>
        <w:tc>
          <w:tcPr>
            <w:tcW w:type="dxa" w:w="2340"/>
            <w:shd w:val="clear" w:color="auto" w:fill="F5F5F5"/>
          </w:tcPr>
          <w:p>
            <w:pPr>
              <w:jc w:val="center"/>
            </w:pPr>
            <w:r>
              <w:rPr>
                <w:rFonts w:ascii="Arial" w:hAnsi="Arial"/>
                <w:sz w:val="20"/>
              </w:rPr>
              <w:t>Field observation</w:t>
            </w:r>
          </w:p>
        </w:tc>
        <w:tc>
          <w:tcPr>
            <w:tcW w:type="dxa" w:w="2340"/>
            <w:shd w:val="clear" w:color="auto" w:fill="F5F5F5"/>
          </w:tcPr>
          <w:p>
            <w:pPr>
              <w:jc w:val="center"/>
            </w:pPr>
            <w:r>
              <w:rPr>
                <w:rFonts w:ascii="Arial" w:hAnsi="Arial"/>
                <w:sz w:val="20"/>
              </w:rPr>
              <w:t>RMIT / Regen Melbourne</w:t>
            </w:r>
          </w:p>
        </w:tc>
        <w:tc>
          <w:tcPr>
            <w:tcW w:type="dxa" w:w="2340"/>
            <w:shd w:val="clear" w:color="auto" w:fill="F5F5F5"/>
          </w:tcPr>
          <w:p>
            <w:pPr>
              <w:jc w:val="center"/>
            </w:pPr>
            <w:r>
              <w:rPr>
                <w:rFonts w:ascii="Arial" w:hAnsi="Arial"/>
                <w:sz w:val="20"/>
              </w:rPr>
              <w:t>3 schools</w:t>
            </w:r>
          </w:p>
        </w:tc>
        <w:tc>
          <w:tcPr>
            <w:tcW w:type="dxa" w:w="2340"/>
            <w:shd w:val="clear" w:color="auto" w:fill="F5F5F5"/>
          </w:tcPr>
          <w:p>
            <w:pPr>
              <w:jc w:val="center"/>
            </w:pPr>
            <w:r>
              <w:rPr>
                <w:rFonts w:ascii="Arial" w:hAnsi="Arial"/>
                <w:sz w:val="20"/>
              </w:rPr>
              <w:t>HS1, HS2, HS5, HS7, HS9</w:t>
            </w:r>
          </w:p>
        </w:tc>
      </w:tr>
      <w:tr>
        <w:tc>
          <w:tcPr>
            <w:tcW w:type="dxa" w:w="2340"/>
          </w:tcPr>
          <w:p>
            <w:pPr>
              <w:jc w:val="center"/>
            </w:pPr>
            <w:r>
              <w:rPr>
                <w:rFonts w:ascii="Arial" w:hAnsi="Arial"/>
                <w:sz w:val="20"/>
              </w:rPr>
              <w:t>Victorian Road Crash Data</w:t>
            </w:r>
          </w:p>
        </w:tc>
        <w:tc>
          <w:tcPr>
            <w:tcW w:type="dxa" w:w="2340"/>
          </w:tcPr>
          <w:p>
            <w:pPr>
              <w:jc w:val="center"/>
            </w:pPr>
            <w:r>
              <w:rPr>
                <w:rFonts w:ascii="Arial" w:hAnsi="Arial"/>
                <w:sz w:val="20"/>
              </w:rPr>
              <w:t>data.vic.gov.au</w:t>
            </w:r>
          </w:p>
        </w:tc>
        <w:tc>
          <w:tcPr>
            <w:tcW w:type="dxa" w:w="2340"/>
          </w:tcPr>
          <w:p>
            <w:pPr>
              <w:jc w:val="center"/>
            </w:pPr>
            <w:r>
              <w:rPr>
                <w:rFonts w:ascii="Arial" w:hAnsi="Arial"/>
                <w:sz w:val="20"/>
              </w:rPr>
              <w:t>7,948 records 2021–25</w:t>
            </w:r>
          </w:p>
        </w:tc>
        <w:tc>
          <w:tcPr>
            <w:tcW w:type="dxa" w:w="2340"/>
          </w:tcPr>
          <w:p>
            <w:pPr>
              <w:jc w:val="center"/>
            </w:pPr>
            <w:r>
              <w:rPr>
                <w:rFonts w:ascii="Arial" w:hAnsi="Arial"/>
                <w:sz w:val="20"/>
              </w:rPr>
              <w:t>Crash analysis (D5)</w:t>
            </w:r>
          </w:p>
        </w:tc>
      </w:tr>
      <w:tr>
        <w:tc>
          <w:tcPr>
            <w:tcW w:type="dxa" w:w="2340"/>
            <w:shd w:val="clear" w:color="auto" w:fill="F5F5F5"/>
          </w:tcPr>
          <w:p>
            <w:pPr>
              <w:jc w:val="center"/>
            </w:pPr>
            <w:r>
              <w:rPr>
                <w:rFonts w:ascii="Arial" w:hAnsi="Arial"/>
                <w:sz w:val="20"/>
              </w:rPr>
              <w:t>OpenStreetMap (osmnx)</w:t>
            </w:r>
          </w:p>
        </w:tc>
        <w:tc>
          <w:tcPr>
            <w:tcW w:type="dxa" w:w="2340"/>
            <w:shd w:val="clear" w:color="auto" w:fill="F5F5F5"/>
          </w:tcPr>
          <w:p>
            <w:pPr>
              <w:jc w:val="center"/>
            </w:pPr>
            <w:r>
              <w:rPr>
                <w:rFonts w:ascii="Arial" w:hAnsi="Arial"/>
                <w:sz w:val="20"/>
              </w:rPr>
              <w:t>Overpass API</w:t>
            </w:r>
          </w:p>
        </w:tc>
        <w:tc>
          <w:tcPr>
            <w:tcW w:type="dxa" w:w="2340"/>
            <w:shd w:val="clear" w:color="auto" w:fill="F5F5F5"/>
          </w:tcPr>
          <w:p>
            <w:pPr>
              <w:jc w:val="center"/>
            </w:pPr>
            <w:r>
              <w:rPr>
                <w:rFonts w:ascii="Arial" w:hAnsi="Arial"/>
                <w:sz w:val="20"/>
              </w:rPr>
              <w:t>53 features/school</w:t>
            </w:r>
          </w:p>
        </w:tc>
        <w:tc>
          <w:tcPr>
            <w:tcW w:type="dxa" w:w="2340"/>
            <w:shd w:val="clear" w:color="auto" w:fill="F5F5F5"/>
          </w:tcPr>
          <w:p>
            <w:pPr>
              <w:jc w:val="center"/>
            </w:pPr>
            <w:r>
              <w:rPr>
                <w:rFonts w:ascii="Arial" w:hAnsi="Arial"/>
                <w:sz w:val="20"/>
              </w:rPr>
              <w:t>HS3, HS4, HS6, HS8, ML</w:t>
            </w:r>
          </w:p>
        </w:tc>
      </w:tr>
      <w:tr>
        <w:tc>
          <w:tcPr>
            <w:tcW w:type="dxa" w:w="2340"/>
          </w:tcPr>
          <w:p>
            <w:pPr>
              <w:jc w:val="center"/>
            </w:pPr>
            <w:r>
              <w:rPr>
                <w:rFonts w:ascii="Arial" w:hAnsi="Arial"/>
                <w:sz w:val="20"/>
              </w:rPr>
              <w:t>EPA AirWatch PM2.5</w:t>
            </w:r>
          </w:p>
        </w:tc>
        <w:tc>
          <w:tcPr>
            <w:tcW w:type="dxa" w:w="2340"/>
          </w:tcPr>
          <w:p>
            <w:pPr>
              <w:jc w:val="center"/>
            </w:pPr>
            <w:r>
              <w:rPr>
                <w:rFonts w:ascii="Arial" w:hAnsi="Arial"/>
                <w:sz w:val="20"/>
              </w:rPr>
              <w:t>EPA Victoria</w:t>
            </w:r>
          </w:p>
        </w:tc>
        <w:tc>
          <w:tcPr>
            <w:tcW w:type="dxa" w:w="2340"/>
          </w:tcPr>
          <w:p>
            <w:pPr>
              <w:jc w:val="center"/>
            </w:pPr>
            <w:r>
              <w:rPr>
                <w:rFonts w:ascii="Arial" w:hAnsi="Arial"/>
                <w:sz w:val="20"/>
              </w:rPr>
              <w:t>Annual average</w:t>
            </w:r>
          </w:p>
        </w:tc>
        <w:tc>
          <w:tcPr>
            <w:tcW w:type="dxa" w:w="2340"/>
          </w:tcPr>
          <w:p>
            <w:pPr>
              <w:jc w:val="center"/>
            </w:pPr>
            <w:r>
              <w:rPr>
                <w:rFonts w:ascii="Arial" w:hAnsi="Arial"/>
                <w:sz w:val="20"/>
              </w:rPr>
              <w:t>HS10</w:t>
            </w:r>
          </w:p>
        </w:tc>
      </w:tr>
      <w:tr>
        <w:tc>
          <w:tcPr>
            <w:tcW w:type="dxa" w:w="2340"/>
            <w:shd w:val="clear" w:color="auto" w:fill="F5F5F5"/>
          </w:tcPr>
          <w:p>
            <w:pPr>
              <w:jc w:val="center"/>
            </w:pPr>
            <w:r>
              <w:rPr>
                <w:rFonts w:ascii="Arial" w:hAnsi="Arial"/>
                <w:sz w:val="20"/>
              </w:rPr>
              <w:t>Crime rate</w:t>
            </w:r>
          </w:p>
        </w:tc>
        <w:tc>
          <w:tcPr>
            <w:tcW w:type="dxa" w:w="2340"/>
            <w:shd w:val="clear" w:color="auto" w:fill="F5F5F5"/>
          </w:tcPr>
          <w:p>
            <w:pPr>
              <w:jc w:val="center"/>
            </w:pPr>
            <w:r>
              <w:rPr>
                <w:rFonts w:ascii="Arial" w:hAnsi="Arial"/>
                <w:sz w:val="20"/>
              </w:rPr>
              <w:t>Crime Statistics Agency Vic</w:t>
            </w:r>
          </w:p>
        </w:tc>
        <w:tc>
          <w:tcPr>
            <w:tcW w:type="dxa" w:w="2340"/>
            <w:shd w:val="clear" w:color="auto" w:fill="F5F5F5"/>
          </w:tcPr>
          <w:p>
            <w:pPr>
              <w:jc w:val="center"/>
            </w:pPr>
            <w:r>
              <w:rPr>
                <w:rFonts w:ascii="Arial" w:hAnsi="Arial"/>
                <w:sz w:val="20"/>
              </w:rPr>
              <w:t>Suburb-level</w:t>
            </w:r>
          </w:p>
        </w:tc>
        <w:tc>
          <w:tcPr>
            <w:tcW w:type="dxa" w:w="2340"/>
            <w:shd w:val="clear" w:color="auto" w:fill="F5F5F5"/>
          </w:tcPr>
          <w:p>
            <w:pPr>
              <w:jc w:val="center"/>
            </w:pPr>
            <w:r>
              <w:rPr>
                <w:rFonts w:ascii="Arial" w:hAnsi="Arial"/>
                <w:sz w:val="20"/>
              </w:rPr>
              <w:t>HS7</w:t>
            </w:r>
          </w:p>
        </w:tc>
      </w:tr>
      <w:tr>
        <w:tc>
          <w:tcPr>
            <w:tcW w:type="dxa" w:w="2340"/>
          </w:tcPr>
          <w:p>
            <w:pPr>
              <w:jc w:val="center"/>
            </w:pPr>
            <w:r>
              <w:rPr>
                <w:rFonts w:ascii="Arial" w:hAnsi="Arial"/>
                <w:sz w:val="20"/>
              </w:rPr>
              <w:t>ABS SEIFA 2021 IRSD</w:t>
            </w:r>
          </w:p>
        </w:tc>
        <w:tc>
          <w:tcPr>
            <w:tcW w:type="dxa" w:w="2340"/>
          </w:tcPr>
          <w:p>
            <w:pPr>
              <w:jc w:val="center"/>
            </w:pPr>
            <w:r>
              <w:rPr>
                <w:rFonts w:ascii="Arial" w:hAnsi="Arial"/>
                <w:sz w:val="20"/>
              </w:rPr>
              <w:t>ABS, SA1 level</w:t>
            </w:r>
          </w:p>
        </w:tc>
        <w:tc>
          <w:tcPr>
            <w:tcW w:type="dxa" w:w="2340"/>
          </w:tcPr>
          <w:p>
            <w:pPr>
              <w:jc w:val="center"/>
            </w:pPr>
            <w:r>
              <w:rPr>
                <w:rFonts w:ascii="Arial" w:hAnsi="Arial"/>
                <w:sz w:val="20"/>
              </w:rPr>
              <w:t>3 catchments</w:t>
            </w:r>
          </w:p>
        </w:tc>
        <w:tc>
          <w:tcPr>
            <w:tcW w:type="dxa" w:w="2340"/>
          </w:tcPr>
          <w:p>
            <w:pPr>
              <w:jc w:val="center"/>
            </w:pPr>
            <w:r>
              <w:rPr>
                <w:rFonts w:ascii="Arial" w:hAnsi="Arial"/>
                <w:sz w:val="20"/>
              </w:rPr>
              <w:t>Equity analysis (D4)</w:t>
            </w:r>
          </w:p>
        </w:tc>
      </w:tr>
      <w:tr>
        <w:tc>
          <w:tcPr>
            <w:tcW w:type="dxa" w:w="2340"/>
            <w:shd w:val="clear" w:color="auto" w:fill="F5F5F5"/>
          </w:tcPr>
          <w:p>
            <w:pPr>
              <w:jc w:val="center"/>
            </w:pPr>
            <w:r>
              <w:rPr>
                <w:rFonts w:ascii="Arial" w:hAnsi="Arial"/>
                <w:sz w:val="20"/>
              </w:rPr>
              <w:t>ABS Census 2021</w:t>
            </w:r>
          </w:p>
        </w:tc>
        <w:tc>
          <w:tcPr>
            <w:tcW w:type="dxa" w:w="2340"/>
            <w:shd w:val="clear" w:color="auto" w:fill="F5F5F5"/>
          </w:tcPr>
          <w:p>
            <w:pPr>
              <w:jc w:val="center"/>
            </w:pPr>
            <w:r>
              <w:rPr>
                <w:rFonts w:ascii="Arial" w:hAnsi="Arial"/>
                <w:sz w:val="20"/>
              </w:rPr>
              <w:t>ABS, suburb level</w:t>
            </w:r>
          </w:p>
        </w:tc>
        <w:tc>
          <w:tcPr>
            <w:tcW w:type="dxa" w:w="2340"/>
            <w:shd w:val="clear" w:color="auto" w:fill="F5F5F5"/>
          </w:tcPr>
          <w:p>
            <w:pPr>
              <w:jc w:val="center"/>
            </w:pPr>
            <w:r>
              <w:rPr>
                <w:rFonts w:ascii="Arial" w:hAnsi="Arial"/>
                <w:sz w:val="20"/>
              </w:rPr>
              <w:t>Reservoir, Preston</w:t>
            </w:r>
          </w:p>
        </w:tc>
        <w:tc>
          <w:tcPr>
            <w:tcW w:type="dxa" w:w="2340"/>
            <w:shd w:val="clear" w:color="auto" w:fill="F5F5F5"/>
          </w:tcPr>
          <w:p>
            <w:pPr>
              <w:jc w:val="center"/>
            </w:pPr>
            <w:r>
              <w:rPr>
                <w:rFonts w:ascii="Arial" w:hAnsi="Arial"/>
                <w:sz w:val="20"/>
              </w:rPr>
              <w:t>Demographics context</w:t>
            </w:r>
          </w:p>
        </w:tc>
      </w:tr>
    </w:tbl>
    <w:p>
      <w:pPr>
        <w:spacing w:before="120" w:after="120" w:lineRule="auto" w:line="276"/>
        <w:ind w:left="0"/>
        <w:jc w:val="left"/>
      </w:pPr>
      <w:r>
        <w:rPr>
          <w:rFonts w:ascii="Arial" w:hAnsi="Arial"/>
          <w:b w:val="0"/>
          <w:i w:val="0"/>
          <w:color w:val="1A1A1A"/>
          <w:sz w:val="22"/>
        </w:rPr>
        <w:t>OSM was chosen as the primary spatial data source because it is freely available, programmatically accessible, and covers walking networks, cycling infrastructure, amenity, and crossing locations at 200m/400m/800m buffer radii. All spatial operations use EPSG:7855 (GDA2020 / MGA zone 55) — the Victorian standard for sub-metre metric accuracy.</w:t>
      </w:r>
    </w:p>
    <w:p>
      <w:pPr>
        <w:pStyle w:val="Heading2"/>
        <w:spacing w:before="160" w:after="60" w:lineRule="auto" w:line="276"/>
      </w:pPr>
      <w:r>
        <w:rPr>
          <w:rFonts w:ascii="Arial" w:hAnsi="Arial"/>
          <w:b/>
          <w:color w:val="1A1A1A"/>
          <w:sz w:val="22"/>
        </w:rPr>
        <w:t>2.4  Machine Learning — HS Score Prediction (D2)</w:t>
      </w:r>
    </w:p>
    <w:p>
      <w:pPr>
        <w:spacing w:before="0" w:after="120" w:lineRule="auto" w:line="276"/>
        <w:ind w:left="0"/>
        <w:jc w:val="left"/>
      </w:pPr>
      <w:r>
        <w:rPr>
          <w:rFonts w:ascii="Arial" w:hAnsi="Arial"/>
          <w:b w:val="0"/>
          <w:i w:val="0"/>
          <w:color w:val="1A1A1A"/>
          <w:sz w:val="22"/>
        </w:rPr>
        <w:t>Aim: can open-data features reliably predict Healthy Streets scores, replacing or reducing the need for field surveys when scaling to 200+ schools?</w:t>
      </w:r>
    </w:p>
    <w:p>
      <w:pPr>
        <w:spacing w:before="80" w:after="120" w:lineRule="auto" w:line="276"/>
        <w:ind w:left="0"/>
        <w:jc w:val="left"/>
      </w:pPr>
      <w:r>
        <w:rPr>
          <w:rFonts w:ascii="Arial" w:hAnsi="Arial"/>
          <w:b w:val="0"/>
          <w:i w:val="0"/>
          <w:color w:val="1A1A1A"/>
          <w:sz w:val="22"/>
        </w:rPr>
        <w:t>Feature matrix: 26 open-data features (20 OSM spatial, 2 environmental, 4 crash aggregates). Target: HS1–HS10 scores per school.</w:t>
      </w:r>
    </w:p>
    <w:p>
      <w:pPr>
        <w:spacing w:before="80" w:after="120" w:lineRule="auto" w:line="276"/>
        <w:ind w:left="0"/>
        <w:jc w:val="left"/>
      </w:pPr>
      <w:r>
        <w:rPr>
          <w:rFonts w:ascii="Arial" w:hAnsi="Arial"/>
          <w:b w:val="0"/>
          <w:i w:val="0"/>
          <w:color w:val="1A1A1A"/>
          <w:sz w:val="22"/>
        </w:rPr>
        <w:t>Model choice — Ridge regression: With only n=3 schools, regularisation is essential to prevent overfitting. Ridge regression with L2 penalty shrinks coefficients without zeroing them — appropriate for a feature-rich, small-sample setting. Random Forest was considered but rejected because it would memorise the 3 training points and produce zero training error with no generalisation. Lasso was tested but produced sparse solutions that dropped informative features at this sample size.</w:t>
      </w:r>
    </w:p>
    <w:p>
      <w:pPr>
        <w:spacing w:before="80" w:after="120" w:lineRule="auto" w:line="276"/>
        <w:ind w:left="0"/>
        <w:jc w:val="left"/>
      </w:pPr>
      <w:r>
        <w:rPr>
          <w:rFonts w:ascii="Arial" w:hAnsi="Arial"/>
          <w:b w:val="0"/>
          <w:i w:val="0"/>
          <w:color w:val="1A1A1A"/>
          <w:sz w:val="22"/>
        </w:rPr>
        <w:t>Evaluation — Leave-One-Out CV (LOO-CV): A standard train/test split is meaningless with n=3. LOO-CV produces 3 independent predictions (each school predicted once from the other two) and computes Mean Absolute Error (MAE) per indicator.</w:t>
      </w:r>
    </w:p>
    <w:p>
      <w:pPr>
        <w:spacing w:before="80" w:after="120" w:lineRule="auto" w:line="276"/>
        <w:ind w:left="0"/>
        <w:jc w:val="left"/>
      </w:pPr>
      <w:r>
        <w:rPr>
          <w:rFonts w:ascii="Arial" w:hAnsi="Arial"/>
          <w:b w:val="0"/>
          <w:i w:val="0"/>
          <w:color w:val="1A1A1A"/>
          <w:sz w:val="22"/>
        </w:rPr>
        <w:t>Baseline comparison: Random baseline (predicting the sample mean for all schools) gives MAE ≈ 2.1 averaged across indicators. The Ridge model mean MAE of 2.88 reflects that some indicators are fundamentally harder to automate (HS2, HS4, HS8), while others (HS7 MAE 0.54, HS10 MAE 0.92) substantially beat the baseline.</w:t>
      </w:r>
    </w:p>
    <w:p>
      <w:pPr>
        <w:pStyle w:val="Heading2"/>
        <w:spacing w:before="160" w:after="60" w:lineRule="auto" w:line="276"/>
      </w:pPr>
      <w:r>
        <w:rPr>
          <w:rFonts w:ascii="Arial" w:hAnsi="Arial"/>
          <w:b/>
          <w:color w:val="1A1A1A"/>
          <w:sz w:val="22"/>
        </w:rPr>
        <w:t>2.5  What-If Scenario Engine (D3)</w:t>
      </w:r>
    </w:p>
    <w:p>
      <w:pPr>
        <w:spacing w:before="0" w:after="120" w:lineRule="auto" w:line="276"/>
        <w:ind w:left="0"/>
        <w:jc w:val="left"/>
      </w:pPr>
      <w:r>
        <w:rPr>
          <w:rFonts w:ascii="Arial" w:hAnsi="Arial"/>
          <w:b w:val="0"/>
          <w:i w:val="0"/>
          <w:color w:val="1A1A1A"/>
          <w:sz w:val="22"/>
        </w:rPr>
        <w:t>The delta method models physical interventions without retraining the model:</w:t>
      </w:r>
    </w:p>
    <w:p>
      <w:pPr>
        <w:spacing w:before="40" w:after="40" w:lineRule="auto" w:line="276"/>
        <w:ind w:left="567"/>
        <w:jc w:val="left"/>
      </w:pPr>
      <w:r>
        <w:rPr>
          <w:rFonts w:ascii="Arial" w:hAnsi="Arial"/>
          <w:b/>
          <w:i w:val="0"/>
          <w:color w:val="1A1A1A"/>
          <w:sz w:val="22"/>
        </w:rPr>
        <w:t>score_scenario[i] = score_actual[i] + (model(X_scenario)[i] − model(X_baseline)[i])</w:t>
      </w:r>
    </w:p>
    <w:p>
      <w:pPr>
        <w:spacing w:before="0" w:after="120" w:lineRule="auto" w:line="276"/>
        <w:ind w:left="0"/>
        <w:jc w:val="left"/>
      </w:pPr>
      <w:r>
        <w:rPr>
          <w:rFonts w:ascii="Arial" w:hAnsi="Arial"/>
          <w:b w:val="0"/>
          <w:i w:val="0"/>
          <w:color w:val="1A1A1A"/>
          <w:sz w:val="22"/>
        </w:rPr>
        <w:t>This anchors predictions to actual measured scores (eliminating model bias) and uses the model only to estimate the change resulting from modifying a feature (e.g. adding a crossing sets crossings_400m += 1). Ten intervention templates define which OSM features change and by how much. All 30 results (10 × 3 schools) are pre-computed by prepare_data.py and embedded in the dashboard data file for instant client-side rendering.</w:t>
      </w:r>
    </w:p>
    <w:p>
      <w:pPr>
        <w:pStyle w:val="Heading2"/>
        <w:spacing w:before="160" w:after="60" w:lineRule="auto" w:line="276"/>
      </w:pPr>
      <w:r>
        <w:rPr>
          <w:rFonts w:ascii="Arial" w:hAnsi="Arial"/>
          <w:b/>
          <w:color w:val="1A1A1A"/>
          <w:sz w:val="22"/>
        </w:rPr>
        <w:t>2.6  Computational Environment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E8449"/>
          </w:tcPr>
          <w:p>
            <w:pPr>
              <w:jc w:val="center"/>
            </w:pPr>
            <w:r>
              <w:rPr>
                <w:rFonts w:ascii="Arial" w:hAnsi="Arial"/>
                <w:b/>
                <w:color w:val="FFFFFF"/>
                <w:sz w:val="20"/>
              </w:rPr>
              <w:t>Component</w:t>
            </w:r>
          </w:p>
        </w:tc>
        <w:tc>
          <w:tcPr>
            <w:tcW w:type="dxa" w:w="4680"/>
            <w:shd w:val="clear" w:color="auto" w:fill="1E8449"/>
          </w:tcPr>
          <w:p>
            <w:pPr>
              <w:jc w:val="center"/>
            </w:pPr>
            <w:r>
              <w:rPr>
                <w:rFonts w:ascii="Arial" w:hAnsi="Arial"/>
                <w:b/>
                <w:color w:val="FFFFFF"/>
                <w:sz w:val="20"/>
              </w:rPr>
              <w:t>Specification</w:t>
            </w:r>
          </w:p>
        </w:tc>
      </w:tr>
      <w:tr>
        <w:tc>
          <w:tcPr>
            <w:tcW w:type="dxa" w:w="4680"/>
            <w:shd w:val="clear" w:color="auto" w:fill="F5F5F5"/>
          </w:tcPr>
          <w:p>
            <w:pPr>
              <w:jc w:val="center"/>
            </w:pPr>
            <w:r>
              <w:rPr>
                <w:rFonts w:ascii="Arial" w:hAnsi="Arial"/>
                <w:sz w:val="20"/>
              </w:rPr>
              <w:t>Language</w:t>
            </w:r>
          </w:p>
        </w:tc>
        <w:tc>
          <w:tcPr>
            <w:tcW w:type="dxa" w:w="4680"/>
            <w:shd w:val="clear" w:color="auto" w:fill="F5F5F5"/>
          </w:tcPr>
          <w:p>
            <w:pPr>
              <w:jc w:val="center"/>
            </w:pPr>
            <w:r>
              <w:rPr>
                <w:rFonts w:ascii="Arial" w:hAnsi="Arial"/>
                <w:sz w:val="20"/>
              </w:rPr>
              <w:t>Python 3.10+</w:t>
            </w:r>
          </w:p>
        </w:tc>
      </w:tr>
      <w:tr>
        <w:tc>
          <w:tcPr>
            <w:tcW w:type="dxa" w:w="4680"/>
          </w:tcPr>
          <w:p>
            <w:pPr>
              <w:jc w:val="center"/>
            </w:pPr>
            <w:r>
              <w:rPr>
                <w:rFonts w:ascii="Arial" w:hAnsi="Arial"/>
                <w:sz w:val="20"/>
              </w:rPr>
              <w:t>Key libraries</w:t>
            </w:r>
          </w:p>
        </w:tc>
        <w:tc>
          <w:tcPr>
            <w:tcW w:type="dxa" w:w="4680"/>
          </w:tcPr>
          <w:p>
            <w:pPr>
              <w:jc w:val="center"/>
            </w:pPr>
            <w:r>
              <w:rPr>
                <w:rFonts w:ascii="Arial" w:hAnsi="Arial"/>
                <w:sz w:val="20"/>
              </w:rPr>
              <w:t>pandas, numpy, geopandas, osmnx, scikit-learn, matplotlib, folium</w:t>
            </w:r>
          </w:p>
        </w:tc>
      </w:tr>
      <w:tr>
        <w:tc>
          <w:tcPr>
            <w:tcW w:type="dxa" w:w="4680"/>
            <w:shd w:val="clear" w:color="auto" w:fill="F5F5F5"/>
          </w:tcPr>
          <w:p>
            <w:pPr>
              <w:jc w:val="center"/>
            </w:pPr>
            <w:r>
              <w:rPr>
                <w:rFonts w:ascii="Arial" w:hAnsi="Arial"/>
                <w:sz w:val="20"/>
              </w:rPr>
              <w:t>ML framework</w:t>
            </w:r>
          </w:p>
        </w:tc>
        <w:tc>
          <w:tcPr>
            <w:tcW w:type="dxa" w:w="4680"/>
            <w:shd w:val="clear" w:color="auto" w:fill="F5F5F5"/>
          </w:tcPr>
          <w:p>
            <w:pPr>
              <w:jc w:val="center"/>
            </w:pPr>
            <w:r>
              <w:rPr>
                <w:rFonts w:ascii="Arial" w:hAnsi="Arial"/>
                <w:sz w:val="20"/>
              </w:rPr>
              <w:t>scikit-learn: MultiOutputRegressor(Ridge(α=1.0)) + StandardScaler</w:t>
            </w:r>
          </w:p>
        </w:tc>
      </w:tr>
      <w:tr>
        <w:tc>
          <w:tcPr>
            <w:tcW w:type="dxa" w:w="4680"/>
          </w:tcPr>
          <w:p>
            <w:pPr>
              <w:jc w:val="center"/>
            </w:pPr>
            <w:r>
              <w:rPr>
                <w:rFonts w:ascii="Arial" w:hAnsi="Arial"/>
                <w:sz w:val="20"/>
              </w:rPr>
              <w:t>CRS / GIS</w:t>
            </w:r>
          </w:p>
        </w:tc>
        <w:tc>
          <w:tcPr>
            <w:tcW w:type="dxa" w:w="4680"/>
          </w:tcPr>
          <w:p>
            <w:pPr>
              <w:jc w:val="center"/>
            </w:pPr>
            <w:r>
              <w:rPr>
                <w:rFonts w:ascii="Arial" w:hAnsi="Arial"/>
                <w:sz w:val="20"/>
              </w:rPr>
              <w:t>EPSG:7855 (GDA2020 / MGA zone 55) via pyogrio / geopandas</w:t>
            </w:r>
          </w:p>
        </w:tc>
      </w:tr>
      <w:tr>
        <w:tc>
          <w:tcPr>
            <w:tcW w:type="dxa" w:w="4680"/>
            <w:shd w:val="clear" w:color="auto" w:fill="F5F5F5"/>
          </w:tcPr>
          <w:p>
            <w:pPr>
              <w:jc w:val="center"/>
            </w:pPr>
            <w:r>
              <w:rPr>
                <w:rFonts w:ascii="Arial" w:hAnsi="Arial"/>
                <w:sz w:val="20"/>
              </w:rPr>
              <w:t>Dashboard</w:t>
            </w:r>
          </w:p>
        </w:tc>
        <w:tc>
          <w:tcPr>
            <w:tcW w:type="dxa" w:w="4680"/>
            <w:shd w:val="clear" w:color="auto" w:fill="F5F5F5"/>
          </w:tcPr>
          <w:p>
            <w:pPr>
              <w:jc w:val="center"/>
            </w:pPr>
            <w:r>
              <w:rPr>
                <w:rFonts w:ascii="Arial" w:hAnsi="Arial"/>
                <w:sz w:val="20"/>
              </w:rPr>
              <w:t>Static HTML/JS — Chart.js 4, Leaflet 1.9, Leaflet.heat, Tailwind CSS</w:t>
            </w:r>
          </w:p>
        </w:tc>
      </w:tr>
      <w:tr>
        <w:tc>
          <w:tcPr>
            <w:tcW w:type="dxa" w:w="4680"/>
          </w:tcPr>
          <w:p>
            <w:pPr>
              <w:jc w:val="center"/>
            </w:pPr>
            <w:r>
              <w:rPr>
                <w:rFonts w:ascii="Arial" w:hAnsi="Arial"/>
                <w:sz w:val="20"/>
              </w:rPr>
              <w:t>Hosting</w:t>
            </w:r>
          </w:p>
        </w:tc>
        <w:tc>
          <w:tcPr>
            <w:tcW w:type="dxa" w:w="4680"/>
          </w:tcPr>
          <w:p>
            <w:pPr>
              <w:jc w:val="center"/>
            </w:pPr>
            <w:r>
              <w:rPr>
                <w:rFonts w:ascii="Arial" w:hAnsi="Arial"/>
                <w:sz w:val="20"/>
              </w:rPr>
              <w:t>GitHub Pages (no backend; all data pre-computed at build time)</w:t>
            </w:r>
          </w:p>
        </w:tc>
      </w:tr>
      <w:tr>
        <w:tc>
          <w:tcPr>
            <w:tcW w:type="dxa" w:w="4680"/>
            <w:shd w:val="clear" w:color="auto" w:fill="F5F5F5"/>
          </w:tcPr>
          <w:p>
            <w:pPr>
              <w:jc w:val="center"/>
            </w:pPr>
            <w:r>
              <w:rPr>
                <w:rFonts w:ascii="Arial" w:hAnsi="Arial"/>
                <w:sz w:val="20"/>
              </w:rPr>
              <w:t>Repository</w:t>
            </w:r>
          </w:p>
        </w:tc>
        <w:tc>
          <w:tcPr>
            <w:tcW w:type="dxa" w:w="4680"/>
            <w:shd w:val="clear" w:color="auto" w:fill="F5F5F5"/>
          </w:tcPr>
          <w:p>
            <w:pPr>
              <w:jc w:val="center"/>
            </w:pPr>
            <w:r>
              <w:rPr>
                <w:rFonts w:ascii="Arial" w:hAnsi="Arial"/>
                <w:sz w:val="20"/>
              </w:rPr>
              <w:t>github.com/s4111078-sidd/300-000-School-Streets</w:t>
            </w:r>
          </w:p>
        </w:tc>
      </w:tr>
      <w:tr>
        <w:tc>
          <w:tcPr>
            <w:tcW w:type="dxa" w:w="4680"/>
          </w:tcPr>
          <w:p>
            <w:pPr>
              <w:jc w:val="center"/>
            </w:pPr>
            <w:r>
              <w:rPr>
                <w:rFonts w:ascii="Arial" w:hAnsi="Arial"/>
                <w:sz w:val="20"/>
              </w:rPr>
              <w:t>Hardware</w:t>
            </w:r>
          </w:p>
        </w:tc>
        <w:tc>
          <w:tcPr>
            <w:tcW w:type="dxa" w:w="4680"/>
          </w:tcPr>
          <w:p>
            <w:pPr>
              <w:jc w:val="center"/>
            </w:pPr>
            <w:r>
              <w:rPr>
                <w:rFonts w:ascii="Arial" w:hAnsi="Arial"/>
                <w:sz w:val="20"/>
              </w:rPr>
              <w:t>Standard development laptops (no GPU required)</w:t>
            </w:r>
          </w:p>
        </w:tc>
      </w:tr>
    </w:tbl>
    <w:p>
      <w:r>
        <w:br w:type="page"/>
      </w:r>
    </w:p>
    <w:p>
      <w:pPr>
        <w:pStyle w:val="Heading1"/>
        <w:spacing w:before="240" w:after="80" w:lineRule="auto" w:line="276"/>
        <w:jc w:val="left"/>
      </w:pPr>
      <w:r>
        <w:rPr>
          <w:rFonts w:ascii="Arial" w:hAnsi="Arial"/>
          <w:b/>
          <w:color w:val="1E8449"/>
          <w:sz w:val="26"/>
        </w:rPr>
        <w:t>3.  Results, Evaluation &amp; Analysis</w:t>
      </w:r>
    </w:p>
    <w:p>
      <w:pPr>
        <w:pStyle w:val="Heading2"/>
        <w:spacing w:before="160" w:after="60" w:lineRule="auto" w:line="276"/>
      </w:pPr>
      <w:r>
        <w:rPr>
          <w:rFonts w:ascii="Arial" w:hAnsi="Arial"/>
          <w:b/>
          <w:color w:val="1A1A1A"/>
          <w:sz w:val="22"/>
        </w:rPr>
        <w:t>3.1  D1 — Healthy Streets Assessment</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shd w:val="clear" w:color="auto" w:fill="1E8449"/>
          </w:tcPr>
          <w:p>
            <w:pPr>
              <w:jc w:val="center"/>
            </w:pPr>
            <w:r>
              <w:rPr>
                <w:rFonts w:ascii="Arial" w:hAnsi="Arial"/>
                <w:b/>
                <w:color w:val="FFFFFF"/>
                <w:sz w:val="20"/>
              </w:rPr>
              <w:t>School</w:t>
            </w:r>
          </w:p>
        </w:tc>
        <w:tc>
          <w:tcPr>
            <w:tcW w:type="dxa" w:w="720"/>
            <w:shd w:val="clear" w:color="auto" w:fill="1E8449"/>
          </w:tcPr>
          <w:p>
            <w:pPr>
              <w:jc w:val="center"/>
            </w:pPr>
            <w:r>
              <w:rPr>
                <w:rFonts w:ascii="Arial" w:hAnsi="Arial"/>
                <w:b/>
                <w:color w:val="FFFFFF"/>
                <w:sz w:val="20"/>
              </w:rPr>
              <w:t>HS1</w:t>
            </w:r>
          </w:p>
        </w:tc>
        <w:tc>
          <w:tcPr>
            <w:tcW w:type="dxa" w:w="720"/>
            <w:shd w:val="clear" w:color="auto" w:fill="1E8449"/>
          </w:tcPr>
          <w:p>
            <w:pPr>
              <w:jc w:val="center"/>
            </w:pPr>
            <w:r>
              <w:rPr>
                <w:rFonts w:ascii="Arial" w:hAnsi="Arial"/>
                <w:b/>
                <w:color w:val="FFFFFF"/>
                <w:sz w:val="20"/>
              </w:rPr>
              <w:t>HS2</w:t>
            </w:r>
          </w:p>
        </w:tc>
        <w:tc>
          <w:tcPr>
            <w:tcW w:type="dxa" w:w="720"/>
            <w:shd w:val="clear" w:color="auto" w:fill="1E8449"/>
          </w:tcPr>
          <w:p>
            <w:pPr>
              <w:jc w:val="center"/>
            </w:pPr>
            <w:r>
              <w:rPr>
                <w:rFonts w:ascii="Arial" w:hAnsi="Arial"/>
                <w:b/>
                <w:color w:val="FFFFFF"/>
                <w:sz w:val="20"/>
              </w:rPr>
              <w:t>HS3</w:t>
            </w:r>
          </w:p>
        </w:tc>
        <w:tc>
          <w:tcPr>
            <w:tcW w:type="dxa" w:w="720"/>
            <w:shd w:val="clear" w:color="auto" w:fill="1E8449"/>
          </w:tcPr>
          <w:p>
            <w:pPr>
              <w:jc w:val="center"/>
            </w:pPr>
            <w:r>
              <w:rPr>
                <w:rFonts w:ascii="Arial" w:hAnsi="Arial"/>
                <w:b/>
                <w:color w:val="FFFFFF"/>
                <w:sz w:val="20"/>
              </w:rPr>
              <w:t>HS4</w:t>
            </w:r>
          </w:p>
        </w:tc>
        <w:tc>
          <w:tcPr>
            <w:tcW w:type="dxa" w:w="720"/>
            <w:shd w:val="clear" w:color="auto" w:fill="1E8449"/>
          </w:tcPr>
          <w:p>
            <w:pPr>
              <w:jc w:val="center"/>
            </w:pPr>
            <w:r>
              <w:rPr>
                <w:rFonts w:ascii="Arial" w:hAnsi="Arial"/>
                <w:b/>
                <w:color w:val="FFFFFF"/>
                <w:sz w:val="20"/>
              </w:rPr>
              <w:t>HS5</w:t>
            </w:r>
          </w:p>
        </w:tc>
        <w:tc>
          <w:tcPr>
            <w:tcW w:type="dxa" w:w="720"/>
            <w:shd w:val="clear" w:color="auto" w:fill="1E8449"/>
          </w:tcPr>
          <w:p>
            <w:pPr>
              <w:jc w:val="center"/>
            </w:pPr>
            <w:r>
              <w:rPr>
                <w:rFonts w:ascii="Arial" w:hAnsi="Arial"/>
                <w:b/>
                <w:color w:val="FFFFFF"/>
                <w:sz w:val="20"/>
              </w:rPr>
              <w:t>HS6</w:t>
            </w:r>
          </w:p>
        </w:tc>
        <w:tc>
          <w:tcPr>
            <w:tcW w:type="dxa" w:w="720"/>
            <w:shd w:val="clear" w:color="auto" w:fill="1E8449"/>
          </w:tcPr>
          <w:p>
            <w:pPr>
              <w:jc w:val="center"/>
            </w:pPr>
            <w:r>
              <w:rPr>
                <w:rFonts w:ascii="Arial" w:hAnsi="Arial"/>
                <w:b/>
                <w:color w:val="FFFFFF"/>
                <w:sz w:val="20"/>
              </w:rPr>
              <w:t>HS7</w:t>
            </w:r>
          </w:p>
        </w:tc>
        <w:tc>
          <w:tcPr>
            <w:tcW w:type="dxa" w:w="720"/>
            <w:shd w:val="clear" w:color="auto" w:fill="1E8449"/>
          </w:tcPr>
          <w:p>
            <w:pPr>
              <w:jc w:val="center"/>
            </w:pPr>
            <w:r>
              <w:rPr>
                <w:rFonts w:ascii="Arial" w:hAnsi="Arial"/>
                <w:b/>
                <w:color w:val="FFFFFF"/>
                <w:sz w:val="20"/>
              </w:rPr>
              <w:t>HS8</w:t>
            </w:r>
          </w:p>
        </w:tc>
        <w:tc>
          <w:tcPr>
            <w:tcW w:type="dxa" w:w="720"/>
            <w:shd w:val="clear" w:color="auto" w:fill="1E8449"/>
          </w:tcPr>
          <w:p>
            <w:pPr>
              <w:jc w:val="center"/>
            </w:pPr>
            <w:r>
              <w:rPr>
                <w:rFonts w:ascii="Arial" w:hAnsi="Arial"/>
                <w:b/>
                <w:color w:val="FFFFFF"/>
                <w:sz w:val="20"/>
              </w:rPr>
              <w:t>HS9</w:t>
            </w:r>
          </w:p>
        </w:tc>
        <w:tc>
          <w:tcPr>
            <w:tcW w:type="dxa" w:w="720"/>
            <w:shd w:val="clear" w:color="auto" w:fill="1E8449"/>
          </w:tcPr>
          <w:p>
            <w:pPr>
              <w:jc w:val="center"/>
            </w:pPr>
            <w:r>
              <w:rPr>
                <w:rFonts w:ascii="Arial" w:hAnsi="Arial"/>
                <w:b/>
                <w:color w:val="FFFFFF"/>
                <w:sz w:val="20"/>
              </w:rPr>
              <w:t>HS10</w:t>
            </w:r>
          </w:p>
        </w:tc>
        <w:tc>
          <w:tcPr>
            <w:tcW w:type="dxa" w:w="720"/>
            <w:shd w:val="clear" w:color="auto" w:fill="1E8449"/>
          </w:tcPr>
          <w:p>
            <w:pPr>
              <w:jc w:val="center"/>
            </w:pPr>
            <w:r>
              <w:rPr>
                <w:rFonts w:ascii="Arial" w:hAnsi="Arial"/>
                <w:b/>
                <w:color w:val="FFFFFF"/>
                <w:sz w:val="20"/>
              </w:rPr>
              <w:t>Overall</w:t>
            </w:r>
          </w:p>
        </w:tc>
        <w:tc>
          <w:tcPr>
            <w:tcW w:type="dxa" w:w="720"/>
            <w:shd w:val="clear" w:color="auto" w:fill="1E8449"/>
          </w:tcPr>
          <w:p>
            <w:pPr>
              <w:jc w:val="center"/>
            </w:pPr>
            <w:r>
              <w:rPr>
                <w:rFonts w:ascii="Arial" w:hAnsi="Arial"/>
                <w:b/>
                <w:color w:val="FFFFFF"/>
                <w:sz w:val="20"/>
              </w:rPr>
              <w:t>Severity</w:t>
            </w:r>
          </w:p>
        </w:tc>
      </w:tr>
      <w:tr>
        <w:tc>
          <w:tcPr>
            <w:tcW w:type="dxa" w:w="720"/>
            <w:shd w:val="clear" w:color="auto" w:fill="F5F5F5"/>
          </w:tcPr>
          <w:p>
            <w:pPr>
              <w:jc w:val="center"/>
            </w:pPr>
            <w:r>
              <w:rPr>
                <w:rFonts w:ascii="Arial" w:hAnsi="Arial"/>
                <w:sz w:val="20"/>
              </w:rPr>
              <w:t>Reservoir HS</w:t>
            </w:r>
          </w:p>
        </w:tc>
        <w:tc>
          <w:tcPr>
            <w:tcW w:type="dxa" w:w="720"/>
            <w:shd w:val="clear" w:color="auto" w:fill="F5F5F5"/>
          </w:tcPr>
          <w:p>
            <w:pPr>
              <w:jc w:val="center"/>
            </w:pPr>
            <w:r>
              <w:rPr>
                <w:rFonts w:ascii="Arial" w:hAnsi="Arial"/>
                <w:sz w:val="20"/>
              </w:rPr>
              <w:t>4.2</w:t>
            </w:r>
          </w:p>
        </w:tc>
        <w:tc>
          <w:tcPr>
            <w:tcW w:type="dxa" w:w="720"/>
            <w:shd w:val="clear" w:color="auto" w:fill="F5F5F5"/>
          </w:tcPr>
          <w:p>
            <w:pPr>
              <w:jc w:val="center"/>
            </w:pPr>
            <w:r>
              <w:rPr>
                <w:rFonts w:ascii="Arial" w:hAnsi="Arial"/>
                <w:sz w:val="20"/>
              </w:rPr>
              <w:t>5.7</w:t>
            </w:r>
          </w:p>
        </w:tc>
        <w:tc>
          <w:tcPr>
            <w:tcW w:type="dxa" w:w="720"/>
            <w:shd w:val="clear" w:color="auto" w:fill="F5F5F5"/>
          </w:tcPr>
          <w:p>
            <w:pPr>
              <w:jc w:val="center"/>
            </w:pPr>
            <w:r>
              <w:rPr>
                <w:rFonts w:ascii="Arial" w:hAnsi="Arial"/>
                <w:sz w:val="20"/>
              </w:rPr>
              <w:t>5.0</w:t>
            </w:r>
          </w:p>
        </w:tc>
        <w:tc>
          <w:tcPr>
            <w:tcW w:type="dxa" w:w="720"/>
            <w:shd w:val="clear" w:color="auto" w:fill="F5F5F5"/>
          </w:tcPr>
          <w:p>
            <w:pPr>
              <w:jc w:val="center"/>
            </w:pPr>
            <w:r>
              <w:rPr>
                <w:rFonts w:ascii="Arial" w:hAnsi="Arial"/>
                <w:sz w:val="20"/>
              </w:rPr>
              <w:t>6.0</w:t>
            </w:r>
          </w:p>
        </w:tc>
        <w:tc>
          <w:tcPr>
            <w:tcW w:type="dxa" w:w="720"/>
            <w:shd w:val="clear" w:color="auto" w:fill="F5F5F5"/>
          </w:tcPr>
          <w:p>
            <w:pPr>
              <w:jc w:val="center"/>
            </w:pPr>
            <w:r>
              <w:rPr>
                <w:rFonts w:ascii="Arial" w:hAnsi="Arial"/>
                <w:sz w:val="20"/>
              </w:rPr>
              <w:t>5.0</w:t>
            </w:r>
          </w:p>
        </w:tc>
        <w:tc>
          <w:tcPr>
            <w:tcW w:type="dxa" w:w="720"/>
            <w:shd w:val="clear" w:color="auto" w:fill="F5F5F5"/>
          </w:tcPr>
          <w:p>
            <w:pPr>
              <w:jc w:val="center"/>
            </w:pPr>
            <w:r>
              <w:rPr>
                <w:rFonts w:ascii="Arial" w:hAnsi="Arial"/>
                <w:sz w:val="20"/>
              </w:rPr>
              <w:t>6.0</w:t>
            </w:r>
          </w:p>
        </w:tc>
        <w:tc>
          <w:tcPr>
            <w:tcW w:type="dxa" w:w="720"/>
            <w:shd w:val="clear" w:color="auto" w:fill="F5F5F5"/>
          </w:tcPr>
          <w:p>
            <w:pPr>
              <w:jc w:val="center"/>
            </w:pPr>
            <w:r>
              <w:rPr>
                <w:rFonts w:ascii="Arial" w:hAnsi="Arial"/>
                <w:sz w:val="20"/>
              </w:rPr>
              <w:t>8.0</w:t>
            </w:r>
          </w:p>
        </w:tc>
        <w:tc>
          <w:tcPr>
            <w:tcW w:type="dxa" w:w="720"/>
            <w:shd w:val="clear" w:color="auto" w:fill="F5F5F5"/>
          </w:tcPr>
          <w:p>
            <w:pPr>
              <w:jc w:val="center"/>
            </w:pPr>
            <w:r>
              <w:rPr>
                <w:rFonts w:ascii="Arial" w:hAnsi="Arial"/>
                <w:sz w:val="20"/>
              </w:rPr>
              <w:t>6.8</w:t>
            </w:r>
          </w:p>
        </w:tc>
        <w:tc>
          <w:tcPr>
            <w:tcW w:type="dxa" w:w="720"/>
            <w:shd w:val="clear" w:color="auto" w:fill="F5F5F5"/>
          </w:tcPr>
          <w:p>
            <w:pPr>
              <w:jc w:val="center"/>
            </w:pPr>
            <w:r>
              <w:rPr>
                <w:rFonts w:ascii="Arial" w:hAnsi="Arial"/>
                <w:sz w:val="20"/>
              </w:rPr>
              <w:t>5.2</w:t>
            </w:r>
          </w:p>
        </w:tc>
        <w:tc>
          <w:tcPr>
            <w:tcW w:type="dxa" w:w="720"/>
            <w:shd w:val="clear" w:color="auto" w:fill="F5F5F5"/>
          </w:tcPr>
          <w:p>
            <w:pPr>
              <w:jc w:val="center"/>
            </w:pPr>
            <w:r>
              <w:rPr>
                <w:rFonts w:ascii="Arial" w:hAnsi="Arial"/>
                <w:sz w:val="20"/>
              </w:rPr>
              <w:t>9.0</w:t>
            </w:r>
          </w:p>
        </w:tc>
        <w:tc>
          <w:tcPr>
            <w:tcW w:type="dxa" w:w="720"/>
            <w:shd w:val="clear" w:color="auto" w:fill="F5F5F5"/>
          </w:tcPr>
          <w:p>
            <w:pPr>
              <w:jc w:val="center"/>
            </w:pPr>
            <w:r>
              <w:rPr>
                <w:rFonts w:ascii="Arial" w:hAnsi="Arial"/>
                <w:sz w:val="20"/>
              </w:rPr>
              <w:t>6.1</w:t>
            </w:r>
          </w:p>
        </w:tc>
        <w:tc>
          <w:tcPr>
            <w:tcW w:type="dxa" w:w="720"/>
            <w:shd w:val="clear" w:color="auto" w:fill="F5F5F5"/>
            <w:shd w:val="clear" w:color="auto" w:fill="FEF3C7"/>
          </w:tcPr>
          <w:p>
            <w:pPr>
              <w:jc w:val="center"/>
            </w:pPr>
            <w:r>
              <w:rPr>
                <w:rFonts w:ascii="Arial" w:hAnsi="Arial"/>
                <w:b/>
                <w:color w:val="B47800"/>
                <w:sz w:val="20"/>
              </w:rPr>
              <w:t>Moderate</w:t>
            </w:r>
          </w:p>
        </w:tc>
      </w:tr>
      <w:tr>
        <w:tc>
          <w:tcPr>
            <w:tcW w:type="dxa" w:w="720"/>
          </w:tcPr>
          <w:p>
            <w:pPr>
              <w:jc w:val="center"/>
            </w:pPr>
            <w:r>
              <w:rPr>
                <w:rFonts w:ascii="Arial" w:hAnsi="Arial"/>
                <w:sz w:val="20"/>
              </w:rPr>
              <w:t>William Ruthven SC</w:t>
            </w:r>
          </w:p>
        </w:tc>
        <w:tc>
          <w:tcPr>
            <w:tcW w:type="dxa" w:w="720"/>
          </w:tcPr>
          <w:p>
            <w:pPr>
              <w:jc w:val="center"/>
            </w:pPr>
            <w:r>
              <w:rPr>
                <w:rFonts w:ascii="Arial" w:hAnsi="Arial"/>
                <w:sz w:val="20"/>
              </w:rPr>
              <w:t>9.5</w:t>
            </w:r>
          </w:p>
        </w:tc>
        <w:tc>
          <w:tcPr>
            <w:tcW w:type="dxa" w:w="720"/>
          </w:tcPr>
          <w:p>
            <w:pPr>
              <w:jc w:val="center"/>
            </w:pPr>
            <w:r>
              <w:rPr>
                <w:rFonts w:ascii="Arial" w:hAnsi="Arial"/>
                <w:sz w:val="20"/>
              </w:rPr>
              <w:t>6.8</w:t>
            </w:r>
          </w:p>
        </w:tc>
        <w:tc>
          <w:tcPr>
            <w:tcW w:type="dxa" w:w="720"/>
          </w:tcPr>
          <w:p>
            <w:pPr>
              <w:jc w:val="center"/>
            </w:pPr>
            <w:r>
              <w:rPr>
                <w:rFonts w:ascii="Arial" w:hAnsi="Arial"/>
                <w:sz w:val="20"/>
              </w:rPr>
              <w:t>3.0</w:t>
            </w:r>
          </w:p>
        </w:tc>
        <w:tc>
          <w:tcPr>
            <w:tcW w:type="dxa" w:w="720"/>
          </w:tcPr>
          <w:p>
            <w:pPr>
              <w:jc w:val="center"/>
            </w:pPr>
            <w:r>
              <w:rPr>
                <w:rFonts w:ascii="Arial" w:hAnsi="Arial"/>
                <w:sz w:val="20"/>
              </w:rPr>
              <w:t>3.3</w:t>
            </w:r>
          </w:p>
        </w:tc>
        <w:tc>
          <w:tcPr>
            <w:tcW w:type="dxa" w:w="720"/>
          </w:tcPr>
          <w:p>
            <w:pPr>
              <w:jc w:val="center"/>
            </w:pPr>
            <w:r>
              <w:rPr>
                <w:rFonts w:ascii="Arial" w:hAnsi="Arial"/>
                <w:sz w:val="20"/>
              </w:rPr>
              <w:t>10.0</w:t>
            </w:r>
          </w:p>
        </w:tc>
        <w:tc>
          <w:tcPr>
            <w:tcW w:type="dxa" w:w="720"/>
          </w:tcPr>
          <w:p>
            <w:pPr>
              <w:jc w:val="center"/>
            </w:pPr>
            <w:r>
              <w:rPr>
                <w:rFonts w:ascii="Arial" w:hAnsi="Arial"/>
                <w:sz w:val="20"/>
              </w:rPr>
              <w:t>4.2</w:t>
            </w:r>
          </w:p>
        </w:tc>
        <w:tc>
          <w:tcPr>
            <w:tcW w:type="dxa" w:w="720"/>
          </w:tcPr>
          <w:p>
            <w:pPr>
              <w:jc w:val="center"/>
            </w:pPr>
            <w:r>
              <w:rPr>
                <w:rFonts w:ascii="Arial" w:hAnsi="Arial"/>
                <w:sz w:val="20"/>
              </w:rPr>
              <w:t>7.5</w:t>
            </w:r>
          </w:p>
        </w:tc>
        <w:tc>
          <w:tcPr>
            <w:tcW w:type="dxa" w:w="720"/>
          </w:tcPr>
          <w:p>
            <w:pPr>
              <w:jc w:val="center"/>
            </w:pPr>
            <w:r>
              <w:rPr>
                <w:rFonts w:ascii="Arial" w:hAnsi="Arial"/>
                <w:sz w:val="20"/>
              </w:rPr>
              <w:t>4.3</w:t>
            </w:r>
          </w:p>
        </w:tc>
        <w:tc>
          <w:tcPr>
            <w:tcW w:type="dxa" w:w="720"/>
          </w:tcPr>
          <w:p>
            <w:pPr>
              <w:jc w:val="center"/>
            </w:pPr>
            <w:r>
              <w:rPr>
                <w:rFonts w:ascii="Arial" w:hAnsi="Arial"/>
                <w:sz w:val="20"/>
              </w:rPr>
              <w:t>8.0</w:t>
            </w:r>
          </w:p>
        </w:tc>
        <w:tc>
          <w:tcPr>
            <w:tcW w:type="dxa" w:w="720"/>
          </w:tcPr>
          <w:p>
            <w:pPr>
              <w:jc w:val="center"/>
            </w:pPr>
            <w:r>
              <w:rPr>
                <w:rFonts w:ascii="Arial" w:hAnsi="Arial"/>
                <w:sz w:val="20"/>
              </w:rPr>
              <w:t>10.0</w:t>
            </w:r>
          </w:p>
        </w:tc>
        <w:tc>
          <w:tcPr>
            <w:tcW w:type="dxa" w:w="720"/>
          </w:tcPr>
          <w:p>
            <w:pPr>
              <w:jc w:val="center"/>
            </w:pPr>
            <w:r>
              <w:rPr>
                <w:rFonts w:ascii="Arial" w:hAnsi="Arial"/>
                <w:sz w:val="20"/>
              </w:rPr>
              <w:t>6.7</w:t>
            </w:r>
          </w:p>
        </w:tc>
        <w:tc>
          <w:tcPr>
            <w:tcW w:type="dxa" w:w="720"/>
            <w:shd w:val="clear" w:color="auto" w:fill="FEF3C7"/>
          </w:tcPr>
          <w:p>
            <w:pPr>
              <w:jc w:val="center"/>
            </w:pPr>
            <w:r>
              <w:rPr>
                <w:rFonts w:ascii="Arial" w:hAnsi="Arial"/>
                <w:b/>
                <w:color w:val="B47800"/>
                <w:sz w:val="20"/>
              </w:rPr>
              <w:t>Moderate</w:t>
            </w:r>
          </w:p>
        </w:tc>
      </w:tr>
      <w:tr>
        <w:tc>
          <w:tcPr>
            <w:tcW w:type="dxa" w:w="720"/>
            <w:shd w:val="clear" w:color="auto" w:fill="F5F5F5"/>
          </w:tcPr>
          <w:p>
            <w:pPr>
              <w:jc w:val="center"/>
            </w:pPr>
            <w:r>
              <w:rPr>
                <w:rFonts w:ascii="Arial" w:hAnsi="Arial"/>
                <w:sz w:val="20"/>
              </w:rPr>
              <w:t>Preston HS</w:t>
            </w:r>
          </w:p>
        </w:tc>
        <w:tc>
          <w:tcPr>
            <w:tcW w:type="dxa" w:w="720"/>
            <w:shd w:val="clear" w:color="auto" w:fill="F5F5F5"/>
          </w:tcPr>
          <w:p>
            <w:pPr>
              <w:jc w:val="center"/>
            </w:pPr>
            <w:r>
              <w:rPr>
                <w:rFonts w:ascii="Arial" w:hAnsi="Arial"/>
                <w:sz w:val="20"/>
              </w:rPr>
              <w:t>9.1</w:t>
            </w:r>
          </w:p>
        </w:tc>
        <w:tc>
          <w:tcPr>
            <w:tcW w:type="dxa" w:w="720"/>
            <w:shd w:val="clear" w:color="auto" w:fill="F5F5F5"/>
            <w:shd w:val="clear" w:color="auto" w:fill="FEE2E2"/>
          </w:tcPr>
          <w:p>
            <w:pPr>
              <w:jc w:val="center"/>
            </w:pPr>
            <w:r>
              <w:rPr>
                <w:rFonts w:ascii="Arial" w:hAnsi="Arial"/>
                <w:b/>
                <w:color w:val="B91C1C"/>
                <w:sz w:val="20"/>
              </w:rPr>
              <w:t>0.4</w:t>
            </w:r>
          </w:p>
        </w:tc>
        <w:tc>
          <w:tcPr>
            <w:tcW w:type="dxa" w:w="720"/>
            <w:shd w:val="clear" w:color="auto" w:fill="F5F5F5"/>
          </w:tcPr>
          <w:p>
            <w:pPr>
              <w:jc w:val="center"/>
            </w:pPr>
            <w:r>
              <w:rPr>
                <w:rFonts w:ascii="Arial" w:hAnsi="Arial"/>
                <w:sz w:val="20"/>
              </w:rPr>
              <w:t>5.0</w:t>
            </w:r>
          </w:p>
        </w:tc>
        <w:tc>
          <w:tcPr>
            <w:tcW w:type="dxa" w:w="720"/>
            <w:shd w:val="clear" w:color="auto" w:fill="F5F5F5"/>
          </w:tcPr>
          <w:p>
            <w:pPr>
              <w:jc w:val="center"/>
            </w:pPr>
            <w:r>
              <w:rPr>
                <w:rFonts w:ascii="Arial" w:hAnsi="Arial"/>
                <w:sz w:val="20"/>
              </w:rPr>
              <w:t>8.0</w:t>
            </w:r>
          </w:p>
        </w:tc>
        <w:tc>
          <w:tcPr>
            <w:tcW w:type="dxa" w:w="720"/>
            <w:shd w:val="clear" w:color="auto" w:fill="F5F5F5"/>
          </w:tcPr>
          <w:p>
            <w:pPr>
              <w:jc w:val="center"/>
            </w:pPr>
            <w:r>
              <w:rPr>
                <w:rFonts w:ascii="Arial" w:hAnsi="Arial"/>
                <w:sz w:val="20"/>
              </w:rPr>
              <w:t>7.0</w:t>
            </w:r>
          </w:p>
        </w:tc>
        <w:tc>
          <w:tcPr>
            <w:tcW w:type="dxa" w:w="720"/>
            <w:shd w:val="clear" w:color="auto" w:fill="F5F5F5"/>
          </w:tcPr>
          <w:p>
            <w:pPr>
              <w:jc w:val="center"/>
            </w:pPr>
            <w:r>
              <w:rPr>
                <w:rFonts w:ascii="Arial" w:hAnsi="Arial"/>
                <w:sz w:val="20"/>
              </w:rPr>
              <w:t>7.8</w:t>
            </w:r>
          </w:p>
        </w:tc>
        <w:tc>
          <w:tcPr>
            <w:tcW w:type="dxa" w:w="720"/>
            <w:shd w:val="clear" w:color="auto" w:fill="F5F5F5"/>
          </w:tcPr>
          <w:p>
            <w:pPr>
              <w:jc w:val="center"/>
            </w:pPr>
            <w:r>
              <w:rPr>
                <w:rFonts w:ascii="Arial" w:hAnsi="Arial"/>
                <w:sz w:val="20"/>
              </w:rPr>
              <w:t>8.0</w:t>
            </w:r>
          </w:p>
        </w:tc>
        <w:tc>
          <w:tcPr>
            <w:tcW w:type="dxa" w:w="720"/>
            <w:shd w:val="clear" w:color="auto" w:fill="F5F5F5"/>
          </w:tcPr>
          <w:p>
            <w:pPr>
              <w:jc w:val="center"/>
            </w:pPr>
            <w:r>
              <w:rPr>
                <w:rFonts w:ascii="Arial" w:hAnsi="Arial"/>
                <w:sz w:val="20"/>
              </w:rPr>
              <w:t>10.0</w:t>
            </w:r>
          </w:p>
        </w:tc>
        <w:tc>
          <w:tcPr>
            <w:tcW w:type="dxa" w:w="720"/>
            <w:shd w:val="clear" w:color="auto" w:fill="F5F5F5"/>
          </w:tcPr>
          <w:p>
            <w:pPr>
              <w:jc w:val="center"/>
            </w:pPr>
            <w:r>
              <w:rPr>
                <w:rFonts w:ascii="Arial" w:hAnsi="Arial"/>
                <w:sz w:val="20"/>
              </w:rPr>
              <w:t>7.6</w:t>
            </w:r>
          </w:p>
        </w:tc>
        <w:tc>
          <w:tcPr>
            <w:tcW w:type="dxa" w:w="720"/>
            <w:shd w:val="clear" w:color="auto" w:fill="F5F5F5"/>
          </w:tcPr>
          <w:p>
            <w:pPr>
              <w:jc w:val="center"/>
            </w:pPr>
            <w:r>
              <w:rPr>
                <w:rFonts w:ascii="Arial" w:hAnsi="Arial"/>
                <w:sz w:val="20"/>
              </w:rPr>
              <w:t>9.0</w:t>
            </w:r>
          </w:p>
        </w:tc>
        <w:tc>
          <w:tcPr>
            <w:tcW w:type="dxa" w:w="720"/>
            <w:shd w:val="clear" w:color="auto" w:fill="F5F5F5"/>
          </w:tcPr>
          <w:p>
            <w:pPr>
              <w:jc w:val="center"/>
            </w:pPr>
            <w:r>
              <w:rPr>
                <w:rFonts w:ascii="Arial" w:hAnsi="Arial"/>
                <w:sz w:val="20"/>
              </w:rPr>
              <w:t>7.2</w:t>
            </w:r>
          </w:p>
        </w:tc>
        <w:tc>
          <w:tcPr>
            <w:tcW w:type="dxa" w:w="720"/>
            <w:shd w:val="clear" w:color="auto" w:fill="F5F5F5"/>
            <w:shd w:val="clear" w:color="auto" w:fill="FEE2E2"/>
          </w:tcPr>
          <w:p>
            <w:pPr>
              <w:jc w:val="center"/>
            </w:pPr>
            <w:r>
              <w:rPr>
                <w:rFonts w:ascii="Arial" w:hAnsi="Arial"/>
                <w:b/>
                <w:color w:val="B91C1C"/>
                <w:sz w:val="20"/>
              </w:rPr>
              <w:t>Major</w:t>
            </w:r>
          </w:p>
        </w:tc>
      </w:tr>
      <w:tr>
        <w:tc>
          <w:tcPr>
            <w:tcW w:type="dxa" w:w="720"/>
          </w:tcPr>
          <w:p>
            <w:pPr>
              <w:jc w:val="center"/>
            </w:pPr>
            <w:r>
              <w:rPr>
                <w:rFonts w:ascii="Arial" w:hAnsi="Arial"/>
                <w:sz w:val="20"/>
              </w:rPr>
              <w:t>Target</w:t>
            </w:r>
          </w:p>
        </w:tc>
        <w:tc>
          <w:tcPr>
            <w:tcW w:type="dxa" w:w="720"/>
          </w:tcPr>
          <w:p>
            <w:pPr>
              <w:jc w:val="center"/>
            </w:pPr>
            <w:r>
              <w:rPr>
                <w:rFonts w:ascii="Arial" w:hAnsi="Arial"/>
                <w:sz w:val="20"/>
              </w:rPr>
              <w:t>6.0</w:t>
            </w:r>
          </w:p>
        </w:tc>
        <w:tc>
          <w:tcPr>
            <w:tcW w:type="dxa" w:w="720"/>
          </w:tcPr>
          <w:p>
            <w:pPr>
              <w:jc w:val="center"/>
            </w:pPr>
            <w:r>
              <w:rPr>
                <w:rFonts w:ascii="Arial" w:hAnsi="Arial"/>
                <w:sz w:val="20"/>
              </w:rPr>
              <w:t>6.0</w:t>
            </w:r>
          </w:p>
        </w:tc>
        <w:tc>
          <w:tcPr>
            <w:tcW w:type="dxa" w:w="720"/>
          </w:tcPr>
          <w:p>
            <w:pPr>
              <w:jc w:val="center"/>
            </w:pPr>
            <w:r>
              <w:rPr>
                <w:rFonts w:ascii="Arial" w:hAnsi="Arial"/>
                <w:sz w:val="20"/>
              </w:rPr>
              <w:t>6.0</w:t>
            </w:r>
          </w:p>
        </w:tc>
        <w:tc>
          <w:tcPr>
            <w:tcW w:type="dxa" w:w="720"/>
          </w:tcPr>
          <w:p>
            <w:pPr>
              <w:jc w:val="center"/>
            </w:pPr>
            <w:r>
              <w:rPr>
                <w:rFonts w:ascii="Arial" w:hAnsi="Arial"/>
                <w:sz w:val="20"/>
              </w:rPr>
              <w:t>6.0</w:t>
            </w:r>
          </w:p>
        </w:tc>
        <w:tc>
          <w:tcPr>
            <w:tcW w:type="dxa" w:w="720"/>
          </w:tcPr>
          <w:p>
            <w:pPr>
              <w:jc w:val="center"/>
            </w:pPr>
            <w:r>
              <w:rPr>
                <w:rFonts w:ascii="Arial" w:hAnsi="Arial"/>
                <w:sz w:val="20"/>
              </w:rPr>
              <w:t>6.0</w:t>
            </w:r>
          </w:p>
        </w:tc>
        <w:tc>
          <w:tcPr>
            <w:tcW w:type="dxa" w:w="720"/>
          </w:tcPr>
          <w:p>
            <w:pPr>
              <w:jc w:val="center"/>
            </w:pPr>
            <w:r>
              <w:rPr>
                <w:rFonts w:ascii="Arial" w:hAnsi="Arial"/>
                <w:sz w:val="20"/>
              </w:rPr>
              <w:t>6.0</w:t>
            </w:r>
          </w:p>
        </w:tc>
        <w:tc>
          <w:tcPr>
            <w:tcW w:type="dxa" w:w="720"/>
          </w:tcPr>
          <w:p>
            <w:pPr>
              <w:jc w:val="center"/>
            </w:pPr>
            <w:r>
              <w:rPr>
                <w:rFonts w:ascii="Arial" w:hAnsi="Arial"/>
                <w:sz w:val="20"/>
              </w:rPr>
              <w:t>6.0</w:t>
            </w:r>
          </w:p>
        </w:tc>
        <w:tc>
          <w:tcPr>
            <w:tcW w:type="dxa" w:w="720"/>
          </w:tcPr>
          <w:p>
            <w:pPr>
              <w:jc w:val="center"/>
            </w:pPr>
            <w:r>
              <w:rPr>
                <w:rFonts w:ascii="Arial" w:hAnsi="Arial"/>
                <w:sz w:val="20"/>
              </w:rPr>
              <w:t>6.0</w:t>
            </w:r>
          </w:p>
        </w:tc>
        <w:tc>
          <w:tcPr>
            <w:tcW w:type="dxa" w:w="720"/>
          </w:tcPr>
          <w:p>
            <w:pPr>
              <w:jc w:val="center"/>
            </w:pPr>
            <w:r>
              <w:rPr>
                <w:rFonts w:ascii="Arial" w:hAnsi="Arial"/>
                <w:sz w:val="20"/>
              </w:rPr>
              <w:t>6.0</w:t>
            </w:r>
          </w:p>
        </w:tc>
        <w:tc>
          <w:tcPr>
            <w:tcW w:type="dxa" w:w="720"/>
          </w:tcPr>
          <w:p>
            <w:pPr>
              <w:jc w:val="center"/>
            </w:pPr>
            <w:r>
              <w:rPr>
                <w:rFonts w:ascii="Arial" w:hAnsi="Arial"/>
                <w:sz w:val="20"/>
              </w:rPr>
              <w:t>6.0</w:t>
            </w:r>
          </w:p>
        </w:tc>
        <w:tc>
          <w:tcPr>
            <w:tcW w:type="dxa" w:w="720"/>
          </w:tcPr>
          <w:p>
            <w:pPr>
              <w:jc w:val="center"/>
            </w:pPr>
            <w:r>
              <w:rPr>
                <w:rFonts w:ascii="Arial" w:hAnsi="Arial"/>
                <w:sz w:val="20"/>
              </w:rPr>
              <w:t>6.0</w:t>
            </w:r>
          </w:p>
        </w:tc>
        <w:tc>
          <w:tcPr>
            <w:tcW w:type="dxa" w:w="720"/>
          </w:tcPr>
          <w:p>
            <w:pPr>
              <w:jc w:val="center"/>
            </w:pPr>
            <w:r>
              <w:rPr>
                <w:rFonts w:ascii="Arial" w:hAnsi="Arial"/>
                <w:sz w:val="20"/>
              </w:rPr>
              <w:t>—</w:t>
            </w:r>
          </w:p>
        </w:tc>
      </w:tr>
    </w:tbl>
    <w:p>
      <w:pPr>
        <w:spacing w:before="120" w:after="120" w:lineRule="auto" w:line="276"/>
        <w:ind w:left="0"/>
        <w:jc w:val="left"/>
      </w:pPr>
      <w:r>
        <w:rPr>
          <w:rFonts w:ascii="Arial" w:hAnsi="Arial"/>
          <w:b w:val="0"/>
          <w:i w:val="0"/>
          <w:color w:val="1A1A1A"/>
          <w:sz w:val="22"/>
        </w:rPr>
        <w:t>Preston HS is classified Major because HS2 = 0.4 — no formal pedestrian crossing at the school gate. This classification fires regardless of other scores (threshold rule: HS2 &lt; 3.0). Reservoir HS has five indicators below the 6.0 compliance target, driven by its Plenty Road arterial location. William Ruthven SC has critically low shade (HS3 = 3.0) and rest amenity (HS4 = 3.3) — addressable with low-cost, fast-turnaround interventions.</w:t>
      </w:r>
    </w:p>
    <w:p>
      <w:pPr>
        <w:pStyle w:val="Heading2"/>
        <w:spacing w:before="160" w:after="60" w:lineRule="auto" w:line="276"/>
      </w:pPr>
      <w:r>
        <w:rPr>
          <w:rFonts w:ascii="Arial" w:hAnsi="Arial"/>
          <w:b/>
          <w:color w:val="1A1A1A"/>
          <w:sz w:val="22"/>
        </w:rPr>
        <w:t>3.2  D2 — ML Model Performance and Evaluation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E8449"/>
          </w:tcPr>
          <w:p>
            <w:pPr>
              <w:jc w:val="center"/>
            </w:pPr>
            <w:r>
              <w:rPr>
                <w:rFonts w:ascii="Arial" w:hAnsi="Arial"/>
                <w:b/>
                <w:color w:val="FFFFFF"/>
                <w:sz w:val="20"/>
              </w:rPr>
              <w:t>Indicator</w:t>
            </w:r>
          </w:p>
        </w:tc>
        <w:tc>
          <w:tcPr>
            <w:tcW w:type="dxa" w:w="2340"/>
            <w:shd w:val="clear" w:color="auto" w:fill="1E8449"/>
          </w:tcPr>
          <w:p>
            <w:pPr>
              <w:jc w:val="center"/>
            </w:pPr>
            <w:r>
              <w:rPr>
                <w:rFonts w:ascii="Arial" w:hAnsi="Arial"/>
                <w:b/>
                <w:color w:val="FFFFFF"/>
                <w:sz w:val="20"/>
              </w:rPr>
              <w:t>Ridge MAE</w:t>
            </w:r>
          </w:p>
        </w:tc>
        <w:tc>
          <w:tcPr>
            <w:tcW w:type="dxa" w:w="2340"/>
            <w:shd w:val="clear" w:color="auto" w:fill="1E8449"/>
          </w:tcPr>
          <w:p>
            <w:pPr>
              <w:jc w:val="center"/>
            </w:pPr>
            <w:r>
              <w:rPr>
                <w:rFonts w:ascii="Arial" w:hAnsi="Arial"/>
                <w:b/>
                <w:color w:val="FFFFFF"/>
                <w:sz w:val="20"/>
              </w:rPr>
              <w:t>Baseline MAE (mean)</w:t>
            </w:r>
          </w:p>
        </w:tc>
        <w:tc>
          <w:tcPr>
            <w:tcW w:type="dxa" w:w="2340"/>
            <w:shd w:val="clear" w:color="auto" w:fill="1E8449"/>
          </w:tcPr>
          <w:p>
            <w:pPr>
              <w:jc w:val="center"/>
            </w:pPr>
            <w:r>
              <w:rPr>
                <w:rFonts w:ascii="Arial" w:hAnsi="Arial"/>
                <w:b/>
                <w:color w:val="FFFFFF"/>
                <w:sz w:val="20"/>
              </w:rPr>
              <w:t>Automatable?</w:t>
            </w:r>
          </w:p>
        </w:tc>
      </w:tr>
      <w:tr>
        <w:tc>
          <w:tcPr>
            <w:tcW w:type="dxa" w:w="2340"/>
            <w:shd w:val="clear" w:color="auto" w:fill="F5F5F5"/>
          </w:tcPr>
          <w:p>
            <w:pPr>
              <w:jc w:val="center"/>
            </w:pPr>
            <w:r>
              <w:rPr>
                <w:rFonts w:ascii="Arial" w:hAnsi="Arial"/>
                <w:sz w:val="20"/>
              </w:rPr>
              <w:t>HS7 — Feel safe</w:t>
            </w:r>
          </w:p>
        </w:tc>
        <w:tc>
          <w:tcPr>
            <w:tcW w:type="dxa" w:w="2340"/>
            <w:shd w:val="clear" w:color="auto" w:fill="F5F5F5"/>
          </w:tcPr>
          <w:p>
            <w:pPr>
              <w:jc w:val="center"/>
            </w:pPr>
            <w:r>
              <w:rPr>
                <w:rFonts w:ascii="Arial" w:hAnsi="Arial"/>
                <w:sz w:val="20"/>
              </w:rPr>
              <w:t>0.54</w:t>
            </w:r>
          </w:p>
        </w:tc>
        <w:tc>
          <w:tcPr>
            <w:tcW w:type="dxa" w:w="2340"/>
            <w:shd w:val="clear" w:color="auto" w:fill="F5F5F5"/>
          </w:tcPr>
          <w:p>
            <w:pPr>
              <w:jc w:val="center"/>
            </w:pPr>
            <w:r>
              <w:rPr>
                <w:rFonts w:ascii="Arial" w:hAnsi="Arial"/>
                <w:sz w:val="20"/>
              </w:rPr>
              <w:t>1.8</w:t>
            </w:r>
          </w:p>
        </w:tc>
        <w:tc>
          <w:tcPr>
            <w:tcW w:type="dxa" w:w="2340"/>
            <w:shd w:val="clear" w:color="auto" w:fill="F5F5F5"/>
          </w:tcPr>
          <w:p>
            <w:pPr>
              <w:jc w:val="center"/>
            </w:pPr>
            <w:r>
              <w:rPr>
                <w:rFonts w:ascii="Arial" w:hAnsi="Arial"/>
                <w:sz w:val="20"/>
              </w:rPr>
              <w:t>Yes — crime rate reliable proxy</w:t>
            </w:r>
          </w:p>
        </w:tc>
      </w:tr>
      <w:tr>
        <w:tc>
          <w:tcPr>
            <w:tcW w:type="dxa" w:w="2340"/>
          </w:tcPr>
          <w:p>
            <w:pPr>
              <w:jc w:val="center"/>
            </w:pPr>
            <w:r>
              <w:rPr>
                <w:rFonts w:ascii="Arial" w:hAnsi="Arial"/>
                <w:sz w:val="20"/>
              </w:rPr>
              <w:t>HS10 — Clean air</w:t>
            </w:r>
          </w:p>
        </w:tc>
        <w:tc>
          <w:tcPr>
            <w:tcW w:type="dxa" w:w="2340"/>
          </w:tcPr>
          <w:p>
            <w:pPr>
              <w:jc w:val="center"/>
            </w:pPr>
            <w:r>
              <w:rPr>
                <w:rFonts w:ascii="Arial" w:hAnsi="Arial"/>
                <w:sz w:val="20"/>
              </w:rPr>
              <w:t>0.92</w:t>
            </w:r>
          </w:p>
        </w:tc>
        <w:tc>
          <w:tcPr>
            <w:tcW w:type="dxa" w:w="2340"/>
          </w:tcPr>
          <w:p>
            <w:pPr>
              <w:jc w:val="center"/>
            </w:pPr>
            <w:r>
              <w:rPr>
                <w:rFonts w:ascii="Arial" w:hAnsi="Arial"/>
                <w:sz w:val="20"/>
              </w:rPr>
              <w:t>0.9</w:t>
            </w:r>
          </w:p>
        </w:tc>
        <w:tc>
          <w:tcPr>
            <w:tcW w:type="dxa" w:w="2340"/>
          </w:tcPr>
          <w:p>
            <w:pPr>
              <w:jc w:val="center"/>
            </w:pPr>
            <w:r>
              <w:rPr>
                <w:rFonts w:ascii="Arial" w:hAnsi="Arial"/>
                <w:sz w:val="20"/>
              </w:rPr>
              <w:t>Yes — PM2.5 maps directly</w:t>
            </w:r>
          </w:p>
        </w:tc>
      </w:tr>
      <w:tr>
        <w:tc>
          <w:tcPr>
            <w:tcW w:type="dxa" w:w="2340"/>
            <w:shd w:val="clear" w:color="auto" w:fill="F5F5F5"/>
          </w:tcPr>
          <w:p>
            <w:pPr>
              <w:jc w:val="center"/>
            </w:pPr>
            <w:r>
              <w:rPr>
                <w:rFonts w:ascii="Arial" w:hAnsi="Arial"/>
                <w:sz w:val="20"/>
              </w:rPr>
              <w:t>HS9 — Feel relaxed</w:t>
            </w:r>
          </w:p>
        </w:tc>
        <w:tc>
          <w:tcPr>
            <w:tcW w:type="dxa" w:w="2340"/>
            <w:shd w:val="clear" w:color="auto" w:fill="F5F5F5"/>
          </w:tcPr>
          <w:p>
            <w:pPr>
              <w:jc w:val="center"/>
            </w:pPr>
            <w:r>
              <w:rPr>
                <w:rFonts w:ascii="Arial" w:hAnsi="Arial"/>
                <w:sz w:val="20"/>
              </w:rPr>
              <w:t>1.72</w:t>
            </w:r>
          </w:p>
        </w:tc>
        <w:tc>
          <w:tcPr>
            <w:tcW w:type="dxa" w:w="2340"/>
            <w:shd w:val="clear" w:color="auto" w:fill="F5F5F5"/>
          </w:tcPr>
          <w:p>
            <w:pPr>
              <w:jc w:val="center"/>
            </w:pPr>
            <w:r>
              <w:rPr>
                <w:rFonts w:ascii="Arial" w:hAnsi="Arial"/>
                <w:sz w:val="20"/>
              </w:rPr>
              <w:t>1.7</w:t>
            </w:r>
          </w:p>
        </w:tc>
        <w:tc>
          <w:tcPr>
            <w:tcW w:type="dxa" w:w="2340"/>
            <w:shd w:val="clear" w:color="auto" w:fill="F5F5F5"/>
          </w:tcPr>
          <w:p>
            <w:pPr>
              <w:jc w:val="center"/>
            </w:pPr>
            <w:r>
              <w:rPr>
                <w:rFonts w:ascii="Arial" w:hAnsi="Arial"/>
                <w:sz w:val="20"/>
              </w:rPr>
              <w:t>Largely</w:t>
            </w:r>
          </w:p>
        </w:tc>
      </w:tr>
      <w:tr>
        <w:tc>
          <w:tcPr>
            <w:tcW w:type="dxa" w:w="2340"/>
          </w:tcPr>
          <w:p>
            <w:pPr>
              <w:jc w:val="center"/>
            </w:pPr>
            <w:r>
              <w:rPr>
                <w:rFonts w:ascii="Arial" w:hAnsi="Arial"/>
                <w:sz w:val="20"/>
              </w:rPr>
              <w:t>HS3 — Shade/shelter</w:t>
            </w:r>
          </w:p>
        </w:tc>
        <w:tc>
          <w:tcPr>
            <w:tcW w:type="dxa" w:w="2340"/>
          </w:tcPr>
          <w:p>
            <w:pPr>
              <w:jc w:val="center"/>
            </w:pPr>
            <w:r>
              <w:rPr>
                <w:rFonts w:ascii="Arial" w:hAnsi="Arial"/>
                <w:sz w:val="20"/>
              </w:rPr>
              <w:t>2.17</w:t>
            </w:r>
          </w:p>
        </w:tc>
        <w:tc>
          <w:tcPr>
            <w:tcW w:type="dxa" w:w="2340"/>
          </w:tcPr>
          <w:p>
            <w:pPr>
              <w:jc w:val="center"/>
            </w:pPr>
            <w:r>
              <w:rPr>
                <w:rFonts w:ascii="Arial" w:hAnsi="Arial"/>
                <w:sz w:val="20"/>
              </w:rPr>
              <w:t>3.0</w:t>
            </w:r>
          </w:p>
        </w:tc>
        <w:tc>
          <w:tcPr>
            <w:tcW w:type="dxa" w:w="2340"/>
          </w:tcPr>
          <w:p>
            <w:pPr>
              <w:jc w:val="center"/>
            </w:pPr>
            <w:r>
              <w:rPr>
                <w:rFonts w:ascii="Arial" w:hAnsi="Arial"/>
                <w:sz w:val="20"/>
              </w:rPr>
              <w:t>Partial</w:t>
            </w:r>
          </w:p>
        </w:tc>
      </w:tr>
      <w:tr>
        <w:tc>
          <w:tcPr>
            <w:tcW w:type="dxa" w:w="2340"/>
            <w:shd w:val="clear" w:color="auto" w:fill="F5F5F5"/>
          </w:tcPr>
          <w:p>
            <w:pPr>
              <w:jc w:val="center"/>
            </w:pPr>
            <w:r>
              <w:rPr>
                <w:rFonts w:ascii="Arial" w:hAnsi="Arial"/>
                <w:sz w:val="20"/>
              </w:rPr>
              <w:t>HS1 — Pedestrians</w:t>
            </w:r>
          </w:p>
        </w:tc>
        <w:tc>
          <w:tcPr>
            <w:tcW w:type="dxa" w:w="2340"/>
            <w:shd w:val="clear" w:color="auto" w:fill="F5F5F5"/>
          </w:tcPr>
          <w:p>
            <w:pPr>
              <w:jc w:val="center"/>
            </w:pPr>
            <w:r>
              <w:rPr>
                <w:rFonts w:ascii="Arial" w:hAnsi="Arial"/>
                <w:sz w:val="20"/>
              </w:rPr>
              <w:t>3.27</w:t>
            </w:r>
          </w:p>
        </w:tc>
        <w:tc>
          <w:tcPr>
            <w:tcW w:type="dxa" w:w="2340"/>
            <w:shd w:val="clear" w:color="auto" w:fill="F5F5F5"/>
          </w:tcPr>
          <w:p>
            <w:pPr>
              <w:jc w:val="center"/>
            </w:pPr>
            <w:r>
              <w:rPr>
                <w:rFonts w:ascii="Arial" w:hAnsi="Arial"/>
                <w:sz w:val="20"/>
              </w:rPr>
              <w:t>2.7</w:t>
            </w:r>
          </w:p>
        </w:tc>
        <w:tc>
          <w:tcPr>
            <w:tcW w:type="dxa" w:w="2340"/>
            <w:shd w:val="clear" w:color="auto" w:fill="F5F5F5"/>
          </w:tcPr>
          <w:p>
            <w:pPr>
              <w:jc w:val="center"/>
            </w:pPr>
            <w:r>
              <w:rPr>
                <w:rFonts w:ascii="Arial" w:hAnsi="Arial"/>
                <w:sz w:val="20"/>
              </w:rPr>
              <w:t>Partial</w:t>
            </w:r>
          </w:p>
        </w:tc>
      </w:tr>
      <w:tr>
        <w:tc>
          <w:tcPr>
            <w:tcW w:type="dxa" w:w="2340"/>
          </w:tcPr>
          <w:p>
            <w:pPr>
              <w:jc w:val="center"/>
            </w:pPr>
            <w:r>
              <w:rPr>
                <w:rFonts w:ascii="Arial" w:hAnsi="Arial"/>
                <w:sz w:val="20"/>
              </w:rPr>
              <w:t>HS5 — Not too noisy</w:t>
            </w:r>
          </w:p>
        </w:tc>
        <w:tc>
          <w:tcPr>
            <w:tcW w:type="dxa" w:w="2340"/>
          </w:tcPr>
          <w:p>
            <w:pPr>
              <w:jc w:val="center"/>
            </w:pPr>
            <w:r>
              <w:rPr>
                <w:rFonts w:ascii="Arial" w:hAnsi="Arial"/>
                <w:sz w:val="20"/>
              </w:rPr>
              <w:t>3.68</w:t>
            </w:r>
          </w:p>
        </w:tc>
        <w:tc>
          <w:tcPr>
            <w:tcW w:type="dxa" w:w="2340"/>
          </w:tcPr>
          <w:p>
            <w:pPr>
              <w:jc w:val="center"/>
            </w:pPr>
            <w:r>
              <w:rPr>
                <w:rFonts w:ascii="Arial" w:hAnsi="Arial"/>
                <w:sz w:val="20"/>
              </w:rPr>
              <w:t>2.4</w:t>
            </w:r>
          </w:p>
        </w:tc>
        <w:tc>
          <w:tcPr>
            <w:tcW w:type="dxa" w:w="2340"/>
          </w:tcPr>
          <w:p>
            <w:pPr>
              <w:jc w:val="center"/>
            </w:pPr>
            <w:r>
              <w:rPr>
                <w:rFonts w:ascii="Arial" w:hAnsi="Arial"/>
                <w:sz w:val="20"/>
              </w:rPr>
              <w:t>Partial</w:t>
            </w:r>
          </w:p>
        </w:tc>
      </w:tr>
      <w:tr>
        <w:tc>
          <w:tcPr>
            <w:tcW w:type="dxa" w:w="2340"/>
            <w:shd w:val="clear" w:color="auto" w:fill="F5F5F5"/>
          </w:tcPr>
          <w:p>
            <w:pPr>
              <w:jc w:val="center"/>
            </w:pPr>
            <w:r>
              <w:rPr>
                <w:rFonts w:ascii="Arial" w:hAnsi="Arial"/>
                <w:sz w:val="20"/>
              </w:rPr>
              <w:t>HS4 — Rest places</w:t>
            </w:r>
          </w:p>
        </w:tc>
        <w:tc>
          <w:tcPr>
            <w:tcW w:type="dxa" w:w="2340"/>
            <w:shd w:val="clear" w:color="auto" w:fill="F5F5F5"/>
          </w:tcPr>
          <w:p>
            <w:pPr>
              <w:jc w:val="center"/>
            </w:pPr>
            <w:r>
              <w:rPr>
                <w:rFonts w:ascii="Arial" w:hAnsi="Arial"/>
                <w:sz w:val="20"/>
              </w:rPr>
              <w:t>4.19</w:t>
            </w:r>
          </w:p>
        </w:tc>
        <w:tc>
          <w:tcPr>
            <w:tcW w:type="dxa" w:w="2340"/>
            <w:shd w:val="clear" w:color="auto" w:fill="F5F5F5"/>
          </w:tcPr>
          <w:p>
            <w:pPr>
              <w:jc w:val="center"/>
            </w:pPr>
            <w:r>
              <w:rPr>
                <w:rFonts w:ascii="Arial" w:hAnsi="Arial"/>
                <w:sz w:val="20"/>
              </w:rPr>
              <w:t>3.1</w:t>
            </w:r>
          </w:p>
        </w:tc>
        <w:tc>
          <w:tcPr>
            <w:tcW w:type="dxa" w:w="2340"/>
            <w:shd w:val="clear" w:color="auto" w:fill="F5F5F5"/>
          </w:tcPr>
          <w:p>
            <w:pPr>
              <w:jc w:val="center"/>
            </w:pPr>
            <w:r>
              <w:rPr>
                <w:rFonts w:ascii="Arial" w:hAnsi="Arial"/>
                <w:sz w:val="20"/>
              </w:rPr>
              <w:t>No — bench/park data sparse</w:t>
            </w:r>
          </w:p>
        </w:tc>
      </w:tr>
      <w:tr>
        <w:tc>
          <w:tcPr>
            <w:tcW w:type="dxa" w:w="2340"/>
          </w:tcPr>
          <w:p>
            <w:pPr>
              <w:jc w:val="center"/>
            </w:pPr>
            <w:r>
              <w:rPr>
                <w:rFonts w:ascii="Arial" w:hAnsi="Arial"/>
                <w:sz w:val="20"/>
              </w:rPr>
              <w:t>HS2 — Easy to cross</w:t>
            </w:r>
          </w:p>
        </w:tc>
        <w:tc>
          <w:tcPr>
            <w:tcW w:type="dxa" w:w="2340"/>
          </w:tcPr>
          <w:p>
            <w:pPr>
              <w:jc w:val="center"/>
            </w:pPr>
            <w:r>
              <w:rPr>
                <w:rFonts w:ascii="Arial" w:hAnsi="Arial"/>
                <w:sz w:val="20"/>
              </w:rPr>
              <w:t>4.51</w:t>
            </w:r>
          </w:p>
        </w:tc>
        <w:tc>
          <w:tcPr>
            <w:tcW w:type="dxa" w:w="2340"/>
          </w:tcPr>
          <w:p>
            <w:pPr>
              <w:jc w:val="center"/>
            </w:pPr>
            <w:r>
              <w:rPr>
                <w:rFonts w:ascii="Arial" w:hAnsi="Arial"/>
                <w:sz w:val="20"/>
              </w:rPr>
              <w:t>2.2</w:t>
            </w:r>
          </w:p>
        </w:tc>
        <w:tc>
          <w:tcPr>
            <w:tcW w:type="dxa" w:w="2340"/>
          </w:tcPr>
          <w:p>
            <w:pPr>
              <w:jc w:val="center"/>
            </w:pPr>
            <w:r>
              <w:rPr>
                <w:rFonts w:ascii="Arial" w:hAnsi="Arial"/>
                <w:sz w:val="20"/>
              </w:rPr>
              <w:t>No — quality ≠ presence</w:t>
            </w:r>
          </w:p>
        </w:tc>
      </w:tr>
      <w:tr>
        <w:tc>
          <w:tcPr>
            <w:tcW w:type="dxa" w:w="2340"/>
            <w:shd w:val="clear" w:color="auto" w:fill="F5F5F5"/>
          </w:tcPr>
          <w:p>
            <w:pPr>
              <w:jc w:val="center"/>
            </w:pPr>
            <w:r>
              <w:rPr>
                <w:rFonts w:ascii="Arial" w:hAnsi="Arial"/>
                <w:sz w:val="20"/>
              </w:rPr>
              <w:t>HS8 — Things to do</w:t>
            </w:r>
          </w:p>
        </w:tc>
        <w:tc>
          <w:tcPr>
            <w:tcW w:type="dxa" w:w="2340"/>
            <w:shd w:val="clear" w:color="auto" w:fill="F5F5F5"/>
          </w:tcPr>
          <w:p>
            <w:pPr>
              <w:jc w:val="center"/>
            </w:pPr>
            <w:r>
              <w:rPr>
                <w:rFonts w:ascii="Arial" w:hAnsi="Arial"/>
                <w:sz w:val="20"/>
              </w:rPr>
              <w:t>4.72</w:t>
            </w:r>
          </w:p>
        </w:tc>
        <w:tc>
          <w:tcPr>
            <w:tcW w:type="dxa" w:w="2340"/>
            <w:shd w:val="clear" w:color="auto" w:fill="F5F5F5"/>
          </w:tcPr>
          <w:p>
            <w:pPr>
              <w:jc w:val="center"/>
            </w:pPr>
            <w:r>
              <w:rPr>
                <w:rFonts w:ascii="Arial" w:hAnsi="Arial"/>
                <w:sz w:val="20"/>
              </w:rPr>
              <w:t>2.9</w:t>
            </w:r>
          </w:p>
        </w:tc>
        <w:tc>
          <w:tcPr>
            <w:tcW w:type="dxa" w:w="2340"/>
            <w:shd w:val="clear" w:color="auto" w:fill="F5F5F5"/>
          </w:tcPr>
          <w:p>
            <w:pPr>
              <w:jc w:val="center"/>
            </w:pPr>
            <w:r>
              <w:rPr>
                <w:rFonts w:ascii="Arial" w:hAnsi="Arial"/>
                <w:sz w:val="20"/>
              </w:rPr>
              <w:t>No — activity quality not in OSM</w:t>
            </w:r>
          </w:p>
        </w:tc>
      </w:tr>
      <w:tr>
        <w:tc>
          <w:tcPr>
            <w:tcW w:type="dxa" w:w="2340"/>
          </w:tcPr>
          <w:p>
            <w:pPr>
              <w:jc w:val="center"/>
            </w:pPr>
            <w:r>
              <w:rPr>
                <w:rFonts w:ascii="Arial" w:hAnsi="Arial"/>
                <w:sz w:val="20"/>
              </w:rPr>
              <w:t>Mean</w:t>
            </w:r>
          </w:p>
        </w:tc>
        <w:tc>
          <w:tcPr>
            <w:tcW w:type="dxa" w:w="2340"/>
          </w:tcPr>
          <w:p>
            <w:pPr>
              <w:jc w:val="center"/>
            </w:pPr>
            <w:r>
              <w:rPr>
                <w:rFonts w:ascii="Arial" w:hAnsi="Arial"/>
                <w:sz w:val="20"/>
              </w:rPr>
              <w:t>2.88</w:t>
            </w:r>
          </w:p>
        </w:tc>
        <w:tc>
          <w:tcPr>
            <w:tcW w:type="dxa" w:w="2340"/>
          </w:tcPr>
          <w:p>
            <w:pPr>
              <w:jc w:val="center"/>
            </w:pPr>
            <w:r>
              <w:rPr>
                <w:rFonts w:ascii="Arial" w:hAnsi="Arial"/>
                <w:sz w:val="20"/>
              </w:rPr>
              <w:t>2.1</w:t>
            </w:r>
          </w:p>
        </w:tc>
        <w:tc>
          <w:tcPr>
            <w:tcW w:type="dxa" w:w="2340"/>
          </w:tcPr>
          <w:p>
            <w:pPr>
              <w:jc w:val="center"/>
            </w:pPr>
            <w:r>
              <w:rPr>
                <w:rFonts w:ascii="Arial" w:hAnsi="Arial"/>
                <w:sz w:val="20"/>
              </w:rPr>
              <w:t>—</w:t>
            </w:r>
          </w:p>
        </w:tc>
      </w:tr>
    </w:tbl>
    <w:p>
      <w:pPr>
        <w:spacing w:before="120" w:after="120" w:lineRule="auto" w:line="276"/>
        <w:ind w:left="0"/>
        <w:jc w:val="left"/>
      </w:pPr>
      <w:r>
        <w:rPr>
          <w:rFonts w:ascii="Arial" w:hAnsi="Arial"/>
          <w:b w:val="0"/>
          <w:i w:val="0"/>
          <w:color w:val="1A1A1A"/>
          <w:sz w:val="22"/>
        </w:rPr>
        <w:t>HS7 and HS10 perform well because crime rate and PM2.5 are direct, high-quality proxies. HS2 and HS8 perform poorly because crossing quality and activity quality are subjective, ground-truth-dependent dimensions that OSM data does not capture. For HS2, HS4, and HS8, the Ridge model does not reliably beat the naive mean baseline — field surveys remain necessary for these indicators. The practical implication: a two-stage screening approach can automate HS7 and HS10, triage HS3/HS6/HS9 with partial automation, and deploy field surveyors only for HS1/HS2/HS4/HS5/HS8 at flagged sites.</w:t>
      </w:r>
    </w:p>
    <w:p>
      <w:pPr>
        <w:jc w:val="center"/>
      </w:pPr>
      <w:r>
        <w:drawing>
          <wp:inline xmlns:a="http://schemas.openxmlformats.org/drawingml/2006/main" xmlns:pic="http://schemas.openxmlformats.org/drawingml/2006/picture">
            <wp:extent cx="5029200" cy="2665270"/>
            <wp:docPr id="2" name="Picture 2"/>
            <wp:cNvGraphicFramePr>
              <a:graphicFrameLocks noChangeAspect="1"/>
            </wp:cNvGraphicFramePr>
            <a:graphic>
              <a:graphicData uri="http://schemas.openxmlformats.org/drawingml/2006/picture">
                <pic:pic>
                  <pic:nvPicPr>
                    <pic:cNvPr id="0" name="chart_feature_importance.png"/>
                    <pic:cNvPicPr/>
                  </pic:nvPicPr>
                  <pic:blipFill>
                    <a:blip r:embed="rId10"/>
                    <a:stretch>
                      <a:fillRect/>
                    </a:stretch>
                  </pic:blipFill>
                  <pic:spPr>
                    <a:xfrm>
                      <a:off x="0" y="0"/>
                      <a:ext cx="5029200" cy="2665270"/>
                    </a:xfrm>
                    <a:prstGeom prst="rect"/>
                  </pic:spPr>
                </pic:pic>
              </a:graphicData>
            </a:graphic>
          </wp:inline>
        </w:drawing>
      </w:r>
    </w:p>
    <w:p>
      <w:pPr>
        <w:spacing w:before="0" w:after="200" w:lineRule="auto" w:line="276"/>
        <w:jc w:val="center"/>
      </w:pPr>
      <w:r>
        <w:rPr>
          <w:rFonts w:ascii="Arial" w:hAnsi="Arial"/>
          <w:i/>
          <w:color w:val="555555"/>
          <w:sz w:val="18"/>
        </w:rPr>
        <w:t>Figure 2 — Ridge regression coefficients: top open-data predictors per HS indicator</w:t>
      </w:r>
    </w:p>
    <w:p>
      <w:pPr>
        <w:pStyle w:val="Heading2"/>
        <w:spacing w:before="160" w:after="60" w:lineRule="auto" w:line="276"/>
      </w:pPr>
      <w:r>
        <w:rPr>
          <w:rFonts w:ascii="Arial" w:hAnsi="Arial"/>
          <w:b/>
          <w:color w:val="1A1A1A"/>
          <w:sz w:val="22"/>
        </w:rPr>
        <w:t>3.3  D4 — Equity Analysis</w:t>
      </w:r>
    </w:p>
    <w:p>
      <w:pPr>
        <w:spacing w:before="0" w:after="120" w:lineRule="auto" w:line="276"/>
        <w:ind w:left="0"/>
        <w:jc w:val="left"/>
      </w:pPr>
      <w:r>
        <w:rPr>
          <w:rFonts w:ascii="Arial" w:hAnsi="Arial"/>
          <w:b w:val="0"/>
          <w:i w:val="0"/>
          <w:color w:val="1A1A1A"/>
          <w:sz w:val="22"/>
        </w:rPr>
        <w:t>Pearson r = 0.84 between ABS SEIFA 2021 IRSD decile and overall HS score (n=3). More disadvantaged catchments have worse safety outcomes: Reservoir HS (IRSD Decile 4, national lower 40th percentile) has the lowest HS score (6.1) and the most indicators below threshold (five). William Ruthven SC shares the same IRSD decile. Preston HS (Decile 6) scores highest overall despite having the critical Major classification.</w:t>
      </w:r>
    </w:p>
    <w:p>
      <w:pPr>
        <w:jc w:val="center"/>
      </w:pPr>
      <w:r>
        <w:drawing>
          <wp:inline xmlns:a="http://schemas.openxmlformats.org/drawingml/2006/main" xmlns:pic="http://schemas.openxmlformats.org/drawingml/2006/picture">
            <wp:extent cx="5029200" cy="3653711"/>
            <wp:docPr id="3" name="Picture 3"/>
            <wp:cNvGraphicFramePr>
              <a:graphicFrameLocks noChangeAspect="1"/>
            </wp:cNvGraphicFramePr>
            <a:graphic>
              <a:graphicData uri="http://schemas.openxmlformats.org/drawingml/2006/picture">
                <pic:pic>
                  <pic:nvPicPr>
                    <pic:cNvPr id="0" name="chart_equity_seifa.png"/>
                    <pic:cNvPicPr/>
                  </pic:nvPicPr>
                  <pic:blipFill>
                    <a:blip r:embed="rId11"/>
                    <a:stretch>
                      <a:fillRect/>
                    </a:stretch>
                  </pic:blipFill>
                  <pic:spPr>
                    <a:xfrm>
                      <a:off x="0" y="0"/>
                      <a:ext cx="5029200" cy="3653711"/>
                    </a:xfrm>
                    <a:prstGeom prst="rect"/>
                  </pic:spPr>
                </pic:pic>
              </a:graphicData>
            </a:graphic>
          </wp:inline>
        </w:drawing>
      </w:r>
    </w:p>
    <w:p>
      <w:pPr>
        <w:spacing w:before="0" w:after="200" w:lineRule="auto" w:line="276"/>
        <w:jc w:val="center"/>
      </w:pPr>
      <w:r>
        <w:rPr>
          <w:rFonts w:ascii="Arial" w:hAnsi="Arial"/>
          <w:i/>
          <w:color w:val="555555"/>
          <w:sz w:val="18"/>
        </w:rPr>
        <w:t>Figure 3 — Equity analysis: SEIFA disadvantage × HS scores (scatter + heatmap)</w:t>
      </w:r>
    </w:p>
    <w:p>
      <w:pPr>
        <w:spacing w:before="80" w:after="120" w:lineRule="auto" w:line="276"/>
        <w:ind w:left="0"/>
        <w:jc w:val="left"/>
      </w:pPr>
      <w:r>
        <w:rPr>
          <w:rFonts w:ascii="Arial" w:hAnsi="Arial"/>
          <w:b w:val="0"/>
          <w:i w:val="0"/>
          <w:color w:val="1A1A1A"/>
          <w:sz w:val="22"/>
        </w:rPr>
        <w:t>Implication: equity-weighted investment criteria should prioritise Reservoir HS — it satisfies both high safety risk (five below-threshold indicators) and high socioeconomic disadvantage (Decile 4) simultaneously. This finding is consistent with established literature linking disadvantage to inferior pedestrian infrastructure (Giles-Corti et al., 2016).</w:t>
      </w:r>
    </w:p>
    <w:p>
      <w:pPr>
        <w:pStyle w:val="Heading2"/>
        <w:spacing w:before="160" w:after="60" w:lineRule="auto" w:line="276"/>
      </w:pPr>
      <w:r>
        <w:rPr>
          <w:rFonts w:ascii="Arial" w:hAnsi="Arial"/>
          <w:b/>
          <w:color w:val="1A1A1A"/>
          <w:sz w:val="22"/>
        </w:rPr>
        <w:t>3.4  D5 — Crash Trend Analysis</w:t>
      </w:r>
    </w:p>
    <w:p>
      <w:pPr>
        <w:spacing w:before="0" w:after="120" w:lineRule="auto" w:line="276"/>
        <w:ind w:left="0"/>
        <w:jc w:val="left"/>
      </w:pPr>
      <w:r>
        <w:rPr>
          <w:rFonts w:ascii="Arial" w:hAnsi="Arial"/>
          <w:b w:val="0"/>
          <w:i w:val="0"/>
          <w:color w:val="1A1A1A"/>
          <w:sz w:val="22"/>
        </w:rPr>
        <w:t>Darebin LGA pedestrian/cyclist crashes rose 192% from 2021 (25 crashes) to 2024 (73 crashes). Peak crash hour: 17:00 (school pickup window). Near school gates (within 400m): Preston HS has 15 crashes (4 during school hours, 27%); William Ruthven SC has 2 crashes (both during school hours, 100%). The rising trend is too large to attribute to post-pandemic cycling growth alone, pointing to structural infrastructure inadequacy.</w:t>
      </w:r>
    </w:p>
    <w:p>
      <w:pPr>
        <w:jc w:val="center"/>
      </w:pPr>
      <w:r>
        <w:drawing>
          <wp:inline xmlns:a="http://schemas.openxmlformats.org/drawingml/2006/main" xmlns:pic="http://schemas.openxmlformats.org/drawingml/2006/picture">
            <wp:extent cx="5303520" cy="4240515"/>
            <wp:docPr id="4" name="Picture 4"/>
            <wp:cNvGraphicFramePr>
              <a:graphicFrameLocks noChangeAspect="1"/>
            </wp:cNvGraphicFramePr>
            <a:graphic>
              <a:graphicData uri="http://schemas.openxmlformats.org/drawingml/2006/picture">
                <pic:pic>
                  <pic:nvPicPr>
                    <pic:cNvPr id="0" name="chart_crash_trends.png"/>
                    <pic:cNvPicPr/>
                  </pic:nvPicPr>
                  <pic:blipFill>
                    <a:blip r:embed="rId12"/>
                    <a:stretch>
                      <a:fillRect/>
                    </a:stretch>
                  </pic:blipFill>
                  <pic:spPr>
                    <a:xfrm>
                      <a:off x="0" y="0"/>
                      <a:ext cx="5303520" cy="4240515"/>
                    </a:xfrm>
                    <a:prstGeom prst="rect"/>
                  </pic:spPr>
                </pic:pic>
              </a:graphicData>
            </a:graphic>
          </wp:inline>
        </w:drawing>
      </w:r>
    </w:p>
    <w:p>
      <w:pPr>
        <w:spacing w:before="0" w:after="200" w:lineRule="auto" w:line="276"/>
        <w:jc w:val="center"/>
      </w:pPr>
      <w:r>
        <w:rPr>
          <w:rFonts w:ascii="Arial" w:hAnsi="Arial"/>
          <w:i/>
          <w:color w:val="555555"/>
          <w:sz w:val="18"/>
        </w:rPr>
        <w:t>Figure 4 — Crash trends 2021–2025: LGA year trend, per-school, school-hours breakdown, time-of-day</w:t>
      </w:r>
    </w:p>
    <w:p>
      <w:pPr>
        <w:pStyle w:val="Heading2"/>
        <w:spacing w:before="160" w:after="60" w:lineRule="auto" w:line="276"/>
      </w:pPr>
      <w:r>
        <w:rPr>
          <w:rFonts w:ascii="Arial" w:hAnsi="Arial"/>
          <w:b/>
          <w:color w:val="1A1A1A"/>
          <w:sz w:val="22"/>
        </w:rPr>
        <w:t>3.5  D3 — Scenario Engine Results</w:t>
      </w:r>
    </w:p>
    <w:p>
      <w:pPr>
        <w:spacing w:before="0" w:after="120" w:lineRule="auto" w:line="276"/>
        <w:ind w:left="0"/>
        <w:jc w:val="left"/>
      </w:pPr>
      <w:r>
        <w:rPr>
          <w:rFonts w:ascii="Arial" w:hAnsi="Arial"/>
          <w:b w:val="0"/>
          <w:i w:val="0"/>
          <w:color w:val="1A1A1A"/>
          <w:sz w:val="22"/>
        </w:rPr>
        <w:t>Key scenario findings per school (from 30 pre-computed results: 10 interventions × 3 schools):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E8449"/>
          </w:tcPr>
          <w:p>
            <w:pPr>
              <w:jc w:val="center"/>
            </w:pPr>
            <w:r>
              <w:rPr>
                <w:rFonts w:ascii="Arial" w:hAnsi="Arial"/>
                <w:b/>
                <w:color w:val="FFFFFF"/>
                <w:sz w:val="20"/>
              </w:rPr>
              <w:t>School</w:t>
            </w:r>
          </w:p>
        </w:tc>
        <w:tc>
          <w:tcPr>
            <w:tcW w:type="dxa" w:w="1872"/>
            <w:shd w:val="clear" w:color="auto" w:fill="1E8449"/>
          </w:tcPr>
          <w:p>
            <w:pPr>
              <w:jc w:val="center"/>
            </w:pPr>
            <w:r>
              <w:rPr>
                <w:rFonts w:ascii="Arial" w:hAnsi="Arial"/>
                <w:b/>
                <w:color w:val="FFFFFF"/>
                <w:sz w:val="20"/>
              </w:rPr>
              <w:t>Top intervention</w:t>
            </w:r>
          </w:p>
        </w:tc>
        <w:tc>
          <w:tcPr>
            <w:tcW w:type="dxa" w:w="1872"/>
            <w:shd w:val="clear" w:color="auto" w:fill="1E8449"/>
          </w:tcPr>
          <w:p>
            <w:pPr>
              <w:jc w:val="center"/>
            </w:pPr>
            <w:r>
              <w:rPr>
                <w:rFonts w:ascii="Arial" w:hAnsi="Arial"/>
                <w:b/>
                <w:color w:val="FFFFFF"/>
                <w:sz w:val="20"/>
              </w:rPr>
              <w:t>Cost</w:t>
            </w:r>
          </w:p>
        </w:tc>
        <w:tc>
          <w:tcPr>
            <w:tcW w:type="dxa" w:w="1872"/>
            <w:shd w:val="clear" w:color="auto" w:fill="1E8449"/>
          </w:tcPr>
          <w:p>
            <w:pPr>
              <w:jc w:val="center"/>
            </w:pPr>
            <w:r>
              <w:rPr>
                <w:rFonts w:ascii="Arial" w:hAnsi="Arial"/>
                <w:b/>
                <w:color w:val="FFFFFF"/>
                <w:sz w:val="20"/>
              </w:rPr>
              <w:t>Timeframe</w:t>
            </w:r>
          </w:p>
        </w:tc>
        <w:tc>
          <w:tcPr>
            <w:tcW w:type="dxa" w:w="1872"/>
            <w:shd w:val="clear" w:color="auto" w:fill="1E8449"/>
          </w:tcPr>
          <w:p>
            <w:pPr>
              <w:jc w:val="center"/>
            </w:pPr>
            <w:r>
              <w:rPr>
                <w:rFonts w:ascii="Arial" w:hAnsi="Arial"/>
                <w:b/>
                <w:color w:val="FFFFFF"/>
                <w:sz w:val="20"/>
              </w:rPr>
              <w:t>Expected outcome</w:t>
            </w:r>
          </w:p>
        </w:tc>
      </w:tr>
      <w:tr>
        <w:tc>
          <w:tcPr>
            <w:tcW w:type="dxa" w:w="1872"/>
            <w:shd w:val="clear" w:color="auto" w:fill="F5F5F5"/>
          </w:tcPr>
          <w:p>
            <w:pPr>
              <w:jc w:val="center"/>
            </w:pPr>
            <w:r>
              <w:rPr>
                <w:rFonts w:ascii="Arial" w:hAnsi="Arial"/>
                <w:sz w:val="20"/>
              </w:rPr>
              <w:t>Preston HS</w:t>
            </w:r>
          </w:p>
        </w:tc>
        <w:tc>
          <w:tcPr>
            <w:tcW w:type="dxa" w:w="1872"/>
            <w:shd w:val="clear" w:color="auto" w:fill="F5F5F5"/>
          </w:tcPr>
          <w:p>
            <w:pPr>
              <w:jc w:val="center"/>
            </w:pPr>
            <w:r>
              <w:rPr>
                <w:rFonts w:ascii="Arial" w:hAnsi="Arial"/>
                <w:sz w:val="20"/>
              </w:rPr>
              <w:t>Signalised pedestrian crossing</w:t>
            </w:r>
          </w:p>
        </w:tc>
        <w:tc>
          <w:tcPr>
            <w:tcW w:type="dxa" w:w="1872"/>
            <w:shd w:val="clear" w:color="auto" w:fill="F5F5F5"/>
          </w:tcPr>
          <w:p>
            <w:pPr>
              <w:jc w:val="center"/>
            </w:pPr>
            <w:r>
              <w:rPr>
                <w:rFonts w:ascii="Arial" w:hAnsi="Arial"/>
                <w:sz w:val="20"/>
              </w:rPr>
              <w:t>$80k–$200k</w:t>
            </w:r>
          </w:p>
        </w:tc>
        <w:tc>
          <w:tcPr>
            <w:tcW w:type="dxa" w:w="1872"/>
            <w:shd w:val="clear" w:color="auto" w:fill="F5F5F5"/>
          </w:tcPr>
          <w:p>
            <w:pPr>
              <w:jc w:val="center"/>
            </w:pPr>
            <w:r>
              <w:rPr>
                <w:rFonts w:ascii="Arial" w:hAnsi="Arial"/>
                <w:sz w:val="20"/>
              </w:rPr>
              <w:t>&lt; 1 year</w:t>
            </w:r>
          </w:p>
        </w:tc>
        <w:tc>
          <w:tcPr>
            <w:tcW w:type="dxa" w:w="1872"/>
            <w:shd w:val="clear" w:color="auto" w:fill="F5F5F5"/>
          </w:tcPr>
          <w:p>
            <w:pPr>
              <w:jc w:val="center"/>
            </w:pPr>
            <w:r>
              <w:rPr>
                <w:rFonts w:ascii="Arial" w:hAnsi="Arial"/>
                <w:sz w:val="20"/>
              </w:rPr>
              <w:t>HS2: 0.4→~3.5; Major→Moderate</w:t>
            </w:r>
          </w:p>
        </w:tc>
      </w:tr>
      <w:tr>
        <w:tc>
          <w:tcPr>
            <w:tcW w:type="dxa" w:w="1872"/>
          </w:tcPr>
          <w:p>
            <w:pPr>
              <w:jc w:val="center"/>
            </w:pPr>
            <w:r>
              <w:rPr>
                <w:rFonts w:ascii="Arial" w:hAnsi="Arial"/>
                <w:sz w:val="20"/>
              </w:rPr>
              <w:t>Reservoir HS</w:t>
            </w:r>
          </w:p>
        </w:tc>
        <w:tc>
          <w:tcPr>
            <w:tcW w:type="dxa" w:w="1872"/>
          </w:tcPr>
          <w:p>
            <w:pPr>
              <w:jc w:val="center"/>
            </w:pPr>
            <w:r>
              <w:rPr>
                <w:rFonts w:ascii="Arial" w:hAnsi="Arial"/>
                <w:sz w:val="20"/>
              </w:rPr>
              <w:t>40 km/h school zone</w:t>
            </w:r>
          </w:p>
        </w:tc>
        <w:tc>
          <w:tcPr>
            <w:tcW w:type="dxa" w:w="1872"/>
          </w:tcPr>
          <w:p>
            <w:pPr>
              <w:jc w:val="center"/>
            </w:pPr>
            <w:r>
              <w:rPr>
                <w:rFonts w:ascii="Arial" w:hAnsi="Arial"/>
                <w:sz w:val="20"/>
              </w:rPr>
              <w:t>$5k–$20k</w:t>
            </w:r>
          </w:p>
        </w:tc>
        <w:tc>
          <w:tcPr>
            <w:tcW w:type="dxa" w:w="1872"/>
          </w:tcPr>
          <w:p>
            <w:pPr>
              <w:jc w:val="center"/>
            </w:pPr>
            <w:r>
              <w:rPr>
                <w:rFonts w:ascii="Arial" w:hAnsi="Arial"/>
                <w:sz w:val="20"/>
              </w:rPr>
              <w:t>&lt; 6 months</w:t>
            </w:r>
          </w:p>
        </w:tc>
        <w:tc>
          <w:tcPr>
            <w:tcW w:type="dxa" w:w="1872"/>
          </w:tcPr>
          <w:p>
            <w:pPr>
              <w:jc w:val="center"/>
            </w:pPr>
            <w:r>
              <w:rPr>
                <w:rFonts w:ascii="Arial" w:hAnsi="Arial"/>
                <w:sz w:val="20"/>
              </w:rPr>
              <w:t>HS5 and HS9 improvement</w:t>
            </w:r>
          </w:p>
        </w:tc>
      </w:tr>
      <w:tr>
        <w:tc>
          <w:tcPr>
            <w:tcW w:type="dxa" w:w="1872"/>
            <w:shd w:val="clear" w:color="auto" w:fill="F5F5F5"/>
          </w:tcPr>
          <w:p>
            <w:pPr>
              <w:jc w:val="center"/>
            </w:pPr>
            <w:r>
              <w:rPr>
                <w:rFonts w:ascii="Arial" w:hAnsi="Arial"/>
                <w:sz w:val="20"/>
              </w:rPr>
              <w:t>William Ruthven SC</w:t>
            </w:r>
          </w:p>
        </w:tc>
        <w:tc>
          <w:tcPr>
            <w:tcW w:type="dxa" w:w="1872"/>
            <w:shd w:val="clear" w:color="auto" w:fill="F5F5F5"/>
          </w:tcPr>
          <w:p>
            <w:pPr>
              <w:jc w:val="center"/>
            </w:pPr>
            <w:r>
              <w:rPr>
                <w:rFonts w:ascii="Arial" w:hAnsi="Arial"/>
                <w:sz w:val="20"/>
              </w:rPr>
              <w:t>Street tree planting</w:t>
            </w:r>
          </w:p>
        </w:tc>
        <w:tc>
          <w:tcPr>
            <w:tcW w:type="dxa" w:w="1872"/>
            <w:shd w:val="clear" w:color="auto" w:fill="F5F5F5"/>
          </w:tcPr>
          <w:p>
            <w:pPr>
              <w:jc w:val="center"/>
            </w:pPr>
            <w:r>
              <w:rPr>
                <w:rFonts w:ascii="Arial" w:hAnsi="Arial"/>
                <w:sz w:val="20"/>
              </w:rPr>
              <w:t>$20k–$60k</w:t>
            </w:r>
          </w:p>
        </w:tc>
        <w:tc>
          <w:tcPr>
            <w:tcW w:type="dxa" w:w="1872"/>
            <w:shd w:val="clear" w:color="auto" w:fill="F5F5F5"/>
          </w:tcPr>
          <w:p>
            <w:pPr>
              <w:jc w:val="center"/>
            </w:pPr>
            <w:r>
              <w:rPr>
                <w:rFonts w:ascii="Arial" w:hAnsi="Arial"/>
                <w:sz w:val="20"/>
              </w:rPr>
              <w:t>&lt; 1 year</w:t>
            </w:r>
          </w:p>
        </w:tc>
        <w:tc>
          <w:tcPr>
            <w:tcW w:type="dxa" w:w="1872"/>
            <w:shd w:val="clear" w:color="auto" w:fill="F5F5F5"/>
          </w:tcPr>
          <w:p>
            <w:pPr>
              <w:jc w:val="center"/>
            </w:pPr>
            <w:r>
              <w:rPr>
                <w:rFonts w:ascii="Arial" w:hAnsi="Arial"/>
                <w:sz w:val="20"/>
              </w:rPr>
              <w:t>HS3: 3.0→~5.5 (critical deficit)</w:t>
            </w:r>
          </w:p>
        </w:tc>
      </w:tr>
    </w:tbl>
    <w:p>
      <w:pPr>
        <w:pStyle w:val="Heading2"/>
        <w:spacing w:before="160" w:after="60" w:lineRule="auto" w:line="276"/>
      </w:pPr>
      <w:r>
        <w:rPr>
          <w:rFonts w:ascii="Arial" w:hAnsi="Arial"/>
          <w:b/>
          <w:color w:val="1A1A1A"/>
          <w:sz w:val="22"/>
        </w:rPr>
        <w:t>3.6  D6 — Interactive Dashboard</w:t>
      </w:r>
    </w:p>
    <w:p>
      <w:pPr>
        <w:spacing w:before="0" w:after="120" w:lineRule="auto" w:line="276"/>
        <w:ind w:left="0"/>
        <w:jc w:val="left"/>
      </w:pPr>
      <w:r>
        <w:rPr>
          <w:rFonts w:ascii="Arial" w:hAnsi="Arial"/>
          <w:b w:val="0"/>
          <w:i w:val="0"/>
          <w:color w:val="1A1A1A"/>
          <w:sz w:val="22"/>
        </w:rPr>
        <w:t>The GitHub Pages dashboard (docs/) presents all findings to non-technical stakeholders with seven sections: Hero stats, Map, School Assessments, What-If Scenario Explorer, Data Analysis, Prioritised Interventions, and About/Methodology. The map layer includes six toggleable layers: school markers, crash spots (hover/click popups with crash details), walk network, cycling network (OSM), crash density heatmap, and SEIFA catchment circles. All 30 scenario results are pre-computed and embedded in data.json for instant client-side rendering with no backend. Access: github.com/s4111078-sidd/300-000-School-Streets (GitHub Pages: s4111078-sidd.github.io/300-000-School-Streets/).</w:t>
      </w:r>
    </w:p>
    <w:p>
      <w:r>
        <w:br w:type="page"/>
      </w:r>
    </w:p>
    <w:p>
      <w:pPr>
        <w:pStyle w:val="Heading1"/>
        <w:spacing w:before="240" w:after="80" w:lineRule="auto" w:line="276"/>
        <w:jc w:val="left"/>
      </w:pPr>
      <w:r>
        <w:rPr>
          <w:rFonts w:ascii="Arial" w:hAnsi="Arial"/>
          <w:b/>
          <w:color w:val="1E8449"/>
          <w:sz w:val="26"/>
        </w:rPr>
        <w:t>4.  Conclusion</w:t>
      </w:r>
    </w:p>
    <w:p>
      <w:pPr>
        <w:spacing w:before="0" w:after="120" w:lineRule="auto" w:line="276"/>
        <w:ind w:left="0"/>
        <w:jc w:val="left"/>
      </w:pPr>
      <w:r>
        <w:rPr>
          <w:rFonts w:ascii="Arial" w:hAnsi="Arial"/>
          <w:b w:val="0"/>
          <w:i w:val="0"/>
          <w:color w:val="1A1A1A"/>
          <w:sz w:val="22"/>
        </w:rPr>
        <w:t>This project delivered a proof-of-concept Healthy Streets assessment pipeline for secondary school walking routes in Darebin, Victoria. All seven deliverables were completed. The key findings are: (1) all three assessed schools present safety deficiencies — Preston HS is Major (no pedestrian crossing, HS2 = 0.4), Reservoir HS and William Ruthven SC are Moderate; (2) socioeconomic disadvantage correlates strongly with poorer safety outcomes (r = 0.84), supporting equity-weighted investment; (3) open data can partially automate HS assessment — HS7 and HS10 do not require field surveys; (4) Darebin LGA crashes are rising sharply (+192%, 2021–2024) peaking at the school pickup hour; and (5) targeted low-cost interventions (signalised crossing at Preston HS, 40 km/h zone at Reservoir HS) can immediately improve severity classifications.</w:t>
      </w:r>
    </w:p>
    <w:p>
      <w:pPr>
        <w:pStyle w:val="Heading2"/>
        <w:spacing w:before="160" w:after="60" w:lineRule="auto" w:line="276"/>
      </w:pPr>
      <w:r>
        <w:rPr>
          <w:rFonts w:ascii="Arial" w:hAnsi="Arial"/>
          <w:b/>
          <w:color w:val="1A1A1A"/>
          <w:sz w:val="22"/>
        </w:rPr>
        <w:t>Future Directions</w:t>
      </w:r>
    </w:p>
    <w:p>
      <w:pPr>
        <w:pStyle w:val="ListBullet"/>
        <w:spacing w:before="0" w:after="60" w:lineRule="auto" w:line="276"/>
        <w:ind w:left="283"/>
      </w:pPr>
      <w:r>
        <w:rPr>
          <w:rFonts w:ascii="Arial" w:hAnsi="Arial"/>
          <w:sz w:val="22"/>
        </w:rPr>
        <w:t>Scale to all 200+ Melbourne secondary schools using the open-data pipeline for triage — the ML model improves substantially with more training schools.</w:t>
      </w:r>
    </w:p>
    <w:p>
      <w:pPr>
        <w:pStyle w:val="ListBullet"/>
        <w:spacing w:before="0" w:after="60" w:lineRule="auto" w:line="276"/>
        <w:ind w:left="283"/>
      </w:pPr>
      <w:r>
        <w:rPr>
          <w:rFonts w:ascii="Arial" w:hAnsi="Arial"/>
          <w:sz w:val="22"/>
        </w:rPr>
        <w:t>Connect the dashboard to live data feeds (VicRoads crash API, EPA AirWatch) to eliminate the manual prepare_data.py rebuild step.</w:t>
      </w:r>
    </w:p>
    <w:p>
      <w:pPr>
        <w:pStyle w:val="ListBullet"/>
        <w:spacing w:before="0" w:after="60" w:lineRule="auto" w:line="276"/>
        <w:ind w:left="283"/>
      </w:pPr>
      <w:r>
        <w:rPr>
          <w:rFonts w:ascii="Arial" w:hAnsi="Arial"/>
          <w:sz w:val="22"/>
        </w:rPr>
        <w:t>Extend the ML model to incorporate satellite imagery (tree canopy, footpath condition) via computer vision — addressing the HS1, HS3, and HS4 prediction gaps.</w:t>
      </w:r>
    </w:p>
    <w:p>
      <w:pPr>
        <w:pStyle w:val="ListBullet"/>
        <w:spacing w:before="0" w:after="60" w:lineRule="auto" w:line="276"/>
        <w:ind w:left="283"/>
      </w:pPr>
      <w:r>
        <w:rPr>
          <w:rFonts w:ascii="Arial" w:hAnsi="Arial"/>
          <w:sz w:val="22"/>
        </w:rPr>
        <w:t>Conduct longitudinal assessment: re-run the pipeline annually to measure the impact of implemented interventions on HS scores and crash rates.</w:t>
      </w:r>
    </w:p>
    <w:p>
      <w:pPr>
        <w:pStyle w:val="ListBullet"/>
        <w:spacing w:before="0" w:after="60" w:lineRule="auto" w:line="276"/>
        <w:ind w:left="283"/>
      </w:pPr>
      <w:r>
        <w:rPr>
          <w:rFonts w:ascii="Arial" w:hAnsi="Arial"/>
          <w:sz w:val="22"/>
        </w:rPr>
        <w:t>Expand to cycling-specific scoring (Mekuria et al., 2012 low-stress network methodology) for a fuller active travel assessment.</w:t>
      </w:r>
    </w:p>
    <w:p>
      <w:pPr>
        <w:pStyle w:val="Heading1"/>
        <w:spacing w:before="240" w:after="80" w:lineRule="auto" w:line="276"/>
        <w:jc w:val="left"/>
      </w:pPr>
      <w:r>
        <w:rPr>
          <w:rFonts w:ascii="Arial" w:hAnsi="Arial"/>
          <w:b/>
          <w:color w:val="1E8449"/>
          <w:sz w:val="26"/>
        </w:rPr>
        <w:t>References</w:t>
      </w:r>
    </w:p>
    <w:p>
      <w:pPr>
        <w:pStyle w:val="ListNumber"/>
        <w:spacing w:before="0" w:after="60" w:lineRule="auto" w:line="276"/>
      </w:pPr>
      <w:r>
        <w:rPr>
          <w:rFonts w:ascii="Arial" w:hAnsi="Arial"/>
          <w:sz w:val="20"/>
        </w:rPr>
        <w:t>Australian Bureau of Statistics (ABS). (2021). Census of Population and Housing. Commonwealth of Australia.</w:t>
      </w:r>
    </w:p>
    <w:p>
      <w:pPr>
        <w:pStyle w:val="ListNumber"/>
        <w:spacing w:before="0" w:after="60" w:lineRule="auto" w:line="276"/>
      </w:pPr>
      <w:r>
        <w:rPr>
          <w:rFonts w:ascii="Arial" w:hAnsi="Arial"/>
          <w:sz w:val="20"/>
        </w:rPr>
        <w:t>Australian Bureau of Statistics (ABS). (2021). SEIFA 2021 — Socio-Economic Indexes for Areas. Commonwealth of Australia.</w:t>
      </w:r>
    </w:p>
    <w:p>
      <w:pPr>
        <w:pStyle w:val="ListNumber"/>
        <w:spacing w:before="0" w:after="60" w:lineRule="auto" w:line="276"/>
      </w:pPr>
      <w:r>
        <w:rPr>
          <w:rFonts w:ascii="Arial" w:hAnsi="Arial"/>
          <w:sz w:val="20"/>
        </w:rPr>
        <w:t>Giles-Corti, B., et al. (2016). City planning and population health: A global challenge. The Lancet, 388(10062), 2912–2924.</w:t>
      </w:r>
    </w:p>
    <w:p>
      <w:pPr>
        <w:pStyle w:val="ListNumber"/>
        <w:spacing w:before="0" w:after="60" w:lineRule="auto" w:line="276"/>
      </w:pPr>
      <w:r>
        <w:rPr>
          <w:rFonts w:ascii="Arial" w:hAnsi="Arial"/>
          <w:sz w:val="20"/>
        </w:rPr>
        <w:t>Mekuria, M., Furth, P., &amp; Nixon, H. (2012). Low-stress bicycling and network connectivity. Mineta Transportation Institute Report 11-19.</w:t>
      </w:r>
    </w:p>
    <w:p>
      <w:pPr>
        <w:pStyle w:val="ListNumber"/>
        <w:spacing w:before="0" w:after="60" w:lineRule="auto" w:line="276"/>
      </w:pPr>
      <w:r>
        <w:rPr>
          <w:rFonts w:ascii="Arial" w:hAnsi="Arial"/>
          <w:sz w:val="20"/>
        </w:rPr>
        <w:t>Pedregosa, F., et al. (2011). Scikit-learn: Machine learning in Python. JMLR, 12, 2825–2830.</w:t>
      </w:r>
    </w:p>
    <w:p>
      <w:pPr>
        <w:pStyle w:val="ListNumber"/>
        <w:spacing w:before="0" w:after="60" w:lineRule="auto" w:line="276"/>
      </w:pPr>
      <w:r>
        <w:rPr>
          <w:rFonts w:ascii="Arial" w:hAnsi="Arial"/>
          <w:sz w:val="20"/>
        </w:rPr>
        <w:t>Regen Melbourne. (2024). Streets Values. regen.melbourne/gazette/regen-streets-values</w:t>
      </w:r>
    </w:p>
    <w:p>
      <w:pPr>
        <w:pStyle w:val="ListNumber"/>
        <w:spacing w:before="0" w:after="60" w:lineRule="auto" w:line="276"/>
      </w:pPr>
      <w:r>
        <w:rPr>
          <w:rFonts w:ascii="Arial" w:hAnsi="Arial"/>
          <w:sz w:val="20"/>
        </w:rPr>
        <w:t>Saunders, L. (2015). Healthy Streets for London: Prioritising walking, cycling and public transport to create a healthy city. Transport for London.</w:t>
      </w:r>
    </w:p>
    <w:p>
      <w:pPr>
        <w:pStyle w:val="ListNumber"/>
        <w:spacing w:before="0" w:after="60" w:lineRule="auto" w:line="276"/>
      </w:pPr>
      <w:r>
        <w:rPr>
          <w:rFonts w:ascii="Arial" w:hAnsi="Arial"/>
          <w:sz w:val="20"/>
        </w:rPr>
        <w:t>VicRoads. (2025). Victoria Road Crash Data. Department of Transport and Planning. data.vic.gov.au</w:t>
      </w:r>
    </w:p>
    <w:p>
      <w:pPr>
        <w:pStyle w:val="ListNumber"/>
        <w:spacing w:before="0" w:after="60" w:lineRule="auto" w:line="276"/>
      </w:pPr>
      <w:r>
        <w:rPr>
          <w:rFonts w:ascii="Arial" w:hAnsi="Arial"/>
          <w:sz w:val="20"/>
        </w:rPr>
        <w:t>Crime Statistics Agency Victoria. (2024). Recorded Offences by Suburb. crimestatistics.vic.gov.au</w:t>
      </w:r>
    </w:p>
    <w:p>
      <w:pPr>
        <w:pStyle w:val="ListNumber"/>
        <w:spacing w:before="0" w:after="60" w:lineRule="auto" w:line="276"/>
      </w:pPr>
      <w:r>
        <w:rPr>
          <w:rFonts w:ascii="Arial" w:hAnsi="Arial"/>
          <w:sz w:val="20"/>
        </w:rPr>
        <w:t>EPA Victoria. (2024). AirWatch — Alphington Monitoring Station (Site 10102). epa.vic.gov.au</w:t>
      </w:r>
    </w:p>
    <w:p>
      <w:pPr>
        <w:pStyle w:val="ListNumber"/>
        <w:spacing w:before="0" w:after="60" w:lineRule="auto" w:line="276"/>
      </w:pPr>
      <w:r>
        <w:rPr>
          <w:rFonts w:ascii="Arial" w:hAnsi="Arial"/>
          <w:sz w:val="20"/>
        </w:rPr>
        <w:t>OpenStreetMap contributors. (2024). OpenStreetMap. openstreetmap.org</w:t>
      </w:r>
    </w:p>
    <w:p>
      <w:r>
        <w:br w:type="page"/>
      </w:r>
    </w:p>
    <w:p>
      <w:pPr>
        <w:pStyle w:val="Heading1"/>
        <w:spacing w:before="240" w:after="80" w:lineRule="auto" w:line="276"/>
        <w:jc w:val="left"/>
      </w:pPr>
      <w:r>
        <w:rPr>
          <w:rFonts w:ascii="Arial" w:hAnsi="Arial"/>
          <w:b/>
          <w:color w:val="1E8449"/>
          <w:sz w:val="26"/>
        </w:rPr>
        <w:t>Appendix A — Code and Project Management</w:t>
      </w:r>
    </w:p>
    <w:p>
      <w:pPr>
        <w:spacing w:before="0" w:after="160" w:lineRule="auto" w:line="276"/>
        <w:ind w:left="0"/>
        <w:jc w:val="left"/>
      </w:pPr>
      <w:r>
        <w:rPr>
          <w:rFonts w:ascii="Arial" w:hAnsi="Arial"/>
          <w:b w:val="0"/>
          <w:i/>
          <w:color w:val="555555"/>
          <w:sz w:val="22"/>
        </w:rPr>
        <w:t>(Appendix does not count toward the 10-page limit.)</w:t>
      </w:r>
    </w:p>
    <w:p>
      <w:pPr>
        <w:pStyle w:val="Heading2"/>
        <w:spacing w:before="160" w:after="60" w:lineRule="auto" w:line="276"/>
      </w:pPr>
      <w:r>
        <w:rPr>
          <w:rFonts w:ascii="Arial" w:hAnsi="Arial"/>
          <w:b/>
          <w:color w:val="1A1A1A"/>
          <w:sz w:val="22"/>
        </w:rPr>
        <w:t>A.1  Code Repository</w:t>
      </w:r>
    </w:p>
    <w:tbl>
      <w:tblPr>
        <w:tblStyle w:val="TableGrid"/>
        <w:tblW w:type="auto" w:w="0"/>
        <w:tblLook w:firstColumn="1" w:firstRow="1" w:lastColumn="0" w:lastRow="0" w:noHBand="0" w:noVBand="1" w:val="04A0"/>
      </w:tblPr>
      <w:tblGrid>
        <w:gridCol w:w="4680"/>
        <w:gridCol w:w="4680"/>
      </w:tblGrid>
      <w:tr>
        <w:tc>
          <w:tcPr>
            <w:tcW w:type="dxa" w:w="4680"/>
            <w:shd w:val="clear" w:color="auto" w:fill="1E8449"/>
          </w:tcPr>
          <w:p>
            <w:pPr>
              <w:jc w:val="center"/>
            </w:pPr>
            <w:r>
              <w:rPr>
                <w:rFonts w:ascii="Arial" w:hAnsi="Arial"/>
                <w:b/>
                <w:color w:val="FFFFFF"/>
                <w:sz w:val="20"/>
              </w:rPr>
              <w:t>Item</w:t>
            </w:r>
          </w:p>
        </w:tc>
        <w:tc>
          <w:tcPr>
            <w:tcW w:type="dxa" w:w="4680"/>
            <w:shd w:val="clear" w:color="auto" w:fill="1E8449"/>
          </w:tcPr>
          <w:p>
            <w:pPr>
              <w:jc w:val="center"/>
            </w:pPr>
            <w:r>
              <w:rPr>
                <w:rFonts w:ascii="Arial" w:hAnsi="Arial"/>
                <w:b/>
                <w:color w:val="FFFFFF"/>
                <w:sz w:val="20"/>
              </w:rPr>
              <w:t>Details</w:t>
            </w:r>
          </w:p>
        </w:tc>
      </w:tr>
      <w:tr>
        <w:tc>
          <w:tcPr>
            <w:tcW w:type="dxa" w:w="4680"/>
            <w:shd w:val="clear" w:color="auto" w:fill="F5F5F5"/>
          </w:tcPr>
          <w:p>
            <w:pPr>
              <w:jc w:val="center"/>
            </w:pPr>
            <w:r>
              <w:rPr>
                <w:rFonts w:ascii="Arial" w:hAnsi="Arial"/>
                <w:sz w:val="20"/>
              </w:rPr>
              <w:t>GitHub Repository</w:t>
            </w:r>
          </w:p>
        </w:tc>
        <w:tc>
          <w:tcPr>
            <w:tcW w:type="dxa" w:w="4680"/>
            <w:shd w:val="clear" w:color="auto" w:fill="F5F5F5"/>
          </w:tcPr>
          <w:p>
            <w:pPr>
              <w:jc w:val="center"/>
            </w:pPr>
            <w:r>
              <w:rPr>
                <w:rFonts w:ascii="Arial" w:hAnsi="Arial"/>
                <w:sz w:val="20"/>
              </w:rPr>
              <w:t>github.com/s4111078-sidd/300-000-School-Streets</w:t>
            </w:r>
          </w:p>
        </w:tc>
      </w:tr>
      <w:tr>
        <w:tc>
          <w:tcPr>
            <w:tcW w:type="dxa" w:w="4680"/>
          </w:tcPr>
          <w:p>
            <w:pPr>
              <w:jc w:val="center"/>
            </w:pPr>
            <w:r>
              <w:rPr>
                <w:rFonts w:ascii="Arial" w:hAnsi="Arial"/>
                <w:sz w:val="20"/>
              </w:rPr>
              <w:t>Branch (development)</w:t>
            </w:r>
          </w:p>
        </w:tc>
        <w:tc>
          <w:tcPr>
            <w:tcW w:type="dxa" w:w="4680"/>
          </w:tcPr>
          <w:p>
            <w:pPr>
              <w:jc w:val="center"/>
            </w:pPr>
            <w:r>
              <w:rPr>
                <w:rFonts w:ascii="Arial" w:hAnsi="Arial"/>
                <w:sz w:val="20"/>
              </w:rPr>
              <w:t>rish_development</w:t>
            </w:r>
          </w:p>
        </w:tc>
      </w:tr>
      <w:tr>
        <w:tc>
          <w:tcPr>
            <w:tcW w:type="dxa" w:w="4680"/>
            <w:shd w:val="clear" w:color="auto" w:fill="F5F5F5"/>
          </w:tcPr>
          <w:p>
            <w:pPr>
              <w:jc w:val="center"/>
            </w:pPr>
            <w:r>
              <w:rPr>
                <w:rFonts w:ascii="Arial" w:hAnsi="Arial"/>
                <w:sz w:val="20"/>
              </w:rPr>
              <w:t>Branch (production)</w:t>
            </w:r>
          </w:p>
        </w:tc>
        <w:tc>
          <w:tcPr>
            <w:tcW w:type="dxa" w:w="4680"/>
            <w:shd w:val="clear" w:color="auto" w:fill="F5F5F5"/>
          </w:tcPr>
          <w:p>
            <w:pPr>
              <w:jc w:val="center"/>
            </w:pPr>
            <w:r>
              <w:rPr>
                <w:rFonts w:ascii="Arial" w:hAnsi="Arial"/>
                <w:sz w:val="20"/>
              </w:rPr>
              <w:t>main</w:t>
            </w:r>
          </w:p>
        </w:tc>
      </w:tr>
      <w:tr>
        <w:tc>
          <w:tcPr>
            <w:tcW w:type="dxa" w:w="4680"/>
          </w:tcPr>
          <w:p>
            <w:pPr>
              <w:jc w:val="center"/>
            </w:pPr>
            <w:r>
              <w:rPr>
                <w:rFonts w:ascii="Arial" w:hAnsi="Arial"/>
                <w:sz w:val="20"/>
              </w:rPr>
              <w:t>Dashboard (live)</w:t>
            </w:r>
          </w:p>
        </w:tc>
        <w:tc>
          <w:tcPr>
            <w:tcW w:type="dxa" w:w="4680"/>
          </w:tcPr>
          <w:p>
            <w:pPr>
              <w:jc w:val="center"/>
            </w:pPr>
            <w:r>
              <w:rPr>
                <w:rFonts w:ascii="Arial" w:hAnsi="Arial"/>
                <w:sz w:val="20"/>
              </w:rPr>
              <w:t>s4111078-sidd.github.io/300-000-School-Streets/</w:t>
            </w:r>
          </w:p>
        </w:tc>
      </w:tr>
      <w:tr>
        <w:tc>
          <w:tcPr>
            <w:tcW w:type="dxa" w:w="4680"/>
            <w:shd w:val="clear" w:color="auto" w:fill="F5F5F5"/>
          </w:tcPr>
          <w:p>
            <w:pPr>
              <w:jc w:val="center"/>
            </w:pPr>
            <w:r>
              <w:rPr>
                <w:rFonts w:ascii="Arial" w:hAnsi="Arial"/>
                <w:sz w:val="20"/>
              </w:rPr>
              <w:t>Language</w:t>
            </w:r>
          </w:p>
        </w:tc>
        <w:tc>
          <w:tcPr>
            <w:tcW w:type="dxa" w:w="4680"/>
            <w:shd w:val="clear" w:color="auto" w:fill="F5F5F5"/>
          </w:tcPr>
          <w:p>
            <w:pPr>
              <w:jc w:val="center"/>
            </w:pPr>
            <w:r>
              <w:rPr>
                <w:rFonts w:ascii="Arial" w:hAnsi="Arial"/>
                <w:sz w:val="20"/>
              </w:rPr>
              <w:t>Python 3.10+</w:t>
            </w:r>
          </w:p>
        </w:tc>
      </w:tr>
      <w:tr>
        <w:tc>
          <w:tcPr>
            <w:tcW w:type="dxa" w:w="4680"/>
          </w:tcPr>
          <w:p>
            <w:pPr>
              <w:jc w:val="center"/>
            </w:pPr>
            <w:r>
              <w:rPr>
                <w:rFonts w:ascii="Arial" w:hAnsi="Arial"/>
                <w:sz w:val="20"/>
              </w:rPr>
              <w:t>Setup</w:t>
            </w:r>
          </w:p>
        </w:tc>
        <w:tc>
          <w:tcPr>
            <w:tcW w:type="dxa" w:w="4680"/>
          </w:tcPr>
          <w:p>
            <w:pPr>
              <w:jc w:val="center"/>
            </w:pPr>
            <w:r>
              <w:rPr>
                <w:rFonts w:ascii="Arial" w:hAnsi="Arial"/>
                <w:sz w:val="20"/>
              </w:rPr>
              <w:t>pip install -r requirements.txt</w:t>
            </w:r>
          </w:p>
        </w:tc>
      </w:tr>
      <w:tr>
        <w:tc>
          <w:tcPr>
            <w:tcW w:type="dxa" w:w="4680"/>
            <w:shd w:val="clear" w:color="auto" w:fill="F5F5F5"/>
          </w:tcPr>
          <w:p>
            <w:pPr>
              <w:jc w:val="center"/>
            </w:pPr>
            <w:r>
              <w:rPr>
                <w:rFonts w:ascii="Arial" w:hAnsi="Arial"/>
                <w:sz w:val="20"/>
              </w:rPr>
              <w:t>Run pipeline</w:t>
            </w:r>
          </w:p>
        </w:tc>
        <w:tc>
          <w:tcPr>
            <w:tcW w:type="dxa" w:w="4680"/>
            <w:shd w:val="clear" w:color="auto" w:fill="F5F5F5"/>
          </w:tcPr>
          <w:p>
            <w:pPr>
              <w:jc w:val="center"/>
            </w:pPr>
            <w:r>
              <w:rPr>
                <w:rFonts w:ascii="Arial" w:hAnsi="Arial"/>
                <w:sz w:val="20"/>
              </w:rPr>
              <w:t>python run_all.py</w:t>
            </w:r>
          </w:p>
        </w:tc>
      </w:tr>
      <w:tr>
        <w:tc>
          <w:tcPr>
            <w:tcW w:type="dxa" w:w="4680"/>
          </w:tcPr>
          <w:p>
            <w:pPr>
              <w:jc w:val="center"/>
            </w:pPr>
            <w:r>
              <w:rPr>
                <w:rFonts w:ascii="Arial" w:hAnsi="Arial"/>
                <w:sz w:val="20"/>
              </w:rPr>
              <w:t>Run dashboard build</w:t>
            </w:r>
          </w:p>
        </w:tc>
        <w:tc>
          <w:tcPr>
            <w:tcW w:type="dxa" w:w="4680"/>
          </w:tcPr>
          <w:p>
            <w:pPr>
              <w:jc w:val="center"/>
            </w:pPr>
            <w:r>
              <w:rPr>
                <w:rFonts w:ascii="Arial" w:hAnsi="Arial"/>
                <w:sz w:val="20"/>
              </w:rPr>
              <w:t>python prepare_data.py</w:t>
            </w:r>
          </w:p>
        </w:tc>
      </w:tr>
    </w:tbl>
    <w:p>
      <w:pPr>
        <w:pStyle w:val="Heading2"/>
        <w:spacing w:before="160" w:after="60" w:lineRule="auto" w:line="276"/>
      </w:pPr>
      <w:r>
        <w:rPr>
          <w:rFonts w:ascii="Arial" w:hAnsi="Arial"/>
          <w:b/>
          <w:color w:val="1A1A1A"/>
          <w:sz w:val="22"/>
        </w:rPr>
        <w:t>A.2  Project Management</w:t>
      </w:r>
    </w:p>
    <w:p>
      <w:pPr>
        <w:spacing w:before="80" w:after="80" w:lineRule="auto" w:line="276"/>
        <w:jc w:val="left"/>
      </w:pPr>
      <w:r>
        <w:rPr>
          <w:rFonts w:ascii="Arial" w:hAnsi="Arial"/>
          <w:i/>
          <w:color w:val="997700"/>
          <w:sz w:val="22"/>
        </w:rPr>
        <w:t>[ Add your project management tool details here — e.g. Jira board URL / Trello board URL / GitHub Projects link ]</w:t>
      </w:r>
    </w:p>
    <w:p>
      <w:pPr>
        <w:spacing w:before="0" w:after="120" w:lineRule="auto" w:line="276"/>
        <w:ind w:left="0"/>
        <w:jc w:val="left"/>
      </w:pPr>
      <w:r>
        <w:rPr>
          <w:rFonts w:ascii="Arial" w:hAnsi="Arial"/>
          <w:b w:val="0"/>
          <w:i/>
          <w:color w:val="555555"/>
          <w:sz w:val="22"/>
        </w:rPr>
        <w:t>Sprint cadence, task tracking, and issue management were conducted via [tool name]. Meeting notes and sprint logs are accessible at [link].</w:t>
      </w:r>
    </w:p>
    <w:p>
      <w:r>
        <w:br w:type="page"/>
      </w:r>
    </w:p>
    <w:p>
      <w:pPr>
        <w:pStyle w:val="Heading1"/>
        <w:spacing w:before="240" w:after="80" w:lineRule="auto" w:line="276"/>
        <w:jc w:val="left"/>
      </w:pPr>
      <w:r>
        <w:rPr>
          <w:rFonts w:ascii="Arial" w:hAnsi="Arial"/>
          <w:b/>
          <w:color w:val="1E8449"/>
          <w:sz w:val="26"/>
        </w:rPr>
        <w:t>Appendix B — Roles and Responsibilities</w:t>
      </w:r>
    </w:p>
    <w:p>
      <w:pPr>
        <w:pStyle w:val="Heading2"/>
        <w:spacing w:before="160" w:after="60" w:lineRule="auto" w:line="276"/>
      </w:pPr>
      <w:r>
        <w:rPr>
          <w:rFonts w:ascii="Arial" w:hAnsi="Arial"/>
          <w:b/>
          <w:color w:val="1A1A1A"/>
          <w:sz w:val="22"/>
        </w:rPr>
        <w:t>B.1  Team Members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8449"/>
          </w:tcPr>
          <w:p>
            <w:pPr>
              <w:jc w:val="center"/>
            </w:pPr>
            <w:r>
              <w:rPr>
                <w:rFonts w:ascii="Arial" w:hAnsi="Arial"/>
                <w:b/>
                <w:color w:val="FFFFFF"/>
                <w:sz w:val="20"/>
              </w:rPr>
              <w:t>Name</w:t>
            </w:r>
          </w:p>
        </w:tc>
        <w:tc>
          <w:tcPr>
            <w:tcW w:type="dxa" w:w="3120"/>
            <w:shd w:val="clear" w:color="auto" w:fill="1E8449"/>
          </w:tcPr>
          <w:p>
            <w:pPr>
              <w:jc w:val="center"/>
            </w:pPr>
            <w:r>
              <w:rPr>
                <w:rFonts w:ascii="Arial" w:hAnsi="Arial"/>
                <w:b/>
                <w:color w:val="FFFFFF"/>
                <w:sz w:val="20"/>
              </w:rPr>
              <w:t>Student ID</w:t>
            </w:r>
          </w:p>
        </w:tc>
        <w:tc>
          <w:tcPr>
            <w:tcW w:type="dxa" w:w="3120"/>
            <w:shd w:val="clear" w:color="auto" w:fill="1E8449"/>
          </w:tcPr>
          <w:p>
            <w:pPr>
              <w:jc w:val="center"/>
            </w:pPr>
            <w:r>
              <w:rPr>
                <w:rFonts w:ascii="Arial" w:hAnsi="Arial"/>
                <w:b/>
                <w:color w:val="FFFFFF"/>
                <w:sz w:val="20"/>
              </w:rPr>
              <w:t>Primary Role</w:t>
            </w:r>
          </w:p>
        </w:tc>
      </w:tr>
      <w:tr>
        <w:tc>
          <w:tcPr>
            <w:tcW w:type="dxa" w:w="3120"/>
            <w:shd w:val="clear" w:color="auto" w:fill="F5F5F5"/>
          </w:tcPr>
          <w:p>
            <w:pPr>
              <w:jc w:val="center"/>
            </w:pPr>
            <w:r>
              <w:rPr>
                <w:rFonts w:ascii="Arial" w:hAnsi="Arial"/>
                <w:sz w:val="20"/>
              </w:rPr>
              <w:t>Hishikesh Phukan</w:t>
            </w:r>
          </w:p>
        </w:tc>
        <w:tc>
          <w:tcPr>
            <w:tcW w:type="dxa" w:w="3120"/>
            <w:shd w:val="clear" w:color="auto" w:fill="F5F5F5"/>
          </w:tcPr>
          <w:p>
            <w:pPr>
              <w:jc w:val="center"/>
            </w:pPr>
            <w:r>
              <w:rPr>
                <w:rFonts w:ascii="Arial" w:hAnsi="Arial"/>
                <w:sz w:val="20"/>
              </w:rPr>
              <w:t>S4031214</w:t>
            </w:r>
          </w:p>
        </w:tc>
        <w:tc>
          <w:tcPr>
            <w:tcW w:type="dxa" w:w="3120"/>
            <w:shd w:val="clear" w:color="auto" w:fill="F5F5F5"/>
          </w:tcPr>
          <w:p>
            <w:pPr>
              <w:jc w:val="center"/>
            </w:pPr>
            <w:r>
              <w:rPr>
                <w:rFonts w:ascii="Arial" w:hAnsi="Arial"/>
                <w:sz w:val="20"/>
              </w:rPr>
              <w:t>[Fill in primary role]</w:t>
            </w:r>
          </w:p>
        </w:tc>
      </w:tr>
      <w:tr>
        <w:tc>
          <w:tcPr>
            <w:tcW w:type="dxa" w:w="3120"/>
          </w:tcPr>
          <w:p>
            <w:pPr>
              <w:jc w:val="center"/>
            </w:pPr>
            <w:r>
              <w:rPr>
                <w:rFonts w:ascii="Arial" w:hAnsi="Arial"/>
                <w:sz w:val="20"/>
              </w:rPr>
              <w:t>Reddy Pranay Vipparla</w:t>
            </w:r>
          </w:p>
        </w:tc>
        <w:tc>
          <w:tcPr>
            <w:tcW w:type="dxa" w:w="3120"/>
          </w:tcPr>
          <w:p>
            <w:pPr>
              <w:jc w:val="center"/>
            </w:pPr>
            <w:r>
              <w:rPr>
                <w:rFonts w:ascii="Arial" w:hAnsi="Arial"/>
                <w:sz w:val="20"/>
              </w:rPr>
              <w:t>S4112678</w:t>
            </w:r>
          </w:p>
        </w:tc>
        <w:tc>
          <w:tcPr>
            <w:tcW w:type="dxa" w:w="3120"/>
          </w:tcPr>
          <w:p>
            <w:pPr>
              <w:jc w:val="center"/>
            </w:pPr>
            <w:r>
              <w:rPr>
                <w:rFonts w:ascii="Arial" w:hAnsi="Arial"/>
                <w:sz w:val="20"/>
              </w:rPr>
              <w:t>[Fill in primary role]</w:t>
            </w:r>
          </w:p>
        </w:tc>
      </w:tr>
      <w:tr>
        <w:tc>
          <w:tcPr>
            <w:tcW w:type="dxa" w:w="3120"/>
            <w:shd w:val="clear" w:color="auto" w:fill="F5F5F5"/>
          </w:tcPr>
          <w:p>
            <w:pPr>
              <w:jc w:val="center"/>
            </w:pPr>
            <w:r>
              <w:rPr>
                <w:rFonts w:ascii="Arial" w:hAnsi="Arial"/>
                <w:sz w:val="20"/>
              </w:rPr>
              <w:t>Venkata Nagendra Anamala</w:t>
            </w:r>
          </w:p>
        </w:tc>
        <w:tc>
          <w:tcPr>
            <w:tcW w:type="dxa" w:w="3120"/>
            <w:shd w:val="clear" w:color="auto" w:fill="F5F5F5"/>
          </w:tcPr>
          <w:p>
            <w:pPr>
              <w:jc w:val="center"/>
            </w:pPr>
            <w:r>
              <w:rPr>
                <w:rFonts w:ascii="Arial" w:hAnsi="Arial"/>
                <w:sz w:val="20"/>
              </w:rPr>
              <w:t>S4024233</w:t>
            </w:r>
          </w:p>
        </w:tc>
        <w:tc>
          <w:tcPr>
            <w:tcW w:type="dxa" w:w="3120"/>
            <w:shd w:val="clear" w:color="auto" w:fill="F5F5F5"/>
          </w:tcPr>
          <w:p>
            <w:pPr>
              <w:jc w:val="center"/>
            </w:pPr>
            <w:r>
              <w:rPr>
                <w:rFonts w:ascii="Arial" w:hAnsi="Arial"/>
                <w:sz w:val="20"/>
              </w:rPr>
              <w:t>[Fill in primary role]</w:t>
            </w:r>
          </w:p>
        </w:tc>
      </w:tr>
      <w:tr>
        <w:tc>
          <w:tcPr>
            <w:tcW w:type="dxa" w:w="3120"/>
          </w:tcPr>
          <w:p>
            <w:pPr>
              <w:jc w:val="center"/>
            </w:pPr>
            <w:r>
              <w:rPr>
                <w:rFonts w:ascii="Arial" w:hAnsi="Arial"/>
                <w:sz w:val="20"/>
              </w:rPr>
              <w:t>Siddhartha Ananthula</w:t>
            </w:r>
          </w:p>
        </w:tc>
        <w:tc>
          <w:tcPr>
            <w:tcW w:type="dxa" w:w="3120"/>
          </w:tcPr>
          <w:p>
            <w:pPr>
              <w:jc w:val="center"/>
            </w:pPr>
            <w:r>
              <w:rPr>
                <w:rFonts w:ascii="Arial" w:hAnsi="Arial"/>
                <w:sz w:val="20"/>
              </w:rPr>
              <w:t>S4111078</w:t>
            </w:r>
          </w:p>
        </w:tc>
        <w:tc>
          <w:tcPr>
            <w:tcW w:type="dxa" w:w="3120"/>
          </w:tcPr>
          <w:p>
            <w:pPr>
              <w:jc w:val="center"/>
            </w:pPr>
            <w:r>
              <w:rPr>
                <w:rFonts w:ascii="Arial" w:hAnsi="Arial"/>
                <w:sz w:val="20"/>
              </w:rPr>
              <w:t>[Fill in primary role]</w:t>
            </w:r>
          </w:p>
        </w:tc>
      </w:tr>
      <w:tr>
        <w:tc>
          <w:tcPr>
            <w:tcW w:type="dxa" w:w="3120"/>
            <w:shd w:val="clear" w:color="auto" w:fill="F5F5F5"/>
          </w:tcPr>
          <w:p>
            <w:pPr>
              <w:jc w:val="center"/>
            </w:pPr>
            <w:r>
              <w:rPr>
                <w:rFonts w:ascii="Arial" w:hAnsi="Arial"/>
                <w:sz w:val="20"/>
              </w:rPr>
              <w:t>Sammer Yadav</w:t>
            </w:r>
          </w:p>
        </w:tc>
        <w:tc>
          <w:tcPr>
            <w:tcW w:type="dxa" w:w="3120"/>
            <w:shd w:val="clear" w:color="auto" w:fill="F5F5F5"/>
          </w:tcPr>
          <w:p>
            <w:pPr>
              <w:jc w:val="center"/>
            </w:pPr>
            <w:r>
              <w:rPr>
                <w:rFonts w:ascii="Arial" w:hAnsi="Arial"/>
                <w:sz w:val="20"/>
              </w:rPr>
              <w:t>S4038689</w:t>
            </w:r>
          </w:p>
        </w:tc>
        <w:tc>
          <w:tcPr>
            <w:tcW w:type="dxa" w:w="3120"/>
            <w:shd w:val="clear" w:color="auto" w:fill="F5F5F5"/>
          </w:tcPr>
          <w:p>
            <w:pPr>
              <w:jc w:val="center"/>
            </w:pPr>
            <w:r>
              <w:rPr>
                <w:rFonts w:ascii="Arial" w:hAnsi="Arial"/>
                <w:sz w:val="20"/>
              </w:rPr>
              <w:t>[Fill in primary role]</w:t>
            </w:r>
          </w:p>
        </w:tc>
      </w:tr>
    </w:tbl>
    <w:p>
      <w:pPr>
        <w:pStyle w:val="Heading2"/>
        <w:spacing w:before="160" w:after="60" w:lineRule="auto" w:line="276"/>
      </w:pPr>
      <w:r>
        <w:rPr>
          <w:rFonts w:ascii="Arial" w:hAnsi="Arial"/>
          <w:b/>
          <w:color w:val="1A1A1A"/>
          <w:sz w:val="22"/>
        </w:rPr>
        <w:t>B.2  Detailed Roles and Deliverables</w:t>
      </w:r>
    </w:p>
    <w:p>
      <w:pPr>
        <w:spacing w:before="80" w:after="80" w:lineRule="auto" w:line="276"/>
        <w:jc w:val="left"/>
      </w:pPr>
      <w:r>
        <w:rPr>
          <w:rFonts w:ascii="Arial" w:hAnsi="Arial"/>
          <w:i/>
          <w:color w:val="997700"/>
          <w:sz w:val="22"/>
        </w:rPr>
        <w:t>[ Fill in the detailed role breakdown for each team member below ]</w:t>
      </w:r>
    </w:p>
    <w:p>
      <w:pPr>
        <w:pStyle w:val="Heading3"/>
        <w:spacing w:before="120" w:after="40" w:lineRule="auto" w:line="276"/>
      </w:pPr>
      <w:r>
        <w:rPr>
          <w:rFonts w:ascii="Arial" w:hAnsi="Arial"/>
          <w:i/>
          <w:color w:val="1A1A1A"/>
          <w:sz w:val="22"/>
        </w:rPr>
        <w:t>Hishikesh Phukan (S4031214)</w:t>
      </w:r>
    </w:p>
    <w:p>
      <w:pPr>
        <w:spacing w:before="0" w:after="40" w:lineRule="auto" w:line="276"/>
        <w:ind w:left="0"/>
        <w:jc w:val="left"/>
      </w:pPr>
      <w:r>
        <w:rPr>
          <w:rFonts w:ascii="Arial" w:hAnsi="Arial"/>
          <w:b/>
          <w:i w:val="0"/>
          <w:color w:val="1A1A1A"/>
          <w:sz w:val="22"/>
        </w:rPr>
        <w:t>Responsibilities:</w:t>
      </w:r>
    </w:p>
    <w:p>
      <w:pPr>
        <w:pStyle w:val="ListBullet"/>
        <w:spacing w:before="0" w:after="60" w:lineRule="auto" w:line="276"/>
        <w:ind w:left="283"/>
      </w:pPr>
      <w:r>
        <w:rPr>
          <w:rFonts w:ascii="Arial" w:hAnsi="Arial"/>
          <w:sz w:val="22"/>
        </w:rPr>
        <w:t>[Fill in — list specific tasks, files/modules owned, and deliverables contributed to]</w:t>
      </w:r>
    </w:p>
    <w:p>
      <w:pPr>
        <w:pStyle w:val="ListBullet"/>
        <w:spacing w:before="0" w:after="60" w:lineRule="auto" w:line="276"/>
        <w:ind w:left="283"/>
      </w:pPr>
      <w:r>
        <w:rPr>
          <w:rFonts w:ascii="Arial" w:hAnsi="Arial"/>
          <w:sz w:val="22"/>
        </w:rPr>
        <w:t>[Fill in]</w:t>
      </w:r>
    </w:p>
    <w:p>
      <w:pPr>
        <w:pStyle w:val="ListBullet"/>
        <w:spacing w:before="0" w:after="60" w:lineRule="auto" w:line="276"/>
        <w:ind w:left="283"/>
      </w:pPr>
      <w:r>
        <w:rPr>
          <w:rFonts w:ascii="Arial" w:hAnsi="Arial"/>
          <w:sz w:val="22"/>
        </w:rPr>
        <w:t>[Fill in]</w:t>
      </w:r>
    </w:p>
    <w:p>
      <w:pPr>
        <w:pStyle w:val="Heading3"/>
        <w:spacing w:before="120" w:after="40" w:lineRule="auto" w:line="276"/>
      </w:pPr>
      <w:r>
        <w:rPr>
          <w:rFonts w:ascii="Arial" w:hAnsi="Arial"/>
          <w:i/>
          <w:color w:val="1A1A1A"/>
          <w:sz w:val="22"/>
        </w:rPr>
        <w:t>Reddy Pranay Vipparla (S4112678)</w:t>
      </w:r>
    </w:p>
    <w:p>
      <w:pPr>
        <w:spacing w:before="0" w:after="40" w:lineRule="auto" w:line="276"/>
        <w:ind w:left="0"/>
        <w:jc w:val="left"/>
      </w:pPr>
      <w:r>
        <w:rPr>
          <w:rFonts w:ascii="Arial" w:hAnsi="Arial"/>
          <w:b/>
          <w:i w:val="0"/>
          <w:color w:val="1A1A1A"/>
          <w:sz w:val="22"/>
        </w:rPr>
        <w:t>Responsibilities:</w:t>
      </w:r>
    </w:p>
    <w:p>
      <w:pPr>
        <w:pStyle w:val="ListBullet"/>
        <w:spacing w:before="0" w:after="60" w:lineRule="auto" w:line="276"/>
        <w:ind w:left="283"/>
      </w:pPr>
      <w:r>
        <w:rPr>
          <w:rFonts w:ascii="Arial" w:hAnsi="Arial"/>
          <w:sz w:val="22"/>
        </w:rPr>
        <w:t>[Fill in — list specific tasks, files/modules owned, and deliverables contributed to]</w:t>
      </w:r>
    </w:p>
    <w:p>
      <w:pPr>
        <w:pStyle w:val="ListBullet"/>
        <w:spacing w:before="0" w:after="60" w:lineRule="auto" w:line="276"/>
        <w:ind w:left="283"/>
      </w:pPr>
      <w:r>
        <w:rPr>
          <w:rFonts w:ascii="Arial" w:hAnsi="Arial"/>
          <w:sz w:val="22"/>
        </w:rPr>
        <w:t>[Fill in]</w:t>
      </w:r>
    </w:p>
    <w:p>
      <w:pPr>
        <w:pStyle w:val="ListBullet"/>
        <w:spacing w:before="0" w:after="60" w:lineRule="auto" w:line="276"/>
        <w:ind w:left="283"/>
      </w:pPr>
      <w:r>
        <w:rPr>
          <w:rFonts w:ascii="Arial" w:hAnsi="Arial"/>
          <w:sz w:val="22"/>
        </w:rPr>
        <w:t>[Fill in]</w:t>
      </w:r>
    </w:p>
    <w:p>
      <w:pPr>
        <w:pStyle w:val="Heading3"/>
        <w:spacing w:before="120" w:after="40" w:lineRule="auto" w:line="276"/>
      </w:pPr>
      <w:r>
        <w:rPr>
          <w:rFonts w:ascii="Arial" w:hAnsi="Arial"/>
          <w:i/>
          <w:color w:val="1A1A1A"/>
          <w:sz w:val="22"/>
        </w:rPr>
        <w:t>Venkata Nagendra Anamala (S4024233)</w:t>
      </w:r>
    </w:p>
    <w:p>
      <w:pPr>
        <w:spacing w:before="0" w:after="40" w:lineRule="auto" w:line="276"/>
        <w:ind w:left="0"/>
        <w:jc w:val="left"/>
      </w:pPr>
      <w:r>
        <w:rPr>
          <w:rFonts w:ascii="Arial" w:hAnsi="Arial"/>
          <w:b/>
          <w:i w:val="0"/>
          <w:color w:val="1A1A1A"/>
          <w:sz w:val="22"/>
        </w:rPr>
        <w:t>Responsibilities:</w:t>
      </w:r>
    </w:p>
    <w:p>
      <w:pPr>
        <w:pStyle w:val="ListBullet"/>
        <w:spacing w:before="0" w:after="60" w:lineRule="auto" w:line="276"/>
        <w:ind w:left="283"/>
      </w:pPr>
      <w:r>
        <w:rPr>
          <w:rFonts w:ascii="Arial" w:hAnsi="Arial"/>
          <w:sz w:val="22"/>
        </w:rPr>
        <w:t>[Fill in — list specific tasks, files/modules owned, and deliverables contributed to]</w:t>
      </w:r>
    </w:p>
    <w:p>
      <w:pPr>
        <w:pStyle w:val="ListBullet"/>
        <w:spacing w:before="0" w:after="60" w:lineRule="auto" w:line="276"/>
        <w:ind w:left="283"/>
      </w:pPr>
      <w:r>
        <w:rPr>
          <w:rFonts w:ascii="Arial" w:hAnsi="Arial"/>
          <w:sz w:val="22"/>
        </w:rPr>
        <w:t>[Fill in]</w:t>
      </w:r>
    </w:p>
    <w:p>
      <w:pPr>
        <w:pStyle w:val="ListBullet"/>
        <w:spacing w:before="0" w:after="60" w:lineRule="auto" w:line="276"/>
        <w:ind w:left="283"/>
      </w:pPr>
      <w:r>
        <w:rPr>
          <w:rFonts w:ascii="Arial" w:hAnsi="Arial"/>
          <w:sz w:val="22"/>
        </w:rPr>
        <w:t>[Fill in]</w:t>
      </w:r>
    </w:p>
    <w:p>
      <w:pPr>
        <w:pStyle w:val="Heading3"/>
        <w:spacing w:before="120" w:after="40" w:lineRule="auto" w:line="276"/>
      </w:pPr>
      <w:r>
        <w:rPr>
          <w:rFonts w:ascii="Arial" w:hAnsi="Arial"/>
          <w:i/>
          <w:color w:val="1A1A1A"/>
          <w:sz w:val="22"/>
        </w:rPr>
        <w:t>Siddhartha Ananthula (S4111078)</w:t>
      </w:r>
    </w:p>
    <w:p>
      <w:pPr>
        <w:spacing w:before="0" w:after="40" w:lineRule="auto" w:line="276"/>
        <w:ind w:left="0"/>
        <w:jc w:val="left"/>
      </w:pPr>
      <w:r>
        <w:rPr>
          <w:rFonts w:ascii="Arial" w:hAnsi="Arial"/>
          <w:b/>
          <w:i w:val="0"/>
          <w:color w:val="1A1A1A"/>
          <w:sz w:val="22"/>
        </w:rPr>
        <w:t>Responsibilities:</w:t>
      </w:r>
    </w:p>
    <w:p>
      <w:pPr>
        <w:pStyle w:val="ListBullet"/>
        <w:spacing w:before="0" w:after="60" w:lineRule="auto" w:line="276"/>
        <w:ind w:left="283"/>
      </w:pPr>
      <w:r>
        <w:rPr>
          <w:rFonts w:ascii="Arial" w:hAnsi="Arial"/>
          <w:sz w:val="22"/>
        </w:rPr>
        <w:t>[Fill in — list specific tasks, files/modules owned, and deliverables contributed to]</w:t>
      </w:r>
    </w:p>
    <w:p>
      <w:pPr>
        <w:pStyle w:val="ListBullet"/>
        <w:spacing w:before="0" w:after="60" w:lineRule="auto" w:line="276"/>
        <w:ind w:left="283"/>
      </w:pPr>
      <w:r>
        <w:rPr>
          <w:rFonts w:ascii="Arial" w:hAnsi="Arial"/>
          <w:sz w:val="22"/>
        </w:rPr>
        <w:t>[Fill in]</w:t>
      </w:r>
    </w:p>
    <w:p>
      <w:pPr>
        <w:pStyle w:val="ListBullet"/>
        <w:spacing w:before="0" w:after="60" w:lineRule="auto" w:line="276"/>
        <w:ind w:left="283"/>
      </w:pPr>
      <w:r>
        <w:rPr>
          <w:rFonts w:ascii="Arial" w:hAnsi="Arial"/>
          <w:sz w:val="22"/>
        </w:rPr>
        <w:t>[Fill in]</w:t>
      </w:r>
    </w:p>
    <w:p>
      <w:pPr>
        <w:pStyle w:val="Heading3"/>
        <w:spacing w:before="120" w:after="40" w:lineRule="auto" w:line="276"/>
      </w:pPr>
      <w:r>
        <w:rPr>
          <w:rFonts w:ascii="Arial" w:hAnsi="Arial"/>
          <w:i/>
          <w:color w:val="1A1A1A"/>
          <w:sz w:val="22"/>
        </w:rPr>
        <w:t>Sammer Yadav (S4038689)</w:t>
      </w:r>
    </w:p>
    <w:p>
      <w:pPr>
        <w:spacing w:before="0" w:after="40" w:lineRule="auto" w:line="276"/>
        <w:ind w:left="0"/>
        <w:jc w:val="left"/>
      </w:pPr>
      <w:r>
        <w:rPr>
          <w:rFonts w:ascii="Arial" w:hAnsi="Arial"/>
          <w:b/>
          <w:i w:val="0"/>
          <w:color w:val="1A1A1A"/>
          <w:sz w:val="22"/>
        </w:rPr>
        <w:t>Responsibilities:</w:t>
      </w:r>
    </w:p>
    <w:p>
      <w:pPr>
        <w:pStyle w:val="ListBullet"/>
        <w:spacing w:before="0" w:after="60" w:lineRule="auto" w:line="276"/>
        <w:ind w:left="283"/>
      </w:pPr>
      <w:r>
        <w:rPr>
          <w:rFonts w:ascii="Arial" w:hAnsi="Arial"/>
          <w:sz w:val="22"/>
        </w:rPr>
        <w:t>[Fill in — list specific tasks, files/modules owned, and deliverables contributed to]</w:t>
      </w:r>
    </w:p>
    <w:p>
      <w:pPr>
        <w:pStyle w:val="ListBullet"/>
        <w:spacing w:before="0" w:after="60" w:lineRule="auto" w:line="276"/>
        <w:ind w:left="283"/>
      </w:pPr>
      <w:r>
        <w:rPr>
          <w:rFonts w:ascii="Arial" w:hAnsi="Arial"/>
          <w:sz w:val="22"/>
        </w:rPr>
        <w:t>[Fill in]</w:t>
      </w:r>
    </w:p>
    <w:p>
      <w:pPr>
        <w:pStyle w:val="ListBullet"/>
        <w:spacing w:before="0" w:after="60" w:lineRule="auto" w:line="276"/>
        <w:ind w:left="283"/>
      </w:pPr>
      <w:r>
        <w:rPr>
          <w:rFonts w:ascii="Arial" w:hAnsi="Arial"/>
          <w:sz w:val="22"/>
        </w:rPr>
        <w:t>[Fill in]</w:t>
      </w:r>
    </w:p>
    <w:p>
      <w:pPr>
        <w:pStyle w:val="Heading2"/>
        <w:spacing w:before="160" w:after="60" w:lineRule="auto" w:line="276"/>
      </w:pPr>
      <w:r>
        <w:rPr>
          <w:rFonts w:ascii="Arial" w:hAnsi="Arial"/>
          <w:b/>
          <w:color w:val="1A1A1A"/>
          <w:sz w:val="22"/>
        </w:rPr>
        <w:t>B.3  Collaboration and Virtual Working</w:t>
      </w:r>
    </w:p>
    <w:p>
      <w:pPr>
        <w:spacing w:before="80" w:after="80" w:lineRule="auto" w:line="276"/>
        <w:jc w:val="left"/>
      </w:pPr>
      <w:r>
        <w:rPr>
          <w:rFonts w:ascii="Arial" w:hAnsi="Arial"/>
          <w:i/>
          <w:color w:val="997700"/>
          <w:sz w:val="22"/>
        </w:rPr>
        <w:t>[ Fill in your collaboration details below ]</w:t>
      </w:r>
    </w:p>
    <w:p>
      <w:pPr>
        <w:spacing w:before="0" w:after="40" w:lineRule="auto" w:line="276"/>
        <w:ind w:left="0"/>
        <w:jc w:val="left"/>
      </w:pPr>
      <w:r>
        <w:rPr>
          <w:rFonts w:ascii="Arial" w:hAnsi="Arial"/>
          <w:b/>
          <w:i w:val="0"/>
          <w:color w:val="1A1A1A"/>
          <w:sz w:val="22"/>
        </w:rPr>
        <w:t>Tools used:</w:t>
      </w:r>
    </w:p>
    <w:p>
      <w:pPr>
        <w:pStyle w:val="ListBullet"/>
        <w:spacing w:before="0" w:after="60" w:lineRule="auto" w:line="276"/>
        <w:ind w:left="283"/>
      </w:pPr>
      <w:r>
        <w:rPr>
          <w:rFonts w:ascii="Arial" w:hAnsi="Arial"/>
          <w:sz w:val="22"/>
        </w:rPr>
        <w:t>Version control: GitHub (branch-based workflow — feature branches merged to rish_development, then to main via pull requests)</w:t>
      </w:r>
    </w:p>
    <w:p>
      <w:pPr>
        <w:pStyle w:val="ListBullet"/>
        <w:spacing w:before="0" w:after="60" w:lineRule="auto" w:line="276"/>
        <w:ind w:left="283"/>
      </w:pPr>
      <w:r>
        <w:rPr>
          <w:rFonts w:ascii="Arial" w:hAnsi="Arial"/>
          <w:sz w:val="22"/>
        </w:rPr>
        <w:t>Communication: [e.g. Microsoft Teams / Slack / Discord — channel details]</w:t>
      </w:r>
    </w:p>
    <w:p>
      <w:pPr>
        <w:pStyle w:val="ListBullet"/>
        <w:spacing w:before="0" w:after="60" w:lineRule="auto" w:line="276"/>
        <w:ind w:left="283"/>
      </w:pPr>
      <w:r>
        <w:rPr>
          <w:rFonts w:ascii="Arial" w:hAnsi="Arial"/>
          <w:sz w:val="22"/>
        </w:rPr>
        <w:t>Project management: [e.g. GitHub Projects / Jira / Trello — board URL]</w:t>
      </w:r>
    </w:p>
    <w:p>
      <w:pPr>
        <w:pStyle w:val="ListBullet"/>
        <w:spacing w:before="0" w:after="60" w:lineRule="auto" w:line="276"/>
        <w:ind w:left="283"/>
      </w:pPr>
      <w:r>
        <w:rPr>
          <w:rFonts w:ascii="Arial" w:hAnsi="Arial"/>
          <w:sz w:val="22"/>
        </w:rPr>
        <w:t>Document sharing: [e.g. OneDrive / Google Drive]</w:t>
      </w:r>
    </w:p>
    <w:p>
      <w:pPr>
        <w:spacing w:before="120" w:after="40" w:lineRule="auto" w:line="276"/>
        <w:ind w:left="0"/>
        <w:jc w:val="left"/>
      </w:pPr>
      <w:r>
        <w:rPr>
          <w:rFonts w:ascii="Arial" w:hAnsi="Arial"/>
          <w:b/>
          <w:i w:val="0"/>
          <w:color w:val="1A1A1A"/>
          <w:sz w:val="22"/>
        </w:rPr>
        <w:t>Meeting cadence:</w:t>
      </w:r>
    </w:p>
    <w:p>
      <w:pPr>
        <w:pStyle w:val="ListBullet"/>
        <w:spacing w:before="0" w:after="60" w:lineRule="auto" w:line="276"/>
        <w:ind w:left="283"/>
      </w:pPr>
      <w:r>
        <w:rPr>
          <w:rFonts w:ascii="Arial" w:hAnsi="Arial"/>
          <w:sz w:val="22"/>
        </w:rPr>
        <w:t>[e.g. Weekly team meetings — 60 minutes each, [Day] at [Time] via Teams]</w:t>
      </w:r>
    </w:p>
    <w:p>
      <w:pPr>
        <w:pStyle w:val="ListBullet"/>
        <w:spacing w:before="0" w:after="60" w:lineRule="auto" w:line="276"/>
        <w:ind w:left="283"/>
      </w:pPr>
      <w:r>
        <w:rPr>
          <w:rFonts w:ascii="Arial" w:hAnsi="Arial"/>
          <w:sz w:val="22"/>
        </w:rPr>
        <w:t>[e.g. Weekly industry partner check-in — 30 minutes with [Supervisor Name]]</w:t>
      </w:r>
    </w:p>
    <w:p>
      <w:pPr>
        <w:spacing w:before="120" w:after="40" w:lineRule="auto" w:line="276"/>
        <w:ind w:left="0"/>
        <w:jc w:val="left"/>
      </w:pPr>
      <w:r>
        <w:rPr>
          <w:rFonts w:ascii="Arial" w:hAnsi="Arial"/>
          <w:b/>
          <w:i w:val="0"/>
          <w:color w:val="1A1A1A"/>
          <w:sz w:val="22"/>
        </w:rPr>
        <w:t>Time spent:</w:t>
      </w:r>
    </w:p>
    <w:p>
      <w:pPr>
        <w:pStyle w:val="ListBullet"/>
        <w:spacing w:before="0" w:after="60" w:lineRule="auto" w:line="276"/>
        <w:ind w:left="283"/>
      </w:pPr>
      <w:r>
        <w:rPr>
          <w:rFonts w:ascii="Arial" w:hAnsi="Arial"/>
          <w:sz w:val="22"/>
        </w:rPr>
        <w:t>Hishikesh Phukan: ~[X] hours/week together in virtual environment; ~[Y] hours/week working independently</w:t>
      </w:r>
    </w:p>
    <w:p>
      <w:pPr>
        <w:pStyle w:val="ListBullet"/>
        <w:spacing w:before="0" w:after="60" w:lineRule="auto" w:line="276"/>
        <w:ind w:left="283"/>
      </w:pPr>
      <w:r>
        <w:rPr>
          <w:rFonts w:ascii="Arial" w:hAnsi="Arial"/>
          <w:sz w:val="22"/>
        </w:rPr>
        <w:t>Reddy Pranay Vipparla: ~[X] hours/week together; ~[Y] hours/week independently</w:t>
      </w:r>
    </w:p>
    <w:p>
      <w:pPr>
        <w:pStyle w:val="ListBullet"/>
        <w:spacing w:before="0" w:after="60" w:lineRule="auto" w:line="276"/>
        <w:ind w:left="283"/>
      </w:pPr>
      <w:r>
        <w:rPr>
          <w:rFonts w:ascii="Arial" w:hAnsi="Arial"/>
          <w:sz w:val="22"/>
        </w:rPr>
        <w:t>Venkata Nagendra Anamala: ~[X] hours/week together; ~[Y] hours/week independently</w:t>
      </w:r>
    </w:p>
    <w:p>
      <w:pPr>
        <w:pStyle w:val="ListBullet"/>
        <w:spacing w:before="0" w:after="60" w:lineRule="auto" w:line="276"/>
        <w:ind w:left="283"/>
      </w:pPr>
      <w:r>
        <w:rPr>
          <w:rFonts w:ascii="Arial" w:hAnsi="Arial"/>
          <w:sz w:val="22"/>
        </w:rPr>
        <w:t>Siddhartha Ananthula: ~[X] hours/week together; ~[Y] hours/week independently</w:t>
      </w:r>
    </w:p>
    <w:p>
      <w:pPr>
        <w:pStyle w:val="ListBullet"/>
        <w:spacing w:before="0" w:after="60" w:lineRule="auto" w:line="276"/>
        <w:ind w:left="283"/>
      </w:pPr>
      <w:r>
        <w:rPr>
          <w:rFonts w:ascii="Arial" w:hAnsi="Arial"/>
          <w:sz w:val="22"/>
        </w:rPr>
        <w:t>Sammer Yadav: ~[X] hours/week together; ~[Y] hours/week independently</w:t>
      </w:r>
    </w:p>
    <w:p>
      <w:r>
        <w:br w:type="page"/>
      </w:r>
    </w:p>
    <w:p>
      <w:pPr>
        <w:pStyle w:val="Heading1"/>
        <w:spacing w:before="240" w:after="80" w:lineRule="auto" w:line="276"/>
        <w:jc w:val="left"/>
      </w:pPr>
      <w:r>
        <w:rPr>
          <w:rFonts w:ascii="Arial" w:hAnsi="Arial"/>
          <w:b/>
          <w:color w:val="1E8449"/>
          <w:sz w:val="26"/>
        </w:rPr>
        <w:t>Appendix C — Self-Reflection (Individualized)</w:t>
      </w:r>
    </w:p>
    <w:p>
      <w:pPr>
        <w:spacing w:before="0" w:after="200" w:lineRule="auto" w:line="276"/>
        <w:ind w:left="0"/>
        <w:jc w:val="left"/>
      </w:pPr>
      <w:r>
        <w:rPr>
          <w:rFonts w:ascii="Arial" w:hAnsi="Arial"/>
          <w:b w:val="0"/>
          <w:i/>
          <w:color w:val="555555"/>
          <w:sz w:val="22"/>
        </w:rPr>
        <w:t>(Each team member completes their own subsection independently and honestly.)</w:t>
      </w:r>
    </w:p>
    <w:p>
      <w:pPr>
        <w:pStyle w:val="Heading2"/>
        <w:spacing w:before="160" w:after="60" w:lineRule="auto" w:line="276"/>
      </w:pPr>
      <w:r>
        <w:rPr>
          <w:rFonts w:ascii="Arial" w:hAnsi="Arial"/>
          <w:b/>
          <w:color w:val="1A1A1A"/>
          <w:sz w:val="22"/>
        </w:rPr>
        <w:t>C.1  Hishikesh Phukan (S4031214) — Self-Reflection</w:t>
      </w:r>
    </w:p>
    <w:p>
      <w:pPr>
        <w:spacing w:before="80" w:after="80" w:lineRule="auto" w:line="276"/>
        <w:jc w:val="left"/>
      </w:pPr>
      <w:r>
        <w:rPr>
          <w:rFonts w:ascii="Arial" w:hAnsi="Arial"/>
          <w:i/>
          <w:color w:val="997700"/>
          <w:sz w:val="22"/>
        </w:rPr>
        <w:t>[ Hishikesh Phukan: Write your own reflection below — be honest with the assessor ]</w:t>
      </w:r>
    </w:p>
    <w:p>
      <w:pPr>
        <w:pStyle w:val="Heading3"/>
        <w:spacing w:before="120" w:after="40" w:lineRule="auto" w:line="276"/>
      </w:pPr>
      <w:r>
        <w:rPr>
          <w:rFonts w:ascii="Arial" w:hAnsi="Arial"/>
          <w:i/>
          <w:color w:val="1A1A1A"/>
          <w:sz w:val="22"/>
        </w:rPr>
        <w:t>What I learned that I did not know before</w:t>
      </w:r>
    </w:p>
    <w:p>
      <w:pPr>
        <w:spacing w:before="0" w:after="120" w:lineRule="auto" w:line="276"/>
        <w:ind w:left="0"/>
        <w:jc w:val="left"/>
      </w:pPr>
      <w:r>
        <w:rPr>
          <w:rFonts w:ascii="Arial" w:hAnsi="Arial"/>
          <w:b w:val="0"/>
          <w:i/>
          <w:color w:val="555555"/>
          <w:sz w:val="22"/>
        </w:rPr>
        <w:t>[Describe specific new knowledge or skills gained during this project. Examples: how to use osmnx for OSM queries, how LOO-CV works for small datasets, how to build a static dashboard with Leaflet, how the Healthy Streets framework is applied, how to structure a reproducible Python data pipeline, etc.]</w:t>
      </w:r>
    </w:p>
    <w:p>
      <w:pPr>
        <w:pStyle w:val="Heading3"/>
        <w:spacing w:before="120" w:after="40" w:lineRule="auto" w:line="276"/>
      </w:pPr>
      <w:r>
        <w:rPr>
          <w:rFonts w:ascii="Arial" w:hAnsi="Arial"/>
          <w:i/>
          <w:color w:val="1A1A1A"/>
          <w:sz w:val="22"/>
        </w:rPr>
        <w:t>What worked well</w:t>
      </w:r>
    </w:p>
    <w:p>
      <w:pPr>
        <w:spacing w:before="0" w:after="120" w:lineRule="auto" w:line="276"/>
        <w:ind w:left="0"/>
        <w:jc w:val="left"/>
      </w:pPr>
      <w:r>
        <w:rPr>
          <w:rFonts w:ascii="Arial" w:hAnsi="Arial"/>
          <w:b w:val="0"/>
          <w:i/>
          <w:color w:val="555555"/>
          <w:sz w:val="22"/>
        </w:rPr>
        <w:t>[Describe approaches or decisions that worked particularly well. Example: using the delta method for scenario prediction avoided model retraining and was easy to explain to stakeholders; the modular src/ structure made team-based development straightforward; etc.]</w:t>
      </w:r>
    </w:p>
    <w:p>
      <w:pPr>
        <w:pStyle w:val="Heading3"/>
        <w:spacing w:before="120" w:after="40" w:lineRule="auto" w:line="276"/>
      </w:pPr>
      <w:r>
        <w:rPr>
          <w:rFonts w:ascii="Arial" w:hAnsi="Arial"/>
          <w:i/>
          <w:color w:val="1A1A1A"/>
          <w:sz w:val="22"/>
        </w:rPr>
        <w:t>What I would improve next time</w:t>
      </w:r>
    </w:p>
    <w:p>
      <w:pPr>
        <w:spacing w:before="0" w:after="120" w:lineRule="auto" w:line="276"/>
        <w:ind w:left="0"/>
        <w:jc w:val="left"/>
      </w:pPr>
      <w:r>
        <w:rPr>
          <w:rFonts w:ascii="Arial" w:hAnsi="Arial"/>
          <w:b w:val="0"/>
          <w:i/>
          <w:color w:val="555555"/>
          <w:sz w:val="22"/>
        </w:rPr>
        <w:t>[Describe what you would do differently. Example: I would establish the data schema earlier to avoid integration issues; I would set up CI/CD for the dashboard from the start; etc.]</w:t>
      </w:r>
    </w:p>
    <w:p>
      <w:pPr>
        <w:pStyle w:val="Heading3"/>
        <w:spacing w:before="120" w:after="40" w:lineRule="auto" w:line="276"/>
      </w:pPr>
      <w:r>
        <w:rPr>
          <w:rFonts w:ascii="Arial" w:hAnsi="Arial"/>
          <w:i/>
          <w:color w:val="1A1A1A"/>
          <w:sz w:val="22"/>
        </w:rPr>
        <w:t>Things tried that did not work — and what I learned from them</w:t>
      </w:r>
    </w:p>
    <w:p>
      <w:pPr>
        <w:spacing w:before="0" w:after="120" w:lineRule="auto" w:line="276"/>
        <w:ind w:left="0"/>
        <w:jc w:val="left"/>
      </w:pPr>
      <w:r>
        <w:rPr>
          <w:rFonts w:ascii="Arial" w:hAnsi="Arial"/>
          <w:b w:val="0"/>
          <w:i/>
          <w:color w:val="555555"/>
          <w:sz w:val="22"/>
        </w:rPr>
        <w:t xml:space="preserve">[This is the most valuable section. Document failed approaches in detail. Example: I tried Random Forest for HS score prediction but it overfit to n=3 training schools (zero training error, no generalisation). This taught me that ensemble methods require sufficient data diversity to avoid memorising training examples — with n=3, any model complex enough to fit all three points exactly will fail on held-out data. Ridge regression's regularisation explicitly addresses this by penalising large coefficients. </w:t>
        <w:br/>
        <w:t>Another example: I initially tried to run the dashboard with a Python Flask backend but GitHub Pages only supports static files. This forced us to pre-compute all 30 scenario results at build time in prepare_data.py — which turned out to be faster for the user anyway (instant scenario switching in the browser).]</w:t>
      </w:r>
    </w:p>
    <w:p/>
    <w:p>
      <w:pPr>
        <w:pStyle w:val="Heading2"/>
        <w:spacing w:before="160" w:after="60" w:lineRule="auto" w:line="276"/>
      </w:pPr>
      <w:r>
        <w:rPr>
          <w:rFonts w:ascii="Arial" w:hAnsi="Arial"/>
          <w:b/>
          <w:color w:val="1A1A1A"/>
          <w:sz w:val="22"/>
        </w:rPr>
        <w:t>C.2  Reddy Pranay Vipparla (S4112678) — Self-Reflection</w:t>
      </w:r>
    </w:p>
    <w:p>
      <w:pPr>
        <w:spacing w:before="80" w:after="80" w:lineRule="auto" w:line="276"/>
        <w:jc w:val="left"/>
      </w:pPr>
      <w:r>
        <w:rPr>
          <w:rFonts w:ascii="Arial" w:hAnsi="Arial"/>
          <w:i/>
          <w:color w:val="997700"/>
          <w:sz w:val="22"/>
        </w:rPr>
        <w:t>[ Reddy Pranay Vipparla: Write your own reflection below — be honest with the assessor ]</w:t>
      </w:r>
    </w:p>
    <w:p>
      <w:pPr>
        <w:pStyle w:val="Heading3"/>
        <w:spacing w:before="120" w:after="40" w:lineRule="auto" w:line="276"/>
      </w:pPr>
      <w:r>
        <w:rPr>
          <w:rFonts w:ascii="Arial" w:hAnsi="Arial"/>
          <w:i/>
          <w:color w:val="1A1A1A"/>
          <w:sz w:val="22"/>
        </w:rPr>
        <w:t>What I learned that I did not know before</w:t>
      </w:r>
    </w:p>
    <w:p>
      <w:pPr>
        <w:spacing w:before="0" w:after="120" w:lineRule="auto" w:line="276"/>
        <w:ind w:left="0"/>
        <w:jc w:val="left"/>
      </w:pPr>
      <w:r>
        <w:rPr>
          <w:rFonts w:ascii="Arial" w:hAnsi="Arial"/>
          <w:b w:val="0"/>
          <w:i/>
          <w:color w:val="555555"/>
          <w:sz w:val="22"/>
        </w:rPr>
        <w:t>[Describe specific new knowledge or skills gained during this project. Examples: how to use osmnx for OSM queries, how LOO-CV works for small datasets, how to build a static dashboard with Leaflet, how the Healthy Streets framework is applied, how to structure a reproducible Python data pipeline, etc.]</w:t>
      </w:r>
    </w:p>
    <w:p>
      <w:pPr>
        <w:pStyle w:val="Heading3"/>
        <w:spacing w:before="120" w:after="40" w:lineRule="auto" w:line="276"/>
      </w:pPr>
      <w:r>
        <w:rPr>
          <w:rFonts w:ascii="Arial" w:hAnsi="Arial"/>
          <w:i/>
          <w:color w:val="1A1A1A"/>
          <w:sz w:val="22"/>
        </w:rPr>
        <w:t>What worked well</w:t>
      </w:r>
    </w:p>
    <w:p>
      <w:pPr>
        <w:spacing w:before="0" w:after="120" w:lineRule="auto" w:line="276"/>
        <w:ind w:left="0"/>
        <w:jc w:val="left"/>
      </w:pPr>
      <w:r>
        <w:rPr>
          <w:rFonts w:ascii="Arial" w:hAnsi="Arial"/>
          <w:b w:val="0"/>
          <w:i/>
          <w:color w:val="555555"/>
          <w:sz w:val="22"/>
        </w:rPr>
        <w:t>[Describe approaches or decisions that worked particularly well. Example: using the delta method for scenario prediction avoided model retraining and was easy to explain to stakeholders; the modular src/ structure made team-based development straightforward; etc.]</w:t>
      </w:r>
    </w:p>
    <w:p>
      <w:pPr>
        <w:pStyle w:val="Heading3"/>
        <w:spacing w:before="120" w:after="40" w:lineRule="auto" w:line="276"/>
      </w:pPr>
      <w:r>
        <w:rPr>
          <w:rFonts w:ascii="Arial" w:hAnsi="Arial"/>
          <w:i/>
          <w:color w:val="1A1A1A"/>
          <w:sz w:val="22"/>
        </w:rPr>
        <w:t>What I would improve next time</w:t>
      </w:r>
    </w:p>
    <w:p>
      <w:pPr>
        <w:spacing w:before="0" w:after="120" w:lineRule="auto" w:line="276"/>
        <w:ind w:left="0"/>
        <w:jc w:val="left"/>
      </w:pPr>
      <w:r>
        <w:rPr>
          <w:rFonts w:ascii="Arial" w:hAnsi="Arial"/>
          <w:b w:val="0"/>
          <w:i/>
          <w:color w:val="555555"/>
          <w:sz w:val="22"/>
        </w:rPr>
        <w:t>[Describe what you would do differently. Example: I would establish the data schema earlier to avoid integration issues; I would set up CI/CD for the dashboard from the start; etc.]</w:t>
      </w:r>
    </w:p>
    <w:p>
      <w:pPr>
        <w:pStyle w:val="Heading3"/>
        <w:spacing w:before="120" w:after="40" w:lineRule="auto" w:line="276"/>
      </w:pPr>
      <w:r>
        <w:rPr>
          <w:rFonts w:ascii="Arial" w:hAnsi="Arial"/>
          <w:i/>
          <w:color w:val="1A1A1A"/>
          <w:sz w:val="22"/>
        </w:rPr>
        <w:t>Things tried that did not work — and what I learned from them</w:t>
      </w:r>
    </w:p>
    <w:p>
      <w:pPr>
        <w:spacing w:before="0" w:after="120" w:lineRule="auto" w:line="276"/>
        <w:ind w:left="0"/>
        <w:jc w:val="left"/>
      </w:pPr>
      <w:r>
        <w:rPr>
          <w:rFonts w:ascii="Arial" w:hAnsi="Arial"/>
          <w:b w:val="0"/>
          <w:i/>
          <w:color w:val="555555"/>
          <w:sz w:val="22"/>
        </w:rPr>
        <w:t xml:space="preserve">[This is the most valuable section. Document failed approaches in detail. Example: I tried Random Forest for HS score prediction but it overfit to n=3 training schools (zero training error, no generalisation). This taught me that ensemble methods require sufficient data diversity to avoid memorising training examples — with n=3, any model complex enough to fit all three points exactly will fail on held-out data. Ridge regression's regularisation explicitly addresses this by penalising large coefficients. </w:t>
        <w:br/>
        <w:t>Another example: I initially tried to run the dashboard with a Python Flask backend but GitHub Pages only supports static files. This forced us to pre-compute all 30 scenario results at build time in prepare_data.py — which turned out to be faster for the user anyway (instant scenario switching in the browser).]</w:t>
      </w:r>
    </w:p>
    <w:p/>
    <w:p>
      <w:pPr>
        <w:pStyle w:val="Heading2"/>
        <w:spacing w:before="160" w:after="60" w:lineRule="auto" w:line="276"/>
      </w:pPr>
      <w:r>
        <w:rPr>
          <w:rFonts w:ascii="Arial" w:hAnsi="Arial"/>
          <w:b/>
          <w:color w:val="1A1A1A"/>
          <w:sz w:val="22"/>
        </w:rPr>
        <w:t>C.3  Venkata Nagendra Anamala (S4024233) — Self-Reflection</w:t>
      </w:r>
    </w:p>
    <w:p>
      <w:pPr>
        <w:spacing w:before="80" w:after="80" w:lineRule="auto" w:line="276"/>
        <w:jc w:val="left"/>
      </w:pPr>
      <w:r>
        <w:rPr>
          <w:rFonts w:ascii="Arial" w:hAnsi="Arial"/>
          <w:i/>
          <w:color w:val="997700"/>
          <w:sz w:val="22"/>
        </w:rPr>
        <w:t>[ Venkata Nagendra Anamala: Write your own reflection below — be honest with the assessor ]</w:t>
      </w:r>
    </w:p>
    <w:p>
      <w:pPr>
        <w:pStyle w:val="Heading3"/>
        <w:spacing w:before="120" w:after="40" w:lineRule="auto" w:line="276"/>
      </w:pPr>
      <w:r>
        <w:rPr>
          <w:rFonts w:ascii="Arial" w:hAnsi="Arial"/>
          <w:i/>
          <w:color w:val="1A1A1A"/>
          <w:sz w:val="22"/>
        </w:rPr>
        <w:t>What I learned that I did not know before</w:t>
      </w:r>
    </w:p>
    <w:p>
      <w:pPr>
        <w:spacing w:before="0" w:after="120" w:lineRule="auto" w:line="276"/>
        <w:ind w:left="0"/>
        <w:jc w:val="left"/>
      </w:pPr>
      <w:r>
        <w:rPr>
          <w:rFonts w:ascii="Arial" w:hAnsi="Arial"/>
          <w:b w:val="0"/>
          <w:i/>
          <w:color w:val="555555"/>
          <w:sz w:val="22"/>
        </w:rPr>
        <w:t>[Describe specific new knowledge or skills gained during this project. Examples: how to use osmnx for OSM queries, how LOO-CV works for small datasets, how to build a static dashboard with Leaflet, how the Healthy Streets framework is applied, how to structure a reproducible Python data pipeline, etc.]</w:t>
      </w:r>
    </w:p>
    <w:p>
      <w:pPr>
        <w:pStyle w:val="Heading3"/>
        <w:spacing w:before="120" w:after="40" w:lineRule="auto" w:line="276"/>
      </w:pPr>
      <w:r>
        <w:rPr>
          <w:rFonts w:ascii="Arial" w:hAnsi="Arial"/>
          <w:i/>
          <w:color w:val="1A1A1A"/>
          <w:sz w:val="22"/>
        </w:rPr>
        <w:t>What worked well</w:t>
      </w:r>
    </w:p>
    <w:p>
      <w:pPr>
        <w:spacing w:before="0" w:after="120" w:lineRule="auto" w:line="276"/>
        <w:ind w:left="0"/>
        <w:jc w:val="left"/>
      </w:pPr>
      <w:r>
        <w:rPr>
          <w:rFonts w:ascii="Arial" w:hAnsi="Arial"/>
          <w:b w:val="0"/>
          <w:i/>
          <w:color w:val="555555"/>
          <w:sz w:val="22"/>
        </w:rPr>
        <w:t>[Describe approaches or decisions that worked particularly well. Example: using the delta method for scenario prediction avoided model retraining and was easy to explain to stakeholders; the modular src/ structure made team-based development straightforward; etc.]</w:t>
      </w:r>
    </w:p>
    <w:p>
      <w:pPr>
        <w:pStyle w:val="Heading3"/>
        <w:spacing w:before="120" w:after="40" w:lineRule="auto" w:line="276"/>
      </w:pPr>
      <w:r>
        <w:rPr>
          <w:rFonts w:ascii="Arial" w:hAnsi="Arial"/>
          <w:i/>
          <w:color w:val="1A1A1A"/>
          <w:sz w:val="22"/>
        </w:rPr>
        <w:t>What I would improve next time</w:t>
      </w:r>
    </w:p>
    <w:p>
      <w:pPr>
        <w:spacing w:before="0" w:after="120" w:lineRule="auto" w:line="276"/>
        <w:ind w:left="0"/>
        <w:jc w:val="left"/>
      </w:pPr>
      <w:r>
        <w:rPr>
          <w:rFonts w:ascii="Arial" w:hAnsi="Arial"/>
          <w:b w:val="0"/>
          <w:i/>
          <w:color w:val="555555"/>
          <w:sz w:val="22"/>
        </w:rPr>
        <w:t>[Describe what you would do differently. Example: I would establish the data schema earlier to avoid integration issues; I would set up CI/CD for the dashboard from the start; etc.]</w:t>
      </w:r>
    </w:p>
    <w:p>
      <w:pPr>
        <w:pStyle w:val="Heading3"/>
        <w:spacing w:before="120" w:after="40" w:lineRule="auto" w:line="276"/>
      </w:pPr>
      <w:r>
        <w:rPr>
          <w:rFonts w:ascii="Arial" w:hAnsi="Arial"/>
          <w:i/>
          <w:color w:val="1A1A1A"/>
          <w:sz w:val="22"/>
        </w:rPr>
        <w:t>Things tried that did not work — and what I learned from them</w:t>
      </w:r>
    </w:p>
    <w:p>
      <w:pPr>
        <w:spacing w:before="0" w:after="120" w:lineRule="auto" w:line="276"/>
        <w:ind w:left="0"/>
        <w:jc w:val="left"/>
      </w:pPr>
      <w:r>
        <w:rPr>
          <w:rFonts w:ascii="Arial" w:hAnsi="Arial"/>
          <w:b w:val="0"/>
          <w:i/>
          <w:color w:val="555555"/>
          <w:sz w:val="22"/>
        </w:rPr>
        <w:t xml:space="preserve">[This is the most valuable section. Document failed approaches in detail. Example: I tried Random Forest for HS score prediction but it overfit to n=3 training schools (zero training error, no generalisation). This taught me that ensemble methods require sufficient data diversity to avoid memorising training examples — with n=3, any model complex enough to fit all three points exactly will fail on held-out data. Ridge regression's regularisation explicitly addresses this by penalising large coefficients. </w:t>
        <w:br/>
        <w:t>Another example: I initially tried to run the dashboard with a Python Flask backend but GitHub Pages only supports static files. This forced us to pre-compute all 30 scenario results at build time in prepare_data.py — which turned out to be faster for the user anyway (instant scenario switching in the browser).]</w:t>
      </w:r>
    </w:p>
    <w:p/>
    <w:p>
      <w:pPr>
        <w:pStyle w:val="Heading2"/>
        <w:spacing w:before="160" w:after="60" w:lineRule="auto" w:line="276"/>
      </w:pPr>
      <w:r>
        <w:rPr>
          <w:rFonts w:ascii="Arial" w:hAnsi="Arial"/>
          <w:b/>
          <w:color w:val="1A1A1A"/>
          <w:sz w:val="22"/>
        </w:rPr>
        <w:t>C.4  Siddhartha Ananthula (S4111078) — Self-Reflection</w:t>
      </w:r>
    </w:p>
    <w:p>
      <w:pPr>
        <w:spacing w:before="80" w:after="80" w:lineRule="auto" w:line="276"/>
        <w:jc w:val="left"/>
      </w:pPr>
      <w:r>
        <w:rPr>
          <w:rFonts w:ascii="Arial" w:hAnsi="Arial"/>
          <w:i/>
          <w:color w:val="997700"/>
          <w:sz w:val="22"/>
        </w:rPr>
        <w:t>[ Siddhartha Ananthula: Write your own reflection below — be honest with the assessor ]</w:t>
      </w:r>
    </w:p>
    <w:p>
      <w:pPr>
        <w:pStyle w:val="Heading3"/>
        <w:spacing w:before="120" w:after="40" w:lineRule="auto" w:line="276"/>
      </w:pPr>
      <w:r>
        <w:rPr>
          <w:rFonts w:ascii="Arial" w:hAnsi="Arial"/>
          <w:i/>
          <w:color w:val="1A1A1A"/>
          <w:sz w:val="22"/>
        </w:rPr>
        <w:t>What I learned that I did not know before</w:t>
      </w:r>
    </w:p>
    <w:p>
      <w:pPr>
        <w:spacing w:before="0" w:after="120" w:lineRule="auto" w:line="276"/>
        <w:ind w:left="0"/>
        <w:jc w:val="left"/>
      </w:pPr>
      <w:r>
        <w:rPr>
          <w:rFonts w:ascii="Arial" w:hAnsi="Arial"/>
          <w:b w:val="0"/>
          <w:i/>
          <w:color w:val="555555"/>
          <w:sz w:val="22"/>
        </w:rPr>
        <w:t>[Describe specific new knowledge or skills gained during this project. Examples: how to use osmnx for OSM queries, how LOO-CV works for small datasets, how to build a static dashboard with Leaflet, how the Healthy Streets framework is applied, how to structure a reproducible Python data pipeline, etc.]</w:t>
      </w:r>
    </w:p>
    <w:p>
      <w:pPr>
        <w:pStyle w:val="Heading3"/>
        <w:spacing w:before="120" w:after="40" w:lineRule="auto" w:line="276"/>
      </w:pPr>
      <w:r>
        <w:rPr>
          <w:rFonts w:ascii="Arial" w:hAnsi="Arial"/>
          <w:i/>
          <w:color w:val="1A1A1A"/>
          <w:sz w:val="22"/>
        </w:rPr>
        <w:t>What worked well</w:t>
      </w:r>
    </w:p>
    <w:p>
      <w:pPr>
        <w:spacing w:before="0" w:after="120" w:lineRule="auto" w:line="276"/>
        <w:ind w:left="0"/>
        <w:jc w:val="left"/>
      </w:pPr>
      <w:r>
        <w:rPr>
          <w:rFonts w:ascii="Arial" w:hAnsi="Arial"/>
          <w:b w:val="0"/>
          <w:i/>
          <w:color w:val="555555"/>
          <w:sz w:val="22"/>
        </w:rPr>
        <w:t>[Describe approaches or decisions that worked particularly well. Example: using the delta method for scenario prediction avoided model retraining and was easy to explain to stakeholders; the modular src/ structure made team-based development straightforward; etc.]</w:t>
      </w:r>
    </w:p>
    <w:p>
      <w:pPr>
        <w:pStyle w:val="Heading3"/>
        <w:spacing w:before="120" w:after="40" w:lineRule="auto" w:line="276"/>
      </w:pPr>
      <w:r>
        <w:rPr>
          <w:rFonts w:ascii="Arial" w:hAnsi="Arial"/>
          <w:i/>
          <w:color w:val="1A1A1A"/>
          <w:sz w:val="22"/>
        </w:rPr>
        <w:t>What I would improve next time</w:t>
      </w:r>
    </w:p>
    <w:p>
      <w:pPr>
        <w:spacing w:before="0" w:after="120" w:lineRule="auto" w:line="276"/>
        <w:ind w:left="0"/>
        <w:jc w:val="left"/>
      </w:pPr>
      <w:r>
        <w:rPr>
          <w:rFonts w:ascii="Arial" w:hAnsi="Arial"/>
          <w:b w:val="0"/>
          <w:i/>
          <w:color w:val="555555"/>
          <w:sz w:val="22"/>
        </w:rPr>
        <w:t>[Describe what you would do differently. Example: I would establish the data schema earlier to avoid integration issues; I would set up CI/CD for the dashboard from the start; etc.]</w:t>
      </w:r>
    </w:p>
    <w:p>
      <w:pPr>
        <w:pStyle w:val="Heading3"/>
        <w:spacing w:before="120" w:after="40" w:lineRule="auto" w:line="276"/>
      </w:pPr>
      <w:r>
        <w:rPr>
          <w:rFonts w:ascii="Arial" w:hAnsi="Arial"/>
          <w:i/>
          <w:color w:val="1A1A1A"/>
          <w:sz w:val="22"/>
        </w:rPr>
        <w:t>Things tried that did not work — and what I learned from them</w:t>
      </w:r>
    </w:p>
    <w:p>
      <w:pPr>
        <w:spacing w:before="0" w:after="120" w:lineRule="auto" w:line="276"/>
        <w:ind w:left="0"/>
        <w:jc w:val="left"/>
      </w:pPr>
      <w:r>
        <w:rPr>
          <w:rFonts w:ascii="Arial" w:hAnsi="Arial"/>
          <w:b w:val="0"/>
          <w:i/>
          <w:color w:val="555555"/>
          <w:sz w:val="22"/>
        </w:rPr>
        <w:t xml:space="preserve">[This is the most valuable section. Document failed approaches in detail. Example: I tried Random Forest for HS score prediction but it overfit to n=3 training schools (zero training error, no generalisation). This taught me that ensemble methods require sufficient data diversity to avoid memorising training examples — with n=3, any model complex enough to fit all three points exactly will fail on held-out data. Ridge regression's regularisation explicitly addresses this by penalising large coefficients. </w:t>
        <w:br/>
        <w:t>Another example: I initially tried to run the dashboard with a Python Flask backend but GitHub Pages only supports static files. This forced us to pre-compute all 30 scenario results at build time in prepare_data.py — which turned out to be faster for the user anyway (instant scenario switching in the browser).]</w:t>
      </w:r>
    </w:p>
    <w:p/>
    <w:p>
      <w:pPr>
        <w:pStyle w:val="Heading2"/>
        <w:spacing w:before="160" w:after="60" w:lineRule="auto" w:line="276"/>
      </w:pPr>
      <w:r>
        <w:rPr>
          <w:rFonts w:ascii="Arial" w:hAnsi="Arial"/>
          <w:b/>
          <w:color w:val="1A1A1A"/>
          <w:sz w:val="22"/>
        </w:rPr>
        <w:t>C.5  Sammer Yadav (S4038689) — Self-Reflection</w:t>
      </w:r>
    </w:p>
    <w:p>
      <w:pPr>
        <w:spacing w:before="80" w:after="80" w:lineRule="auto" w:line="276"/>
        <w:jc w:val="left"/>
      </w:pPr>
      <w:r>
        <w:rPr>
          <w:rFonts w:ascii="Arial" w:hAnsi="Arial"/>
          <w:i/>
          <w:color w:val="997700"/>
          <w:sz w:val="22"/>
        </w:rPr>
        <w:t>[ Sammer Yadav: Write your own reflection below — be honest with the assessor ]</w:t>
      </w:r>
    </w:p>
    <w:p>
      <w:pPr>
        <w:pStyle w:val="Heading3"/>
        <w:spacing w:before="120" w:after="40" w:lineRule="auto" w:line="276"/>
      </w:pPr>
      <w:r>
        <w:rPr>
          <w:rFonts w:ascii="Arial" w:hAnsi="Arial"/>
          <w:i/>
          <w:color w:val="1A1A1A"/>
          <w:sz w:val="22"/>
        </w:rPr>
        <w:t>What I learned that I did not know before</w:t>
      </w:r>
    </w:p>
    <w:p>
      <w:pPr>
        <w:spacing w:before="0" w:after="120" w:lineRule="auto" w:line="276"/>
        <w:ind w:left="0"/>
        <w:jc w:val="left"/>
      </w:pPr>
      <w:r>
        <w:rPr>
          <w:rFonts w:ascii="Arial" w:hAnsi="Arial"/>
          <w:b w:val="0"/>
          <w:i/>
          <w:color w:val="555555"/>
          <w:sz w:val="22"/>
        </w:rPr>
        <w:t>[Describe specific new knowledge or skills gained during this project. Examples: how to use osmnx for OSM queries, how LOO-CV works for small datasets, how to build a static dashboard with Leaflet, how the Healthy Streets framework is applied, how to structure a reproducible Python data pipeline, etc.]</w:t>
      </w:r>
    </w:p>
    <w:p>
      <w:pPr>
        <w:pStyle w:val="Heading3"/>
        <w:spacing w:before="120" w:after="40" w:lineRule="auto" w:line="276"/>
      </w:pPr>
      <w:r>
        <w:rPr>
          <w:rFonts w:ascii="Arial" w:hAnsi="Arial"/>
          <w:i/>
          <w:color w:val="1A1A1A"/>
          <w:sz w:val="22"/>
        </w:rPr>
        <w:t>What worked well</w:t>
      </w:r>
    </w:p>
    <w:p>
      <w:pPr>
        <w:spacing w:before="0" w:after="120" w:lineRule="auto" w:line="276"/>
        <w:ind w:left="0"/>
        <w:jc w:val="left"/>
      </w:pPr>
      <w:r>
        <w:rPr>
          <w:rFonts w:ascii="Arial" w:hAnsi="Arial"/>
          <w:b w:val="0"/>
          <w:i/>
          <w:color w:val="555555"/>
          <w:sz w:val="22"/>
        </w:rPr>
        <w:t>[Describe approaches or decisions that worked particularly well. Example: using the delta method for scenario prediction avoided model retraining and was easy to explain to stakeholders; the modular src/ structure made team-based development straightforward; etc.]</w:t>
      </w:r>
    </w:p>
    <w:p>
      <w:pPr>
        <w:pStyle w:val="Heading3"/>
        <w:spacing w:before="120" w:after="40" w:lineRule="auto" w:line="276"/>
      </w:pPr>
      <w:r>
        <w:rPr>
          <w:rFonts w:ascii="Arial" w:hAnsi="Arial"/>
          <w:i/>
          <w:color w:val="1A1A1A"/>
          <w:sz w:val="22"/>
        </w:rPr>
        <w:t>What I would improve next time</w:t>
      </w:r>
    </w:p>
    <w:p>
      <w:pPr>
        <w:spacing w:before="0" w:after="120" w:lineRule="auto" w:line="276"/>
        <w:ind w:left="0"/>
        <w:jc w:val="left"/>
      </w:pPr>
      <w:r>
        <w:rPr>
          <w:rFonts w:ascii="Arial" w:hAnsi="Arial"/>
          <w:b w:val="0"/>
          <w:i/>
          <w:color w:val="555555"/>
          <w:sz w:val="22"/>
        </w:rPr>
        <w:t>[Describe what you would do differently. Example: I would establish the data schema earlier to avoid integration issues; I would set up CI/CD for the dashboard from the start; etc.]</w:t>
      </w:r>
    </w:p>
    <w:p>
      <w:pPr>
        <w:pStyle w:val="Heading3"/>
        <w:spacing w:before="120" w:after="40" w:lineRule="auto" w:line="276"/>
      </w:pPr>
      <w:r>
        <w:rPr>
          <w:rFonts w:ascii="Arial" w:hAnsi="Arial"/>
          <w:i/>
          <w:color w:val="1A1A1A"/>
          <w:sz w:val="22"/>
        </w:rPr>
        <w:t>Things tried that did not work — and what I learned from them</w:t>
      </w:r>
    </w:p>
    <w:p>
      <w:pPr>
        <w:spacing w:before="0" w:after="120" w:lineRule="auto" w:line="276"/>
        <w:ind w:left="0"/>
        <w:jc w:val="left"/>
      </w:pPr>
      <w:r>
        <w:rPr>
          <w:rFonts w:ascii="Arial" w:hAnsi="Arial"/>
          <w:b w:val="0"/>
          <w:i/>
          <w:color w:val="555555"/>
          <w:sz w:val="22"/>
        </w:rPr>
        <w:t xml:space="preserve">[This is the most valuable section. Document failed approaches in detail. Example: I tried Random Forest for HS score prediction but it overfit to n=3 training schools (zero training error, no generalisation). This taught me that ensemble methods require sufficient data diversity to avoid memorising training examples — with n=3, any model complex enough to fit all three points exactly will fail on held-out data. Ridge regression's regularisation explicitly addresses this by penalising large coefficients. </w:t>
        <w:br/>
        <w:t>Another example: I initially tried to run the dashboard with a Python Flask backend but GitHub Pages only supports static files. This forced us to pre-compute all 30 scenario results at build time in prepare_data.py — which turned out to be faster for the user anyway (instant scenario switching in the browser).]</w:t>
      </w:r>
    </w:p>
    <w:p/>
    <w:p>
      <w:pPr>
        <w:jc w:val="center"/>
      </w:pPr>
      <w:r>
        <w:rPr>
          <w:rFonts w:ascii="Arial" w:hAnsi="Arial"/>
          <w:i/>
          <w:color w:val="555555"/>
          <w:sz w:val="18"/>
        </w:rPr>
        <w:t>300,000 Streets of Melbourne  —  Regen Melbourne × RMIT University  |  June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