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5346" w14:textId="77777777" w:rsidR="003341A0" w:rsidRDefault="00000000">
      <w:pPr>
        <w:pStyle w:val="Heading1"/>
      </w:pPr>
      <w:bookmarkStart w:id="0" w:name="Xf45d77fa62e30fe9675cdb69ad5babaa9ed0e91"/>
      <w:r>
        <w:t>InBody Clinical Question Bank – 40+ High-Precision FAQs</w:t>
      </w:r>
    </w:p>
    <w:p w14:paraId="2C6FA216" w14:textId="77777777" w:rsidR="003341A0" w:rsidRDefault="00000000">
      <w:pPr>
        <w:pStyle w:val="Heading2"/>
      </w:pPr>
      <w:bookmarkStart w:id="1" w:name="core-technology-validity"/>
      <w:r>
        <w:rPr>
          <w:b/>
          <w:bCs/>
        </w:rPr>
        <w:t>1. Core Technology &amp; Validity</w:t>
      </w:r>
    </w:p>
    <w:p w14:paraId="51A9F0FF" w14:textId="77777777" w:rsidR="003341A0" w:rsidRDefault="00000000">
      <w:pPr>
        <w:pStyle w:val="FirstParagraph"/>
      </w:pPr>
      <w:r>
        <w:rPr>
          <w:b/>
          <w:bCs/>
        </w:rPr>
        <w:t>Q1. What core technology does InBody use for body composition analysis?</w:t>
      </w:r>
      <w:r>
        <w:br/>
        <w:t>A. Direct Segmental Multi-Frequency Bioelectrical Impedance Analysis (DSM-BIA).</w:t>
      </w:r>
    </w:p>
    <w:p w14:paraId="7F8F39A7" w14:textId="77777777" w:rsidR="003341A0" w:rsidRDefault="00000000">
      <w:pPr>
        <w:pStyle w:val="BodyText"/>
      </w:pPr>
      <w:r>
        <w:rPr>
          <w:b/>
          <w:bCs/>
        </w:rPr>
        <w:t>Q2. How does DSM-BIA improve accuracy compared to whole-body BIA?</w:t>
      </w:r>
      <w:r>
        <w:br/>
        <w:t>A. It measures each segment (RA, LA, TR, RL, LL) individually, reducing trunk error.</w:t>
      </w:r>
    </w:p>
    <w:p w14:paraId="34A3C5C3" w14:textId="77777777" w:rsidR="003341A0" w:rsidRDefault="00000000">
      <w:pPr>
        <w:pStyle w:val="BodyText"/>
      </w:pPr>
      <w:r>
        <w:rPr>
          <w:b/>
          <w:bCs/>
        </w:rPr>
        <w:t>Q3. Does InBody use empirical prediction equations?</w:t>
      </w:r>
      <w:r>
        <w:br/>
        <w:t>A. No, InBody calculates composition directly from impedance, reactance, and resistance.</w:t>
      </w:r>
    </w:p>
    <w:p w14:paraId="09E69AB1" w14:textId="54E89807" w:rsidR="003341A0" w:rsidRDefault="00000000">
      <w:pPr>
        <w:pStyle w:val="BodyText"/>
      </w:pPr>
      <w:r>
        <w:rPr>
          <w:b/>
          <w:bCs/>
        </w:rPr>
        <w:t>Q4. What frequencies are typically used in InBody devices?</w:t>
      </w:r>
      <w:r>
        <w:br/>
        <w:t xml:space="preserve">A. Multi-frequency range from 1 kHz to </w:t>
      </w:r>
      <w:r w:rsidR="00060A56">
        <w:t>3</w:t>
      </w:r>
      <w:r>
        <w:t>000 kHz.</w:t>
      </w:r>
    </w:p>
    <w:p w14:paraId="6EC92B66" w14:textId="77777777" w:rsidR="003341A0" w:rsidRDefault="00000000">
      <w:pPr>
        <w:pStyle w:val="BodyText"/>
      </w:pPr>
      <w:r>
        <w:rPr>
          <w:b/>
          <w:bCs/>
        </w:rPr>
        <w:t>Q5. Why is reactance clinically relevant?</w:t>
      </w:r>
      <w:r>
        <w:br/>
        <w:t>A. It reflects cell membrane integrity and correlates with phase angle.</w:t>
      </w:r>
    </w:p>
    <w:p w14:paraId="3692E39D" w14:textId="77777777" w:rsidR="003341A0" w:rsidRDefault="00000000">
      <w:r>
        <w:pict w14:anchorId="07EF03A3">
          <v:rect id="_x0000_i1025" style="width:0;height:1.5pt" o:hralign="center" o:hrstd="t" o:hr="t"/>
        </w:pict>
      </w:r>
    </w:p>
    <w:p w14:paraId="3C32C5BE" w14:textId="77777777" w:rsidR="003341A0" w:rsidRDefault="00000000">
      <w:pPr>
        <w:pStyle w:val="Heading2"/>
      </w:pPr>
      <w:bookmarkStart w:id="2" w:name="hydration-fluids-critical-care"/>
      <w:bookmarkEnd w:id="1"/>
      <w:r>
        <w:rPr>
          <w:b/>
          <w:bCs/>
        </w:rPr>
        <w:t>2. Hydration, Fluids &amp; Critical Care</w:t>
      </w:r>
    </w:p>
    <w:p w14:paraId="02D8DD59" w14:textId="77777777" w:rsidR="003341A0" w:rsidRDefault="00000000">
      <w:pPr>
        <w:pStyle w:val="FirstParagraph"/>
      </w:pPr>
      <w:r>
        <w:rPr>
          <w:b/>
          <w:bCs/>
        </w:rPr>
        <w:t>Q6. What is the normal ECW/TBW range?</w:t>
      </w:r>
      <w:r>
        <w:br/>
        <w:t>A. 0.360–0.390.</w:t>
      </w:r>
    </w:p>
    <w:p w14:paraId="54B05235" w14:textId="77777777" w:rsidR="003341A0" w:rsidRDefault="00000000">
      <w:pPr>
        <w:pStyle w:val="BodyText"/>
      </w:pPr>
      <w:r>
        <w:rPr>
          <w:b/>
          <w:bCs/>
        </w:rPr>
        <w:t>Q7. What clinical states elevate ECW/TBW?</w:t>
      </w:r>
      <w:r>
        <w:br/>
        <w:t>A. Edema, heart failure, renal dysfunction, inflammation, sepsis.</w:t>
      </w:r>
    </w:p>
    <w:p w14:paraId="0B4EA1E9" w14:textId="77777777" w:rsidR="003341A0" w:rsidRDefault="00000000">
      <w:pPr>
        <w:pStyle w:val="BodyText"/>
      </w:pPr>
      <w:r>
        <w:rPr>
          <w:b/>
          <w:bCs/>
        </w:rPr>
        <w:t>Q8. Can InBody detect dehydration?</w:t>
      </w:r>
      <w:r>
        <w:br/>
        <w:t>A. Yes, via increased resistance and reduced ICW/ECW.</w:t>
      </w:r>
    </w:p>
    <w:p w14:paraId="62A62C47" w14:textId="77777777" w:rsidR="003341A0" w:rsidRDefault="00000000">
      <w:pPr>
        <w:pStyle w:val="BodyText"/>
      </w:pPr>
      <w:r>
        <w:rPr>
          <w:b/>
          <w:bCs/>
        </w:rPr>
        <w:t>Q9. How does InBody differentiate muscle loss vs dehydration?</w:t>
      </w:r>
      <w:r>
        <w:br/>
        <w:t>A. Muscle loss → ICW decreases disproportionately; dehydration → proportional ICW &amp; ECW decrease.</w:t>
      </w:r>
    </w:p>
    <w:p w14:paraId="1BFD8852" w14:textId="77777777" w:rsidR="003341A0" w:rsidRDefault="00000000">
      <w:pPr>
        <w:pStyle w:val="BodyText"/>
      </w:pPr>
      <w:r>
        <w:rPr>
          <w:b/>
          <w:bCs/>
        </w:rPr>
        <w:t>Q10. Is InBody safe for ICU patients?</w:t>
      </w:r>
      <w:r>
        <w:br/>
        <w:t>A. Yes, especially with S10 supine electrodes.</w:t>
      </w:r>
    </w:p>
    <w:p w14:paraId="6863742C" w14:textId="77777777" w:rsidR="003341A0" w:rsidRDefault="00000000">
      <w:pPr>
        <w:pStyle w:val="BodyText"/>
      </w:pPr>
      <w:r>
        <w:rPr>
          <w:b/>
          <w:bCs/>
        </w:rPr>
        <w:t>Q11. How does fluid overload present on InBody?</w:t>
      </w:r>
      <w:r>
        <w:br/>
        <w:t>A. Elevated ECW, high ECW/TBW, segmental ECW elevation.</w:t>
      </w:r>
    </w:p>
    <w:p w14:paraId="4A6CB9A4" w14:textId="77777777" w:rsidR="003341A0" w:rsidRDefault="00000000">
      <w:pPr>
        <w:pStyle w:val="BodyText"/>
      </w:pPr>
      <w:r>
        <w:rPr>
          <w:b/>
          <w:bCs/>
        </w:rPr>
        <w:t>Q12. Can InBody track sepsis recovery?</w:t>
      </w:r>
      <w:r>
        <w:br/>
        <w:t>A. Yes; improving ECW/TBW indicates resolving inflammation.</w:t>
      </w:r>
    </w:p>
    <w:p w14:paraId="481A9382" w14:textId="77777777" w:rsidR="003341A0" w:rsidRDefault="00000000">
      <w:pPr>
        <w:pStyle w:val="BodyText"/>
      </w:pPr>
      <w:r>
        <w:rPr>
          <w:b/>
          <w:bCs/>
        </w:rPr>
        <w:t>Q13. What is the most reliable hydration status marker on InBody?</w:t>
      </w:r>
      <w:r>
        <w:br/>
        <w:t>A. ECW/TBW ratio.</w:t>
      </w:r>
    </w:p>
    <w:p w14:paraId="3E99AE47" w14:textId="77777777" w:rsidR="003341A0" w:rsidRDefault="00000000">
      <w:r>
        <w:lastRenderedPageBreak/>
        <w:pict w14:anchorId="776B4087">
          <v:rect id="_x0000_i1026" style="width:0;height:1.5pt" o:hralign="center" o:hrstd="t" o:hr="t"/>
        </w:pict>
      </w:r>
    </w:p>
    <w:p w14:paraId="28BFC1A5" w14:textId="77777777" w:rsidR="003341A0" w:rsidRDefault="00000000">
      <w:pPr>
        <w:pStyle w:val="Heading2"/>
      </w:pPr>
      <w:bookmarkStart w:id="3" w:name="muscle-mass-sarcopenia"/>
      <w:bookmarkEnd w:id="2"/>
      <w:r>
        <w:rPr>
          <w:b/>
          <w:bCs/>
        </w:rPr>
        <w:t>3. Muscle Mass &amp; Sarcopenia</w:t>
      </w:r>
    </w:p>
    <w:p w14:paraId="5F74A756" w14:textId="77777777" w:rsidR="003341A0" w:rsidRDefault="00000000">
      <w:pPr>
        <w:pStyle w:val="FirstParagraph"/>
      </w:pPr>
      <w:r>
        <w:rPr>
          <w:b/>
          <w:bCs/>
        </w:rPr>
        <w:t>Q14. What does SMM include?</w:t>
      </w:r>
      <w:r>
        <w:br/>
        <w:t>A. Only contractile skeletal muscle tissue.</w:t>
      </w:r>
    </w:p>
    <w:p w14:paraId="19448AA0" w14:textId="12005921" w:rsidR="003341A0" w:rsidRDefault="00000000">
      <w:pPr>
        <w:pStyle w:val="BodyText"/>
      </w:pPr>
      <w:r>
        <w:rPr>
          <w:b/>
          <w:bCs/>
        </w:rPr>
        <w:t>Q15. What parameter is used for sarcopenia diagnosis?</w:t>
      </w:r>
      <w:r>
        <w:br/>
        <w:t xml:space="preserve">A. </w:t>
      </w:r>
      <w:r w:rsidR="00060A56">
        <w:t>SMI , HGS</w:t>
      </w:r>
    </w:p>
    <w:p w14:paraId="7586E3AE" w14:textId="77777777" w:rsidR="003341A0" w:rsidRDefault="00000000">
      <w:pPr>
        <w:pStyle w:val="BodyText"/>
      </w:pPr>
      <w:r>
        <w:rPr>
          <w:b/>
          <w:bCs/>
        </w:rPr>
        <w:t>Q16. What are the sarcopenia cut-offs (Asian)?</w:t>
      </w:r>
      <w:r>
        <w:br/>
        <w:t>A. Men &lt; 7.0 kg/m², Women &lt; 5.7 kg/m².</w:t>
      </w:r>
    </w:p>
    <w:p w14:paraId="52D975F5" w14:textId="36045D62" w:rsidR="003341A0" w:rsidRDefault="00000000">
      <w:pPr>
        <w:pStyle w:val="BodyText"/>
      </w:pPr>
      <w:r>
        <w:rPr>
          <w:b/>
          <w:bCs/>
        </w:rPr>
        <w:t>Q17. Best marker of muscle quality?</w:t>
      </w:r>
      <w:r>
        <w:br/>
        <w:t>A. ICW or ICW/ECW ratio</w:t>
      </w:r>
      <w:r w:rsidR="00060A56">
        <w:t xml:space="preserve"> along with SMM levels</w:t>
      </w:r>
      <w:r>
        <w:t>.</w:t>
      </w:r>
    </w:p>
    <w:p w14:paraId="7B8F19A2" w14:textId="476FAA69" w:rsidR="003341A0" w:rsidRDefault="00000000">
      <w:pPr>
        <w:pStyle w:val="BodyText"/>
      </w:pPr>
      <w:r>
        <w:rPr>
          <w:b/>
          <w:bCs/>
        </w:rPr>
        <w:t>Q18. What causes discrepancies in segmental lean mass?</w:t>
      </w:r>
      <w:r>
        <w:br/>
        <w:t xml:space="preserve">A. Injury, </w:t>
      </w:r>
      <w:r w:rsidR="00060A56">
        <w:t xml:space="preserve">extensive </w:t>
      </w:r>
      <w:r>
        <w:t>dominan</w:t>
      </w:r>
      <w:r w:rsidR="00060A56">
        <w:t xml:space="preserve">t limb usage </w:t>
      </w:r>
      <w:r>
        <w:t>, post-surgical changes, n</w:t>
      </w:r>
      <w:r w:rsidR="00060A56">
        <w:t>utritiona</w:t>
      </w:r>
      <w:r>
        <w:t>l deficits.</w:t>
      </w:r>
    </w:p>
    <w:p w14:paraId="3BD74FB1" w14:textId="77777777" w:rsidR="003341A0" w:rsidRDefault="00000000">
      <w:pPr>
        <w:pStyle w:val="BodyText"/>
      </w:pPr>
      <w:r>
        <w:rPr>
          <w:b/>
          <w:bCs/>
        </w:rPr>
        <w:t>Q19. What trend indicates sarcopenic obesity?</w:t>
      </w:r>
      <w:r>
        <w:br/>
        <w:t>A. Low SMM + high visceral fat.</w:t>
      </w:r>
    </w:p>
    <w:p w14:paraId="4E190C3F" w14:textId="77777777" w:rsidR="003341A0" w:rsidRDefault="00000000">
      <w:pPr>
        <w:pStyle w:val="BodyText"/>
      </w:pPr>
      <w:r>
        <w:rPr>
          <w:b/>
          <w:bCs/>
        </w:rPr>
        <w:t>Q20. How often should muscle be monitored in elderly?</w:t>
      </w:r>
      <w:r>
        <w:br/>
        <w:t>A. Every 4–6 weeks.</w:t>
      </w:r>
    </w:p>
    <w:p w14:paraId="31F7A9A6" w14:textId="77777777" w:rsidR="003341A0" w:rsidRDefault="00000000">
      <w:r>
        <w:pict w14:anchorId="689783B6">
          <v:rect id="_x0000_i1027" style="width:0;height:1.5pt" o:hralign="center" o:hrstd="t" o:hr="t"/>
        </w:pict>
      </w:r>
    </w:p>
    <w:p w14:paraId="05341A34" w14:textId="77777777" w:rsidR="003341A0" w:rsidRDefault="00000000">
      <w:pPr>
        <w:pStyle w:val="Heading2"/>
      </w:pPr>
      <w:bookmarkStart w:id="4" w:name="fat-mass-vat-metabolic-health"/>
      <w:bookmarkEnd w:id="3"/>
      <w:r>
        <w:rPr>
          <w:b/>
          <w:bCs/>
        </w:rPr>
        <w:t>4. Fat Mass, VAT &amp; Metabolic Health</w:t>
      </w:r>
    </w:p>
    <w:p w14:paraId="3ADDE8A6" w14:textId="77777777" w:rsidR="003341A0" w:rsidRDefault="00000000">
      <w:pPr>
        <w:pStyle w:val="FirstParagraph"/>
      </w:pPr>
      <w:r>
        <w:rPr>
          <w:b/>
          <w:bCs/>
        </w:rPr>
        <w:t>Q21. What is Visceral Fat Level (VFL)?</w:t>
      </w:r>
      <w:r>
        <w:br/>
        <w:t>A. An index reflecting visceral adiposity.</w:t>
      </w:r>
    </w:p>
    <w:p w14:paraId="6E330523" w14:textId="77777777" w:rsidR="003341A0" w:rsidRDefault="00000000">
      <w:pPr>
        <w:pStyle w:val="BodyText"/>
      </w:pPr>
      <w:r>
        <w:rPr>
          <w:b/>
          <w:bCs/>
        </w:rPr>
        <w:t>Q22. What range indicates high metabolic risk?</w:t>
      </w:r>
      <w:r>
        <w:br/>
        <w:t>A. VFL ≥ 10.</w:t>
      </w:r>
    </w:p>
    <w:p w14:paraId="365911F1" w14:textId="77777777" w:rsidR="003341A0" w:rsidRDefault="00000000">
      <w:pPr>
        <w:pStyle w:val="BodyText"/>
      </w:pPr>
      <w:r>
        <w:rPr>
          <w:b/>
          <w:bCs/>
        </w:rPr>
        <w:t>Q23. Does InBody directly measure visceral fat area?</w:t>
      </w:r>
      <w:r>
        <w:br/>
        <w:t>A. It provides a validated estimated index correlated to imaging trends.</w:t>
      </w:r>
    </w:p>
    <w:p w14:paraId="121218B4" w14:textId="77777777" w:rsidR="003341A0" w:rsidRDefault="00000000">
      <w:pPr>
        <w:pStyle w:val="BodyText"/>
      </w:pPr>
      <w:r>
        <w:rPr>
          <w:b/>
          <w:bCs/>
        </w:rPr>
        <w:t>Q24. Can InBody distinguish subcutaneous vs visceral fat?</w:t>
      </w:r>
      <w:r>
        <w:br/>
        <w:t>A. Yes, through trunk fat and visceral fat index estimates.</w:t>
      </w:r>
    </w:p>
    <w:p w14:paraId="5B4A762C" w14:textId="77777777" w:rsidR="003341A0" w:rsidRDefault="00000000">
      <w:pPr>
        <w:pStyle w:val="BodyText"/>
      </w:pPr>
      <w:r>
        <w:rPr>
          <w:b/>
          <w:bCs/>
        </w:rPr>
        <w:t>Q25. What changes reflect improving insulin sensitivity?</w:t>
      </w:r>
      <w:r>
        <w:br/>
        <w:t>A. ↓ VFL, ↓ WHR, ↑ SMM.</w:t>
      </w:r>
    </w:p>
    <w:p w14:paraId="52A46C72" w14:textId="77777777" w:rsidR="003341A0" w:rsidRDefault="00000000">
      <w:pPr>
        <w:pStyle w:val="BodyText"/>
      </w:pPr>
      <w:r>
        <w:rPr>
          <w:b/>
          <w:bCs/>
        </w:rPr>
        <w:t>Q26. Is BAT/WAT measurable by InBody?</w:t>
      </w:r>
      <w:r>
        <w:br/>
        <w:t>A. No, but related metabolic parameters can be monitored.</w:t>
      </w:r>
    </w:p>
    <w:p w14:paraId="08E131ED" w14:textId="77777777" w:rsidR="003341A0" w:rsidRDefault="00000000">
      <w:pPr>
        <w:pStyle w:val="BodyText"/>
      </w:pPr>
      <w:r>
        <w:rPr>
          <w:b/>
          <w:bCs/>
        </w:rPr>
        <w:t>Q27. What parameter correlates most with NAFLD risk?</w:t>
      </w:r>
      <w:r>
        <w:br/>
        <w:t>A. High visceral fat + high trunk fat.</w:t>
      </w:r>
    </w:p>
    <w:p w14:paraId="424502C6" w14:textId="77777777" w:rsidR="003341A0" w:rsidRDefault="00000000">
      <w:r>
        <w:lastRenderedPageBreak/>
        <w:pict w14:anchorId="17A4C2F3">
          <v:rect id="_x0000_i1028" style="width:0;height:1.5pt" o:hralign="center" o:hrstd="t" o:hr="t"/>
        </w:pict>
      </w:r>
    </w:p>
    <w:p w14:paraId="6C88502D" w14:textId="77777777" w:rsidR="003341A0" w:rsidRDefault="00000000">
      <w:pPr>
        <w:pStyle w:val="Heading2"/>
      </w:pPr>
      <w:bookmarkStart w:id="5" w:name="endocrine-metabolic-disorders"/>
      <w:bookmarkEnd w:id="4"/>
      <w:r>
        <w:rPr>
          <w:b/>
          <w:bCs/>
        </w:rPr>
        <w:t>5. Endocrine &amp; Metabolic Disorders</w:t>
      </w:r>
    </w:p>
    <w:p w14:paraId="4478BDEA" w14:textId="77777777" w:rsidR="003341A0" w:rsidRDefault="00000000">
      <w:pPr>
        <w:pStyle w:val="FirstParagraph"/>
      </w:pPr>
      <w:r>
        <w:rPr>
          <w:b/>
          <w:bCs/>
        </w:rPr>
        <w:t>Q28. How is InBody useful in PCOS?</w:t>
      </w:r>
      <w:r>
        <w:br/>
        <w:t>A. Tracks visceral fat and lean mass changes.</w:t>
      </w:r>
    </w:p>
    <w:p w14:paraId="671AA5AD" w14:textId="77777777" w:rsidR="003341A0" w:rsidRDefault="00000000">
      <w:pPr>
        <w:pStyle w:val="BodyText"/>
      </w:pPr>
      <w:r>
        <w:rPr>
          <w:b/>
          <w:bCs/>
        </w:rPr>
        <w:t>Q29. What patterns indicate metabolic syndrome?</w:t>
      </w:r>
      <w:r>
        <w:br/>
        <w:t>A. High VFL, high WHR, low SMM.</w:t>
      </w:r>
    </w:p>
    <w:p w14:paraId="0452DEBA" w14:textId="77777777" w:rsidR="003341A0" w:rsidRDefault="00000000">
      <w:pPr>
        <w:pStyle w:val="BodyText"/>
      </w:pPr>
      <w:r>
        <w:rPr>
          <w:b/>
          <w:bCs/>
        </w:rPr>
        <w:t>Q30. What reflects improved metabolic health on follow-up?</w:t>
      </w:r>
      <w:r>
        <w:br/>
        <w:t>A. Reduced fat mass with stable or rising SMM.</w:t>
      </w:r>
    </w:p>
    <w:p w14:paraId="7A37493A" w14:textId="77777777" w:rsidR="003341A0" w:rsidRDefault="00000000">
      <w:pPr>
        <w:pStyle w:val="BodyText"/>
      </w:pPr>
      <w:r>
        <w:rPr>
          <w:b/>
          <w:bCs/>
        </w:rPr>
        <w:t>Q31. Can hypothyroidism affect InBody readings?</w:t>
      </w:r>
      <w:r>
        <w:br/>
        <w:t>A. Yes—slower metabolism → fat gain, mild fluid retention.</w:t>
      </w:r>
    </w:p>
    <w:p w14:paraId="36013719" w14:textId="57A282B5" w:rsidR="003341A0" w:rsidRDefault="00000000">
      <w:pPr>
        <w:pStyle w:val="BodyText"/>
      </w:pPr>
      <w:r>
        <w:rPr>
          <w:b/>
          <w:bCs/>
        </w:rPr>
        <w:t>Q32. Which parameter changes earliest in insulin resistance?</w:t>
      </w:r>
      <w:r>
        <w:br/>
        <w:t>A. Visceral fat</w:t>
      </w:r>
      <w:r w:rsidR="00005D31">
        <w:t xml:space="preserve"> &amp; Lower limb lean mass</w:t>
      </w:r>
      <w:r>
        <w:t>.</w:t>
      </w:r>
    </w:p>
    <w:p w14:paraId="67AB8BD4" w14:textId="77777777" w:rsidR="003341A0" w:rsidRDefault="00000000">
      <w:r>
        <w:pict w14:anchorId="26D791FC">
          <v:rect id="_x0000_i1029" style="width:0;height:1.5pt" o:hralign="center" o:hrstd="t" o:hr="t"/>
        </w:pict>
      </w:r>
    </w:p>
    <w:p w14:paraId="3B202460" w14:textId="77777777" w:rsidR="003341A0" w:rsidRDefault="00000000">
      <w:pPr>
        <w:pStyle w:val="Heading2"/>
      </w:pPr>
      <w:bookmarkStart w:id="6" w:name="bariatric-surgery-obesity-medicine"/>
      <w:bookmarkEnd w:id="5"/>
      <w:r>
        <w:rPr>
          <w:b/>
          <w:bCs/>
        </w:rPr>
        <w:t>6. Bariatric Surgery &amp; Obesity Medicine</w:t>
      </w:r>
    </w:p>
    <w:p w14:paraId="5B2040FA" w14:textId="76F2CC3E" w:rsidR="003341A0" w:rsidRDefault="00000000">
      <w:pPr>
        <w:pStyle w:val="FirstParagraph"/>
      </w:pPr>
      <w:r>
        <w:rPr>
          <w:b/>
          <w:bCs/>
        </w:rPr>
        <w:t>Q33. What pre-bariatric markers are essential?</w:t>
      </w:r>
      <w:r>
        <w:br/>
        <w:t>A. SMM, ALM, ECW/TBW, visceral fat</w:t>
      </w:r>
      <w:r w:rsidR="00005D31">
        <w:t>, PBF , Phase Angle(&gt;3.9)</w:t>
      </w:r>
      <w:r>
        <w:t>.</w:t>
      </w:r>
    </w:p>
    <w:p w14:paraId="7F69A94F" w14:textId="77777777" w:rsidR="003341A0" w:rsidRDefault="00000000">
      <w:pPr>
        <w:pStyle w:val="BodyText"/>
      </w:pPr>
      <w:r>
        <w:rPr>
          <w:b/>
          <w:bCs/>
        </w:rPr>
        <w:t>Q34. What is the typical early post-op pattern?</w:t>
      </w:r>
      <w:r>
        <w:br/>
        <w:t>A. Rapid fat loss, moderate initial SMM loss.</w:t>
      </w:r>
    </w:p>
    <w:p w14:paraId="13912A85" w14:textId="1497C9C3" w:rsidR="003341A0" w:rsidRDefault="00000000">
      <w:pPr>
        <w:pStyle w:val="BodyText"/>
      </w:pPr>
      <w:r>
        <w:rPr>
          <w:b/>
          <w:bCs/>
        </w:rPr>
        <w:t>Q35. Why monitor ICW post bariatric surgery?</w:t>
      </w:r>
      <w:r>
        <w:br/>
        <w:t>A. ICW reflects muscle recovery and nutrient status.</w:t>
      </w:r>
      <w:r w:rsidR="00005D31">
        <w:t xml:space="preserve"> Helps monitor weight recycling</w:t>
      </w:r>
    </w:p>
    <w:p w14:paraId="4318FCAB" w14:textId="77777777" w:rsidR="003341A0" w:rsidRDefault="00000000">
      <w:pPr>
        <w:pStyle w:val="BodyText"/>
      </w:pPr>
      <w:r>
        <w:rPr>
          <w:b/>
          <w:bCs/>
        </w:rPr>
        <w:t>Q36. Ideal testing frequency post-surgery?</w:t>
      </w:r>
      <w:r>
        <w:br/>
        <w:t>A. Every 2–4 weeks.</w:t>
      </w:r>
    </w:p>
    <w:p w14:paraId="30A2097C" w14:textId="77777777" w:rsidR="003341A0" w:rsidRDefault="00000000">
      <w:r>
        <w:pict w14:anchorId="370842BE">
          <v:rect id="_x0000_i1030" style="width:0;height:1.5pt" o:hralign="center" o:hrstd="t" o:hr="t"/>
        </w:pict>
      </w:r>
    </w:p>
    <w:p w14:paraId="535299F6" w14:textId="77777777" w:rsidR="003341A0" w:rsidRDefault="00000000">
      <w:pPr>
        <w:pStyle w:val="Heading2"/>
      </w:pPr>
      <w:bookmarkStart w:id="7" w:name="renal-hepatic-medical-conditions"/>
      <w:bookmarkEnd w:id="6"/>
      <w:r>
        <w:rPr>
          <w:b/>
          <w:bCs/>
        </w:rPr>
        <w:t>7. Renal, Hepatic &amp; Medical Conditions</w:t>
      </w:r>
    </w:p>
    <w:p w14:paraId="22E949E3" w14:textId="77777777" w:rsidR="003341A0" w:rsidRDefault="00000000">
      <w:pPr>
        <w:pStyle w:val="FirstParagraph"/>
      </w:pPr>
      <w:r>
        <w:rPr>
          <w:b/>
          <w:bCs/>
        </w:rPr>
        <w:t>Q37. How is InBody used in CKD?</w:t>
      </w:r>
      <w:r>
        <w:br/>
        <w:t>A. ECW/TBW guides fluid management and sarcopenia diagnosis.</w:t>
      </w:r>
    </w:p>
    <w:p w14:paraId="6AC442EF" w14:textId="77777777" w:rsidR="003341A0" w:rsidRDefault="00000000">
      <w:pPr>
        <w:pStyle w:val="BodyText"/>
      </w:pPr>
      <w:r>
        <w:rPr>
          <w:b/>
          <w:bCs/>
        </w:rPr>
        <w:t>Q38. How does dialysis affect readings?</w:t>
      </w:r>
      <w:r>
        <w:br/>
        <w:t>A. Post-dialysis ECW decreases significantly.</w:t>
      </w:r>
    </w:p>
    <w:p w14:paraId="0648B0E1" w14:textId="77777777" w:rsidR="003341A0" w:rsidRDefault="00000000">
      <w:pPr>
        <w:pStyle w:val="BodyText"/>
      </w:pPr>
      <w:r>
        <w:rPr>
          <w:b/>
          <w:bCs/>
        </w:rPr>
        <w:t>Q39. Can InBody detect ascites?</w:t>
      </w:r>
      <w:r>
        <w:br/>
        <w:t>A. Indirectly via elevated trunk ECW.</w:t>
      </w:r>
    </w:p>
    <w:p w14:paraId="2DB66A5A" w14:textId="77777777" w:rsidR="003341A0" w:rsidRDefault="00000000">
      <w:pPr>
        <w:pStyle w:val="BodyText"/>
      </w:pPr>
      <w:r>
        <w:rPr>
          <w:b/>
          <w:bCs/>
        </w:rPr>
        <w:lastRenderedPageBreak/>
        <w:t>Q40. What indicates hepatic inflammation?</w:t>
      </w:r>
      <w:r>
        <w:br/>
        <w:t>A. Elevated ECW/TBW and reduced phase angle.</w:t>
      </w:r>
    </w:p>
    <w:p w14:paraId="4A1AC487" w14:textId="77777777" w:rsidR="003341A0" w:rsidRDefault="00000000">
      <w:pPr>
        <w:pStyle w:val="BodyText"/>
      </w:pPr>
      <w:r>
        <w:rPr>
          <w:b/>
          <w:bCs/>
        </w:rPr>
        <w:t>Q41. What pattern is common in NAFLD?</w:t>
      </w:r>
      <w:r>
        <w:br/>
        <w:t>A. High visceral fat + increased trunk fat.</w:t>
      </w:r>
    </w:p>
    <w:p w14:paraId="7FF253F8" w14:textId="77777777" w:rsidR="003341A0" w:rsidRDefault="00000000">
      <w:r>
        <w:pict w14:anchorId="52F556D4">
          <v:rect id="_x0000_i1031" style="width:0;height:1.5pt" o:hralign="center" o:hrstd="t" o:hr="t"/>
        </w:pict>
      </w:r>
    </w:p>
    <w:p w14:paraId="0E8C44A3" w14:textId="77777777" w:rsidR="003341A0" w:rsidRDefault="00000000">
      <w:pPr>
        <w:pStyle w:val="Heading2"/>
      </w:pPr>
      <w:bookmarkStart w:id="8" w:name="sports-medicine-rehabilitation"/>
      <w:bookmarkEnd w:id="7"/>
      <w:r>
        <w:rPr>
          <w:b/>
          <w:bCs/>
        </w:rPr>
        <w:t>8. Sports Medicine &amp; Rehabilitation</w:t>
      </w:r>
    </w:p>
    <w:p w14:paraId="3631D84A" w14:textId="77777777" w:rsidR="003341A0" w:rsidRDefault="00000000">
      <w:pPr>
        <w:pStyle w:val="FirstParagraph"/>
      </w:pPr>
      <w:r>
        <w:rPr>
          <w:b/>
          <w:bCs/>
        </w:rPr>
        <w:t>Q42. Can InBody detect muscle asymmetry?</w:t>
      </w:r>
      <w:r>
        <w:br/>
        <w:t>A. Yes, via segmental lean analysis.</w:t>
      </w:r>
    </w:p>
    <w:p w14:paraId="314355C4" w14:textId="77777777" w:rsidR="003341A0" w:rsidRDefault="00000000">
      <w:pPr>
        <w:pStyle w:val="BodyText"/>
      </w:pPr>
      <w:r>
        <w:rPr>
          <w:b/>
          <w:bCs/>
        </w:rPr>
        <w:t>Q43. What indicates overtraining?</w:t>
      </w:r>
      <w:r>
        <w:br/>
        <w:t>A. Reduced SMM or ICW despite training load.</w:t>
      </w:r>
    </w:p>
    <w:p w14:paraId="7F3E1398" w14:textId="764A4118" w:rsidR="003341A0" w:rsidRPr="00005D31" w:rsidRDefault="00000000">
      <w:pPr>
        <w:pStyle w:val="BodyText"/>
        <w:rPr>
          <w:b/>
          <w:bCs/>
          <w:lang w:val="en-IN"/>
        </w:rPr>
      </w:pPr>
      <w:r>
        <w:rPr>
          <w:b/>
          <w:bCs/>
        </w:rPr>
        <w:t xml:space="preserve">Q44. How is InBody useful in </w:t>
      </w:r>
      <w:r w:rsidR="00005D31" w:rsidRPr="00005D31">
        <w:rPr>
          <w:b/>
          <w:bCs/>
          <w:lang w:val="en-IN"/>
        </w:rPr>
        <w:t>Anterior Cruciate Ligament (ACL)</w:t>
      </w:r>
      <w:r w:rsidR="00005D31">
        <w:rPr>
          <w:b/>
          <w:bCs/>
          <w:lang w:val="en-IN"/>
        </w:rPr>
        <w:t xml:space="preserve"> </w:t>
      </w:r>
      <w:r>
        <w:rPr>
          <w:b/>
          <w:bCs/>
        </w:rPr>
        <w:t>?</w:t>
      </w:r>
      <w:r>
        <w:br/>
        <w:t>A. Tracks limb muscle recovery and balance.</w:t>
      </w:r>
    </w:p>
    <w:p w14:paraId="0B82B4CB" w14:textId="77777777" w:rsidR="003341A0" w:rsidRDefault="00000000">
      <w:pPr>
        <w:pStyle w:val="BodyText"/>
      </w:pPr>
      <w:r>
        <w:rPr>
          <w:b/>
          <w:bCs/>
        </w:rPr>
        <w:t>Q45. What parameter reflects training adaptation?</w:t>
      </w:r>
      <w:r>
        <w:br/>
        <w:t>A. Increased ICW and segmental lean mass.</w:t>
      </w:r>
    </w:p>
    <w:p w14:paraId="305E8BEA" w14:textId="4581D4A8" w:rsidR="003341A0" w:rsidRDefault="00000000">
      <w:pPr>
        <w:pStyle w:val="BodyText"/>
      </w:pPr>
      <w:r>
        <w:rPr>
          <w:b/>
          <w:bCs/>
        </w:rPr>
        <w:t>Q46. What indicates poor recovery?</w:t>
      </w:r>
      <w:r>
        <w:br/>
        <w:t>A. High ECW in the affected limb</w:t>
      </w:r>
      <w:r w:rsidR="00005D31">
        <w:t xml:space="preserve">/ body part </w:t>
      </w:r>
      <w:r>
        <w:t>.</w:t>
      </w:r>
    </w:p>
    <w:p w14:paraId="362A6461" w14:textId="77777777" w:rsidR="003341A0" w:rsidRDefault="00000000">
      <w:r>
        <w:pict w14:anchorId="2910DAC2">
          <v:rect id="_x0000_i1032" style="width:0;height:1.5pt" o:hralign="center" o:hrstd="t" o:hr="t"/>
        </w:pict>
      </w:r>
    </w:p>
    <w:p w14:paraId="1359A4F3" w14:textId="77777777" w:rsidR="003341A0" w:rsidRDefault="00000000">
      <w:pPr>
        <w:pStyle w:val="Heading2"/>
      </w:pPr>
      <w:bookmarkStart w:id="9" w:name="X88caebab06443797511a1ac83527ae83280a5d6"/>
      <w:bookmarkEnd w:id="8"/>
      <w:r>
        <w:rPr>
          <w:b/>
          <w:bCs/>
        </w:rPr>
        <w:t>9. Testing Protocol &amp; Technical Considerations</w:t>
      </w:r>
    </w:p>
    <w:p w14:paraId="7119AB3B" w14:textId="77777777" w:rsidR="003341A0" w:rsidRDefault="00000000">
      <w:pPr>
        <w:pStyle w:val="FirstParagraph"/>
      </w:pPr>
      <w:r>
        <w:rPr>
          <w:b/>
          <w:bCs/>
        </w:rPr>
        <w:t>Q47. Optimal pre-test conditions?</w:t>
      </w:r>
      <w:r>
        <w:br/>
        <w:t>A. 2–3 hours post-meal, empty bladder, no exercise 6–12 hours.</w:t>
      </w:r>
    </w:p>
    <w:p w14:paraId="00CAF60A" w14:textId="77777777" w:rsidR="003341A0" w:rsidRDefault="00000000">
      <w:pPr>
        <w:pStyle w:val="BodyText"/>
      </w:pPr>
      <w:r>
        <w:rPr>
          <w:b/>
          <w:bCs/>
        </w:rPr>
        <w:t>Q48. Can menstruation influence results?</w:t>
      </w:r>
      <w:r>
        <w:br/>
        <w:t>A. Yes, ECW may increase.</w:t>
      </w:r>
    </w:p>
    <w:p w14:paraId="054D9E00" w14:textId="77777777" w:rsidR="003341A0" w:rsidRDefault="00000000">
      <w:pPr>
        <w:pStyle w:val="BodyText"/>
      </w:pPr>
      <w:r>
        <w:rPr>
          <w:b/>
          <w:bCs/>
        </w:rPr>
        <w:t>Q49. Is footwear allowed during testing?</w:t>
      </w:r>
      <w:r>
        <w:br/>
        <w:t>A. No, bare feet required for electrode contact.</w:t>
      </w:r>
    </w:p>
    <w:p w14:paraId="0DB31A9B" w14:textId="77777777" w:rsidR="003341A0" w:rsidRDefault="00000000">
      <w:pPr>
        <w:pStyle w:val="BodyText"/>
      </w:pPr>
      <w:r>
        <w:rPr>
          <w:b/>
          <w:bCs/>
        </w:rPr>
        <w:t>Q50. Can metal implants affect results?</w:t>
      </w:r>
      <w:r>
        <w:br/>
        <w:t>A. Usually minimal effect; readings remain valid.</w:t>
      </w:r>
    </w:p>
    <w:p w14:paraId="2B10588D" w14:textId="77777777" w:rsidR="003341A0" w:rsidRDefault="00000000">
      <w:pPr>
        <w:pStyle w:val="BodyText"/>
      </w:pPr>
      <w:r>
        <w:rPr>
          <w:b/>
          <w:bCs/>
        </w:rPr>
        <w:t>Q51. What causes sudden fat mass spikes?</w:t>
      </w:r>
      <w:r>
        <w:br/>
        <w:t>A. Fluid retention, menstrual cycle, hydration changes.</w:t>
      </w:r>
    </w:p>
    <w:p w14:paraId="2D21E230" w14:textId="663E9BD0" w:rsidR="003341A0" w:rsidRDefault="00000000">
      <w:pPr>
        <w:pStyle w:val="BodyText"/>
      </w:pPr>
      <w:r>
        <w:rPr>
          <w:b/>
          <w:bCs/>
        </w:rPr>
        <w:t>Q52. Why compare results only on the same device model?</w:t>
      </w:r>
      <w:r>
        <w:br/>
        <w:t>A. Different models may use different frequency combinations</w:t>
      </w:r>
      <w:r w:rsidR="00005D31">
        <w:t xml:space="preserve"> hence results may vary</w:t>
      </w:r>
      <w:r>
        <w:t>.</w:t>
      </w:r>
      <w:bookmarkEnd w:id="0"/>
      <w:bookmarkEnd w:id="9"/>
    </w:p>
    <w:sectPr w:rsidR="003341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84A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2639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1A0"/>
    <w:rsid w:val="00005D31"/>
    <w:rsid w:val="00060A56"/>
    <w:rsid w:val="003341A0"/>
    <w:rsid w:val="0069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2C29"/>
  <w15:docId w15:val="{FF886E10-8936-48BA-88FA-C63D26C2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Tejas RS</cp:lastModifiedBy>
  <cp:revision>2</cp:revision>
  <dcterms:created xsi:type="dcterms:W3CDTF">2025-12-04T16:02:00Z</dcterms:created>
  <dcterms:modified xsi:type="dcterms:W3CDTF">2025-12-04T16:27:00Z</dcterms:modified>
</cp:coreProperties>
</file>