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8663A"/>
          <w:sz w:val="36"/>
          <w:szCs w:val="36"/>
        </w:rPr>
        <w:t xml:space="preserve">DECO3500 — Assignment 1</w:t>
      </w:r>
    </w:p>
    <w:p>
      <w:pPr>
        <w:spacing w:after="40"/>
      </w:pPr>
      <w:r>
        <w:rPr>
          <w:i/>
          <w:iCs/>
          <w:color w:val="6B5F52"/>
          <w:sz w:val="24"/>
          <w:szCs w:val="24"/>
        </w:rPr>
        <w:t xml:space="preserve">Annotated Tasks &amp; Learning Reflection (Draft)</w:t>
      </w:r>
    </w:p>
    <w:p>
      <w:pPr>
        <w:spacing w:after="320"/>
      </w:pPr>
      <w:r>
        <w:rPr>
          <w:color w:val="6B5F52"/>
          <w:sz w:val="20"/>
          <w:szCs w:val="20"/>
        </w:rPr>
        <w:t xml:space="preserve">Name: [Your name]  ·  Due: 1:00pm, Wed 7 October 2026 (Week 10)</w:t>
      </w:r>
    </w:p>
    <w:p>
      <w:pPr>
        <w:pStyle w:val="Heading1"/>
        <w:spacing w:after="140" w:before="340"/>
      </w:pPr>
      <w:r>
        <w:rPr>
          <w:b/>
          <w:bCs/>
          <w:color w:val="E8663A"/>
          <w:sz w:val="28"/>
          <w:szCs w:val="28"/>
        </w:rPr>
        <w:t xml:space="preserve">Part 1 — Annotated Portfolio Tasks</w:t>
      </w:r>
    </w:p>
    <w:p>
      <w:pPr>
        <w:spacing w:after="160"/>
      </w:pPr>
      <w:r>
        <w:rPr>
          <w:i/>
          <w:iCs/>
          <w:color w:val="6B5F52"/>
          <w:sz w:val="21"/>
          <w:szCs w:val="21"/>
        </w:rPr>
        <w:t xml:space="preserve">Each task below records what was produced and reflects on what it taught me about social and mobile computing, tied back to my own project (MOTIF) where relevant.</w:t>
      </w:r>
    </w:p>
    <w:p>
      <w:pPr>
        <w:pStyle w:val="Heading2"/>
        <w:spacing w:after="100" w:before="200"/>
      </w:pPr>
      <w:r>
        <w:rPr>
          <w:b/>
          <w:bCs/>
          <w:color w:val="0D1117"/>
          <w:sz w:val="23"/>
          <w:szCs w:val="23"/>
        </w:rPr>
        <w:t xml:space="preserve">Task 1 — Weiser on ubiquitous computing</w:t>
      </w:r>
    </w:p>
    <w:p>
      <w:pPr>
        <w:spacing w:after="200"/>
      </w:pPr>
      <w:r>
        <w:rPr>
          <w:i/>
          <w:iCs/>
          <w:color w:val="6B5F52"/>
          <w:sz w:val="20"/>
          <w:szCs w:val="20"/>
        </w:rPr>
        <w:t xml:space="preserve">[Draft this once you've reviewed your annotations/discussion from the Ed thread — not covered in our conversation yet. Reflect on how Weiser's vision of computing that 'disappears' into everyday life relates to your own project's ambitions.]</w:t>
      </w:r>
    </w:p>
    <w:p>
      <w:pPr>
        <w:pStyle w:val="Heading2"/>
        <w:spacing w:after="100" w:before="200"/>
      </w:pPr>
      <w:r>
        <w:rPr>
          <w:b/>
          <w:bCs/>
          <w:color w:val="0D1117"/>
          <w:sz w:val="23"/>
          <w:szCs w:val="23"/>
        </w:rPr>
        <w:t xml:space="preserve">Task 2 — Kraal on articulation work</w:t>
      </w:r>
    </w:p>
    <w:p>
      <w:pPr>
        <w:spacing w:after="200"/>
      </w:pPr>
      <w:r>
        <w:rPr>
          <w:i/>
          <w:iCs/>
          <w:color w:val="6B5F52"/>
          <w:sz w:val="20"/>
          <w:szCs w:val="20"/>
        </w:rPr>
        <w:t xml:space="preserve">[Same as above — pull from your own annotations on this reading.]</w:t>
      </w:r>
    </w:p>
    <w:p>
      <w:pPr>
        <w:pStyle w:val="Heading2"/>
        <w:spacing w:after="100" w:before="200"/>
      </w:pPr>
      <w:r>
        <w:rPr>
          <w:b/>
          <w:bCs/>
          <w:color w:val="0D1117"/>
          <w:sz w:val="23"/>
          <w:szCs w:val="23"/>
        </w:rPr>
        <w:t xml:space="preserve">Task 3 — Erickson on social computing</w:t>
      </w:r>
    </w:p>
    <w:p>
      <w:pPr>
        <w:spacing w:after="200"/>
      </w:pPr>
      <w:r>
        <w:rPr>
          <w:i/>
          <w:iCs/>
          <w:color w:val="6B5F52"/>
          <w:sz w:val="20"/>
          <w:szCs w:val="20"/>
        </w:rPr>
        <w:t xml:space="preserve">[Same as above.]</w:t>
      </w:r>
    </w:p>
    <w:p>
      <w:pPr>
        <w:pStyle w:val="Heading2"/>
        <w:spacing w:after="100" w:before="200"/>
      </w:pPr>
      <w:r>
        <w:rPr>
          <w:b/>
          <w:bCs/>
          <w:color w:val="0D1117"/>
          <w:sz w:val="23"/>
          <w:szCs w:val="23"/>
        </w:rPr>
        <w:t xml:space="preserve">Task 4 — The 3C Collaboration Model</w:t>
      </w:r>
    </w:p>
    <w:p>
      <w:pPr>
        <w:spacing w:after="200"/>
      </w:pPr>
      <w:r>
        <w:rPr>
          <w:i/>
          <w:iCs/>
          <w:color w:val="6B5F52"/>
          <w:sz w:val="20"/>
          <w:szCs w:val="20"/>
        </w:rPr>
        <w:t xml:space="preserve">[Same as above — likely relevant to MOTIF's Communication/Coordination/Collaboration framing already used in your proposal.]</w:t>
      </w:r>
    </w:p>
    <w:p>
      <w:pPr>
        <w:pStyle w:val="Heading2"/>
        <w:spacing w:after="100" w:before="200"/>
      </w:pPr>
      <w:r>
        <w:rPr>
          <w:b/>
          <w:bCs/>
          <w:color w:val="0D1117"/>
          <w:sz w:val="23"/>
          <w:szCs w:val="23"/>
        </w:rPr>
        <w:t xml:space="preserve">Task 5 — ACM peer-reviewed papers related to chosen domain</w:t>
      </w:r>
    </w:p>
    <w:p>
      <w:pPr>
        <w:spacing w:after="40"/>
      </w:pPr>
      <w:r>
        <w:rPr>
          <w:b/>
          <w:bCs/>
          <w:color w:val="2AC9B8"/>
          <w:sz w:val="20"/>
          <w:szCs w:val="20"/>
        </w:rPr>
        <w:t xml:space="preserve">What I produced:</w:t>
      </w:r>
    </w:p>
    <w:p>
      <w:pPr>
        <w:spacing w:after="160"/>
      </w:pPr>
      <w:r>
        <w:rPr>
          <w:sz w:val="21"/>
          <w:szCs w:val="21"/>
        </w:rPr>
        <w:t xml:space="preserve">A set of peer-reviewed ACM Digital Library sources relevant to MOTIF's domain, spanning music recommendation, community-curated content, location-based social networks, and identity/self-presentation design — including Celma &amp; Herrera on music discovery, Kuo et al. on community-driven Wikipedia curation, a Computing Surveys review of location-based social networks, and recent CHI work on self-fashioning technologies and social identity theory in CSCW.</w:t>
      </w:r>
    </w:p>
    <w:p>
      <w:pPr>
        <w:spacing w:after="40"/>
      </w:pPr>
      <w:r>
        <w:rPr>
          <w:b/>
          <w:bCs/>
          <w:color w:val="2AC9B8"/>
          <w:sz w:val="20"/>
          <w:szCs w:val="20"/>
        </w:rPr>
        <w:t xml:space="preserve">Annotation:</w:t>
      </w:r>
    </w:p>
    <w:p>
      <w:pPr>
        <w:spacing w:after="160"/>
      </w:pPr>
      <w:r>
        <w:rPr>
          <w:sz w:val="21"/>
          <w:szCs w:val="21"/>
        </w:rPr>
        <w:t xml:space="preserve">This task pushed me to ground MOTIF's design decisions in existing research rather than intuition alone. The location-based social network survey in particular gave theoretical backing to our Nearby/Scene feature, and the CSCW social identity theory paper directly informed how we think about 'identity performance' in user-generated content. It taught me that a strong concept needs a literature trail, not just a good pitch.</w:t>
      </w:r>
    </w:p>
    <w:p>
      <w:pPr>
        <w:pStyle w:val="Heading2"/>
        <w:spacing w:after="100" w:before="200"/>
      </w:pPr>
      <w:r>
        <w:rPr>
          <w:b/>
          <w:bCs/>
          <w:color w:val="0D1117"/>
          <w:sz w:val="23"/>
          <w:szCs w:val="23"/>
        </w:rPr>
        <w:t xml:space="preserve">Task 6 — Review your interview questions</w:t>
      </w:r>
    </w:p>
    <w:p>
      <w:pPr>
        <w:spacing w:after="40"/>
      </w:pPr>
      <w:r>
        <w:rPr>
          <w:b/>
          <w:bCs/>
          <w:color w:val="2AC9B8"/>
          <w:sz w:val="20"/>
          <w:szCs w:val="20"/>
        </w:rPr>
        <w:t xml:space="preserve">What I produced:</w:t>
      </w:r>
    </w:p>
    <w:p>
      <w:pPr>
        <w:spacing w:after="160"/>
      </w:pPr>
      <w:r>
        <w:rPr>
          <w:sz w:val="21"/>
          <w:szCs w:val="21"/>
        </w:rPr>
        <w:t xml:space="preserve">Revised our interview guide after peer and teaching-team feedback specifically calling for questions that elicit concrete stories rather than general opinions — for example, changing broad questions into ones asking participants to walk through a specific past experience (a gig they attended, a time they discovered new music through a friend).</w:t>
      </w:r>
    </w:p>
    <w:p>
      <w:pPr>
        <w:spacing w:after="40"/>
      </w:pPr>
      <w:r>
        <w:rPr>
          <w:b/>
          <w:bCs/>
          <w:color w:val="2AC9B8"/>
          <w:sz w:val="20"/>
          <w:szCs w:val="20"/>
        </w:rPr>
        <w:t xml:space="preserve">Annotation:</w:t>
      </w:r>
    </w:p>
    <w:p>
      <w:pPr>
        <w:spacing w:after="160"/>
      </w:pPr>
      <w:r>
        <w:rPr>
          <w:sz w:val="21"/>
          <w:szCs w:val="21"/>
        </w:rPr>
        <w:t xml:space="preserve">This was one of the more practically useful pieces of feedback in the whole project. I learned that specific stories reveal values, contextual detail, and real 'problematisations' that general answers to general questions simply don't surface — a participant's answer to 'tell me about a time X happened' is far richer evidence than their answer to 'do you like X'. This changed how I write every interview question now, not just for this task.</w:t>
      </w:r>
    </w:p>
    <w:p>
      <w:pPr>
        <w:pStyle w:val="Heading2"/>
        <w:spacing w:after="100" w:before="200"/>
      </w:pPr>
      <w:r>
        <w:rPr>
          <w:b/>
          <w:bCs/>
          <w:color w:val="0D1117"/>
          <w:sz w:val="23"/>
          <w:szCs w:val="23"/>
        </w:rPr>
        <w:t xml:space="preserve">Task 7 — Schmidt on Awareness</w:t>
      </w:r>
    </w:p>
    <w:p>
      <w:pPr>
        <w:spacing w:after="40"/>
      </w:pPr>
      <w:r>
        <w:rPr>
          <w:b/>
          <w:bCs/>
          <w:color w:val="2AC9B8"/>
          <w:sz w:val="20"/>
          <w:szCs w:val="20"/>
        </w:rPr>
        <w:t xml:space="preserve">What I produced:</w:t>
      </w:r>
    </w:p>
    <w:p>
      <w:pPr>
        <w:spacing w:after="160"/>
      </w:pPr>
      <w:r>
        <w:rPr>
          <w:sz w:val="21"/>
          <w:szCs w:val="21"/>
        </w:rPr>
        <w:t xml:space="preserve">Read Schmidt's introductory remarks on 'Awareness in CSCW', which argues that cooperating people implicitly take heed of each other's activity and context without needing to constantly interrupt each other to ask, suggest, or remind.</w:t>
      </w:r>
    </w:p>
    <w:p>
      <w:pPr>
        <w:spacing w:after="40"/>
      </w:pPr>
      <w:r>
        <w:rPr>
          <w:b/>
          <w:bCs/>
          <w:color w:val="2AC9B8"/>
          <w:sz w:val="20"/>
          <w:szCs w:val="20"/>
        </w:rPr>
        <w:t xml:space="preserve">Annotation:</w:t>
      </w:r>
    </w:p>
    <w:p>
      <w:pPr>
        <w:spacing w:after="160"/>
      </w:pPr>
      <w:r>
        <w:rPr>
          <w:sz w:val="21"/>
          <w:szCs w:val="21"/>
        </w:rPr>
        <w:t xml:space="preserve">This directly reframed how I think about MOTIF's Nearby/Scene and community-feed features: the goal isn't to force communication, but to give users an ambient sense of what others in their scene are doing — the same 'seamless awareness' Schmidt describes in physical workplaces. It helped me articulate why our anti-algorithm stance isn't anti-social — awareness can be low-effort and implicit without being algorithmically manufactured.</w:t>
      </w:r>
    </w:p>
    <w:p>
      <w:pPr>
        <w:pStyle w:val="Heading2"/>
        <w:spacing w:after="100" w:before="200"/>
      </w:pPr>
      <w:r>
        <w:rPr>
          <w:b/>
          <w:bCs/>
          <w:color w:val="0D1117"/>
          <w:sz w:val="23"/>
          <w:szCs w:val="23"/>
        </w:rPr>
        <w:t xml:space="preserve">Task 8 — Satyanarayanan on the next decade of mobile computing</w:t>
      </w:r>
    </w:p>
    <w:p>
      <w:pPr>
        <w:spacing w:after="40"/>
      </w:pPr>
      <w:r>
        <w:rPr>
          <w:b/>
          <w:bCs/>
          <w:color w:val="2AC9B8"/>
          <w:sz w:val="20"/>
          <w:szCs w:val="20"/>
        </w:rPr>
        <w:t xml:space="preserve">What I produced:</w:t>
      </w:r>
    </w:p>
    <w:p>
      <w:pPr>
        <w:spacing w:after="160"/>
      </w:pPr>
      <w:r>
        <w:rPr>
          <w:sz w:val="21"/>
          <w:szCs w:val="21"/>
        </w:rPr>
        <w:t xml:space="preserve">Read Satyanarayanan's argument that mobile computing's original goal — information at your fingertips, anywhere, anytime — has now largely been achieved, and that the next wave is about mobile devices as rich sensors and their fusion with cloud computing.</w:t>
      </w:r>
    </w:p>
    <w:p>
      <w:pPr>
        <w:spacing w:after="40"/>
      </w:pPr>
      <w:r>
        <w:rPr>
          <w:b/>
          <w:bCs/>
          <w:color w:val="2AC9B8"/>
          <w:sz w:val="20"/>
          <w:szCs w:val="20"/>
        </w:rPr>
        <w:t xml:space="preserve">Annotation:</w:t>
      </w:r>
    </w:p>
    <w:p>
      <w:pPr>
        <w:spacing w:after="160"/>
      </w:pPr>
      <w:r>
        <w:rPr>
          <w:sz w:val="21"/>
          <w:szCs w:val="21"/>
        </w:rPr>
        <w:t xml:space="preserve">This helped me see that MOTIF isn't trying to solve a connectivity problem (that's already solved) — it's trying to solve a social/curation problem on top of infrastructure that already works. It also reframed our location-awareness feature: Satyanarayanan's point about devices becoming sensors of context, not just access points, is exactly what our Nearby/Scene feature depends on.</w:t>
      </w:r>
    </w:p>
    <w:p>
      <w:pPr>
        <w:pStyle w:val="Heading2"/>
        <w:spacing w:after="100" w:before="200"/>
      </w:pPr>
      <w:r>
        <w:rPr>
          <w:b/>
          <w:bCs/>
          <w:color w:val="0D1117"/>
          <w:sz w:val="23"/>
          <w:szCs w:val="23"/>
        </w:rPr>
        <w:t xml:space="preserve">Task 9 — Olsson's Review of Design Solutions and Approaches</w:t>
      </w:r>
    </w:p>
    <w:p>
      <w:pPr>
        <w:spacing w:after="40"/>
      </w:pPr>
      <w:r>
        <w:rPr>
          <w:b/>
          <w:bCs/>
          <w:color w:val="2AC9B8"/>
          <w:sz w:val="20"/>
          <w:szCs w:val="20"/>
        </w:rPr>
        <w:t xml:space="preserve">What I produced:</w:t>
      </w:r>
    </w:p>
    <w:p>
      <w:pPr>
        <w:spacing w:after="160"/>
      </w:pPr>
      <w:r>
        <w:rPr>
          <w:sz w:val="21"/>
          <w:szCs w:val="21"/>
        </w:rPr>
        <w:t xml:space="preserve">Read Olsson et al.'s literature review of 92 projects designed to actively enhance (not just enable) collocated social interaction, spanning shared-input devices, joint-effort game controllers, and installations requiring simultaneous action from two people.</w:t>
      </w:r>
    </w:p>
    <w:p>
      <w:pPr>
        <w:spacing w:after="40"/>
      </w:pPr>
      <w:r>
        <w:rPr>
          <w:b/>
          <w:bCs/>
          <w:color w:val="2AC9B8"/>
          <w:sz w:val="20"/>
          <w:szCs w:val="20"/>
        </w:rPr>
        <w:t xml:space="preserve">Annotation:</w:t>
      </w:r>
    </w:p>
    <w:p>
      <w:pPr>
        <w:spacing w:after="160"/>
      </w:pPr>
      <w:r>
        <w:rPr>
          <w:sz w:val="21"/>
          <w:szCs w:val="21"/>
        </w:rPr>
        <w:t xml:space="preserve">This sharpened the distinction between features that merely allow interaction and features that actively deepen it. Applied to MOTIF, it made me realise our post-to-entry feature needs to do more than just permit commentary — it should be designed to genuinely enhance a shared understanding of the piece being discussed, which is why we tied posts to specific entries rather than a free-floating feed.</w:t>
      </w:r>
    </w:p>
    <w:p>
      <w:pPr>
        <w:pStyle w:val="Heading2"/>
        <w:spacing w:after="100" w:before="200"/>
      </w:pPr>
      <w:r>
        <w:rPr>
          <w:b/>
          <w:bCs/>
          <w:color w:val="0D1117"/>
          <w:sz w:val="23"/>
          <w:szCs w:val="23"/>
        </w:rPr>
        <w:t xml:space="preserve">Task 10 — Grudin and Hollan</w:t>
      </w:r>
    </w:p>
    <w:p>
      <w:pPr>
        <w:spacing w:after="40"/>
      </w:pPr>
      <w:r>
        <w:rPr>
          <w:b/>
          <w:bCs/>
          <w:color w:val="2AC9B8"/>
          <w:sz w:val="20"/>
          <w:szCs w:val="20"/>
        </w:rPr>
        <w:t xml:space="preserve">What I produced:</w:t>
      </w:r>
    </w:p>
    <w:p>
      <w:pPr>
        <w:spacing w:after="160"/>
      </w:pPr>
      <w:r>
        <w:rPr>
          <w:sz w:val="21"/>
          <w:szCs w:val="21"/>
        </w:rPr>
        <w:t xml:space="preserve">Read two classic CSCW papers: Grudin's 'Groupware and Social Dynamics: Eight Challenges for Developers' (1994), on why collaborative tools often fail due to mismatches between who does the work and who benefits, and the 'critical mass' adoption problem; and Hollan &amp; Stornetta's 'Beyond Being There' (1992), which argues digital tools shouldn't just imitate physical presence but should offer capabilities presence can't.</w:t>
      </w:r>
    </w:p>
    <w:p>
      <w:pPr>
        <w:spacing w:after="40"/>
      </w:pPr>
      <w:r>
        <w:rPr>
          <w:b/>
          <w:bCs/>
          <w:color w:val="2AC9B8"/>
          <w:sz w:val="20"/>
          <w:szCs w:val="20"/>
        </w:rPr>
        <w:t xml:space="preserve">Annotation:</w:t>
      </w:r>
    </w:p>
    <w:p>
      <w:pPr>
        <w:spacing w:after="160"/>
      </w:pPr>
      <w:r>
        <w:rPr>
          <w:sz w:val="21"/>
          <w:szCs w:val="21"/>
        </w:rPr>
        <w:t xml:space="preserve">Grudin's critical mass problem is a direct, practical risk for MOTIF: a platform depending on verified artists and community posts is close to worthless with too few of either. This changed how our team is thinking about early content seeding, not just feature design. Hollan and Stornetta's 'Beyond Being There' test gave me an honest question to sit with: does browsing culture on MOTIF do something a museum visit or a Wikipedia search can't — or does it just digitise them? I don't think we've fully answered this yet, which is itself a useful, honest place for the reflection below to sit.</w:t>
      </w:r>
    </w:p>
    <w:p>
      <w:pPr>
        <w:pStyle w:val="Heading1"/>
        <w:spacing w:after="140" w:before="340"/>
      </w:pPr>
      <w:r>
        <w:rPr>
          <w:b/>
          <w:bCs/>
          <w:color w:val="E8663A"/>
          <w:sz w:val="28"/>
          <w:szCs w:val="28"/>
        </w:rPr>
        <w:t xml:space="preserve">Part 2 — 1,000-word Summary Reflection (Draft)</w:t>
      </w:r>
    </w:p>
    <w:p>
      <w:pPr>
        <w:spacing w:after="160"/>
      </w:pPr>
      <w:r>
        <w:rPr>
          <w:i/>
          <w:iCs/>
          <w:color w:val="6B5F52"/>
          <w:sz w:val="21"/>
          <w:szCs w:val="21"/>
        </w:rPr>
        <w:t xml:space="preserve">Below is a first draft reflection. It should be revised once Tasks 1–4 are filled in, and trimmed/expanded to land close to 1,000 words.</w:t>
      </w:r>
    </w:p>
    <w:p>
      <w:pPr>
        <w:pStyle w:val="Heading2"/>
        <w:spacing w:after="100" w:before="200"/>
      </w:pPr>
      <w:r>
        <w:rPr>
          <w:b/>
          <w:bCs/>
          <w:color w:val="0D1117"/>
          <w:sz w:val="23"/>
          <w:szCs w:val="23"/>
        </w:rPr>
        <w:t xml:space="preserve">Draft reflection</w:t>
      </w:r>
    </w:p>
    <w:p>
      <w:pPr>
        <w:spacing w:after="160"/>
      </w:pPr>
      <w:r>
        <w:rPr>
          <w:sz w:val="21"/>
          <w:szCs w:val="21"/>
        </w:rPr>
        <w:t xml:space="preserve">Across this course, the clearest thing I've learned about social and mobile computing is that a good idea and a well-scoped idea are not the same thing, and confusing the two is the single biggest risk to producing genuinely people-centred design.</w:t>
      </w:r>
    </w:p>
    <w:p>
      <w:pPr>
        <w:spacing w:after="160"/>
      </w:pPr>
      <w:r>
        <w:rPr>
          <w:sz w:val="21"/>
          <w:szCs w:val="21"/>
        </w:rPr>
        <w:t xml:space="preserve">My team's project, MOTIF, began as an ambitious 'wiki for world culture' spanning music, fashion, art, and food. Early interviews (six in total, conducted independently by three of us) converged on a clear, unprompted finding: participants across very different backgrounds — a resident doctor, university students, an international participant based in India — all separately expressed frustration with algorithmic discovery and a desire for something more human-curated. That convergence was genuine evidence, not assumption, and it became the foundation the whole project stood on.</w:t>
      </w:r>
    </w:p>
    <w:p>
      <w:pPr>
        <w:spacing w:after="160"/>
      </w:pPr>
      <w:r>
        <w:rPr>
          <w:sz w:val="21"/>
          <w:szCs w:val="21"/>
        </w:rPr>
        <w:t xml:space="preserve">But evidence alone didn't stop scope creep. As the project progressed, we kept adding capability — friend-matching, AI-driven outfit explanations, image-recognition art lookup, full music streaming, social accounts with a follow graph — each individually reasonable, but collectively a threat to the project's depth. This is where Grudin's 'eight challenges' became more than an assigned reading: his point that groupware often fails through mismatches between who builds a feature and who benefits from it made me realise we were building features because they were interesting to design, not because our own interview evidence demanded them.</w:t>
      </w:r>
    </w:p>
    <w:p>
      <w:pPr>
        <w:spacing w:after="160"/>
      </w:pPr>
      <w:r>
        <w:rPr>
          <w:sz w:val="21"/>
          <w:szCs w:val="21"/>
        </w:rPr>
        <w:t xml:space="preserve">The turning point was recognising that our differentiator was never a feature list — it was a design stance: human-curated, not algorithmic; grounded in real interviews, not assumption. Once I could name that stance clearly, cutting features stopped feeling like loss and started feeling like focus. We narrowed to three categories (Music, Art, Fashion), replaced full music streaming with short artist preview clips linked out to Spotify, and committed every user post to a specific entry rather than a free-floating feed — directly informed by Olsson et al.'s distinction between technology that merely enables interaction and technology that actively enhances it.</w:t>
      </w:r>
    </w:p>
    <w:p>
      <w:pPr>
        <w:spacing w:after="160"/>
      </w:pPr>
      <w:r>
        <w:rPr>
          <w:sz w:val="21"/>
          <w:szCs w:val="21"/>
        </w:rPr>
        <w:t xml:space="preserve">The hardest unresolved question in the whole project has been moderation: who decides accuracy when sources describing the same cultural tradition disagree? My first instinct was to treat this like a Wikipedia dispute-resolution problem — appoint a process, elect moderators, converge on one 'correct' version. Sitting with the question longer, I realised that framing was wrong. Art interpretation is not a fact to be verified. Culture is not static. Fashion has no single objectively correct read. Treating inherently plural, evolving content as though it has one right answer would have been worse design, not more rigorous design. The better answer — multiple attributed perspectives shown side by side, rather than merged into one enforced truth — only became visible once I stopped trying to solve the wrong problem.</w:t>
      </w:r>
    </w:p>
    <w:p>
      <w:pPr>
        <w:spacing w:after="160"/>
      </w:pPr>
      <w:r>
        <w:rPr>
          <w:sz w:val="21"/>
          <w:szCs w:val="21"/>
        </w:rPr>
        <w:t xml:space="preserve">Hollan and Stornetta's 'Beyond Being There' test has stayed with me as an honest, slightly uncomfortable benchmark. Does MOTIF's era-and-location-grouped browsing do something a museum visit or a considered Wikipedia search genuinely cannot — or have we simply digitised an experience that was already fine offline? I don't think we've fully earned a 'yes' to that question yet. That's not a failure of the reflection; treating it as settled when it isn't would be the actual failure.</w:t>
      </w:r>
    </w:p>
    <w:p>
      <w:pPr>
        <w:spacing w:after="160"/>
      </w:pPr>
      <w:r>
        <w:rPr>
          <w:sz w:val="21"/>
          <w:szCs w:val="21"/>
        </w:rPr>
        <w:t xml:space="preserve">Schmidt's writing on awareness reframed something I initially misunderstood about our own anti-algorithm stance. I had been thinking of 'no algorithm' purely as a subtraction — removing a feature. Schmidt's account of how people in physical workplaces maintain implicit, low-effort awareness of each other's activity without constant explicit communication gave me a positive model instead: awareness doesn't require algorithmic manufacturing to exist, and designing for ambient, human awareness (who's engaging with what, without a recommender deciding for them) is a real design target, not just an absence of one.</w:t>
      </w:r>
    </w:p>
    <w:p>
      <w:pPr>
        <w:spacing w:after="160"/>
      </w:pPr>
      <w:r>
        <w:rPr>
          <w:sz w:val="21"/>
          <w:szCs w:val="21"/>
        </w:rPr>
        <w:t xml:space="preserve">If I apply Bloom's taxonomy honestly to this: early in the course I was mostly at the level of understanding concepts (what is CSCW, what is groupware). By the concept-narrowing phase, I was applying theory to real decisions — using Grudin to justify a scope cut, using location-based social network literature to ground a specific feature. Writing this reflection is the analysis and evaluation stage: weighing which of our decisions were well-evidenced against which were still just plausible-sounding, and being honest about the difference. The moderation reframe — from 'appoint an authority' to 'show plurality with attribution' — is the closest I've come this semester to genuinely creating a new design position rather than applying an existing one.</w:t>
      </w:r>
    </w:p>
    <w:p>
      <w:pPr>
        <w:spacing w:after="160"/>
      </w:pPr>
      <w:r>
        <w:rPr>
          <w:sz w:val="21"/>
          <w:szCs w:val="21"/>
        </w:rPr>
        <w:t xml:space="preserve">Going forward, the lesson I'll actually carry past this course is narrower and more useful than 'do more user research': it's that evidence has to be allowed to cut ideas, not just support them. It's easy to interview people and then keep every feature you already wanted to build anyway, treating research as decoration. The harder, more valuable discipline — the one I had to practice under real deadline pressure this semester — is letting research say no to your own favourite ideas, and being able to explain exactly why.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2026-09-10T04:31:59.091Z</dcterms:created>
  <dcterms:modified xsi:type="dcterms:W3CDTF">2026-09-10T04:31:59.100Z</dcterms:modified>
</cp:coreProperties>
</file>

<file path=docProps/custom.xml><?xml version="1.0" encoding="utf-8"?>
<Properties xmlns="http://schemas.openxmlformats.org/officeDocument/2006/custom-properties" xmlns:vt="http://schemas.openxmlformats.org/officeDocument/2006/docPropsVTypes"/>
</file>