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C1F3A"/>
          <w:sz w:val="44"/>
          <w:szCs w:val="44"/>
        </w:rPr>
        <w:t>FOLIO</w:t>
      </w:r>
    </w:p>
    <w:p>
      <w:pPr>
        <w:spacing w:after="40"/>
      </w:pPr>
      <w:r>
        <w:rPr>
          <w:i/>
          <w:iCs/>
          <w:color w:val="6B5F52"/>
          <w:sz w:val="26"/>
          <w:szCs w:val="26"/>
        </w:rPr>
        <w:t xml:space="preserve">Continuity Report: Proposal vs. Current Build</w:t>
      </w:r>
    </w:p>
    <w:p>
      <w:pPr>
        <w:spacing w:after="400"/>
      </w:pPr>
      <w:r>
        <w:rPr>
          <w:color w:val="6B5F52"/>
          <w:sz w:val="20"/>
          <w:szCs w:val="20"/>
        </w:rPr>
        <w:t xml:space="preserve">DECO3500 — Team 11 — prepared to confirm the current prototype builds on, rather than abandons, Assignment 2's proposal</w:t>
      </w:r>
    </w:p>
    <w:p>
      <w:pPr>
        <w:pStyle w:val="Heading1"/>
        <w:spacing w:after="160" w:before="380"/>
      </w:pPr>
      <w:r>
        <w:rPr>
          <w:b/>
          <w:bCs/>
          <w:color w:val="C25B3F"/>
          <w:sz w:val="30"/>
          <w:szCs w:val="30"/>
        </w:rPr>
        <w:t xml:space="preserve">1. Purpose of this document</w:t>
      </w:r>
    </w:p>
    <w:p>
      <w:pPr>
        <w:spacing w:after="140"/>
      </w:pPr>
      <w:r>
        <w:rPr>
          <w:sz w:val="21"/>
          <w:szCs w:val="21"/>
        </w:rPr>
        <w:t>Assignment 3 explicitly asks teams to turn their Assignment 2 design opportunity into a proof-of-concept prototype — building on the proposal, not replacing it. This report checks the current build (Folio) against every core goal from the original proposal (MOTIF), to confirm real continuity and identify exactly what has evolved, why, and what's still ahead.</w:t>
      </w:r>
    </w:p>
    <w:p>
      <w:pPr>
        <w:pStyle w:val="Heading1"/>
        <w:spacing w:after="160" w:before="380"/>
      </w:pPr>
      <w:r>
        <w:rPr>
          <w:b/>
          <w:bCs/>
          <w:color w:val="C25B3F"/>
          <w:sz w:val="30"/>
          <w:szCs w:val="30"/>
        </w:rPr>
        <w:t xml:space="preserve">2. Goal-by-goal continuity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4EEE0" w:val="clear"/>
            <w:tcMar>
              <w:top w:type="dxa" w:w="90"/>
              <w:left w:type="dxa" w:w="110"/>
              <w:bottom w:type="dxa" w:w="90"/>
              <w:right w:type="dxa" w:w="110"/>
            </w:tcMar>
          </w:tcPr>
          <w:p>
            <w:r>
              <w:rPr>
                <w:b/>
                <w:bCs/>
                <w:sz w:val="19"/>
                <w:szCs w:val="19"/>
              </w:rPr>
              <w:t xml:space="preserve">Original goal (Assignment 2)</w:t>
            </w:r>
          </w:p>
        </w:tc>
        <w:tc>
          <w:tcPr>
            <w:tcW w:type="dxa" w:w="3600"/>
            <w:shd w:fill="F4EEE0" w:val="clear"/>
            <w:tcMar>
              <w:top w:type="dxa" w:w="90"/>
              <w:left w:type="dxa" w:w="110"/>
              <w:bottom w:type="dxa" w:w="90"/>
              <w:right w:type="dxa" w:w="110"/>
            </w:tcMar>
          </w:tcPr>
          <w:p>
            <w:r>
              <w:rPr>
                <w:b/>
                <w:bCs/>
                <w:sz w:val="19"/>
                <w:szCs w:val="19"/>
              </w:rPr>
              <w:t xml:space="preserve">Current implementation</w:t>
            </w:r>
          </w:p>
        </w:tc>
        <w:tc>
          <w:tcPr>
            <w:tcW w:type="dxa" w:w="2400"/>
            <w:shd w:fill="F4EEE0" w:val="clear"/>
            <w:tcMar>
              <w:top w:type="dxa" w:w="90"/>
              <w:left w:type="dxa" w:w="110"/>
              <w:bottom w:type="dxa" w:w="90"/>
              <w:right w:type="dxa" w:w="110"/>
            </w:tcMar>
          </w:tcPr>
          <w:p>
            <w:r>
              <w:rPr>
                <w:b/>
                <w:bCs/>
                <w:sz w:val="19"/>
                <w:szCs w:val="19"/>
              </w:rPr>
              <w:t xml:space="preserve">Status</w:t>
            </w:r>
          </w:p>
        </w:tc>
      </w:tr>
      <w:tr>
        <w:tc>
          <w:tcPr>
            <w:tcW w:type="dxa" w:w="3000"/>
            <w:tcMar>
              <w:top w:type="dxa" w:w="90"/>
              <w:left w:type="dxa" w:w="110"/>
              <w:bottom w:type="dxa" w:w="90"/>
              <w:right w:type="dxa" w:w="110"/>
            </w:tcMar>
          </w:tcPr>
          <w:p>
            <w:r>
              <w:rPr>
                <w:b w:val="false"/>
                <w:bCs w:val="false"/>
                <w:sz w:val="19"/>
                <w:szCs w:val="19"/>
              </w:rPr>
              <w:t xml:space="preserve">Cross-domain culture, discovered together — not five separate searches</w:t>
            </w:r>
          </w:p>
        </w:tc>
        <w:tc>
          <w:tcPr>
            <w:tcW w:type="dxa" w:w="3600"/>
            <w:tcMar>
              <w:top w:type="dxa" w:w="90"/>
              <w:left w:type="dxa" w:w="110"/>
              <w:bottom w:type="dxa" w:w="90"/>
              <w:right w:type="dxa" w:w="110"/>
            </w:tcMar>
          </w:tcPr>
          <w:p>
            <w:r>
              <w:rPr>
                <w:b w:val="false"/>
                <w:bCs w:val="false"/>
                <w:sz w:val="19"/>
                <w:szCs w:val="19"/>
              </w:rPr>
              <w:t xml:space="preserve">Today's Thread: any number of elements, any domain, one curated daily edition</w:t>
            </w:r>
          </w:p>
        </w:tc>
        <w:tc>
          <w:tcPr>
            <w:tcW w:type="dxa" w:w="2400"/>
            <w:tcMar>
              <w:top w:type="dxa" w:w="90"/>
              <w:left w:type="dxa" w:w="110"/>
              <w:bottom w:type="dxa" w:w="90"/>
              <w:right w:type="dxa" w:w="110"/>
            </w:tcMar>
          </w:tcPr>
          <w:p>
            <w:r>
              <w:rPr>
                <w:b w:val="false"/>
                <w:bCs w:val="false"/>
                <w:sz w:val="19"/>
                <w:szCs w:val="19"/>
              </w:rPr>
              <w:t xml:space="preserve">Fully retained — this is the core thesis, unchanged</w:t>
            </w:r>
          </w:p>
        </w:tc>
      </w:tr>
      <w:tr>
        <w:tc>
          <w:tcPr>
            <w:tcW w:type="dxa" w:w="3000"/>
            <w:tcMar>
              <w:top w:type="dxa" w:w="90"/>
              <w:left w:type="dxa" w:w="110"/>
              <w:bottom w:type="dxa" w:w="90"/>
              <w:right w:type="dxa" w:w="110"/>
            </w:tcMar>
          </w:tcPr>
          <w:p>
            <w:r>
              <w:rPr>
                <w:b w:val="false"/>
                <w:bCs w:val="false"/>
                <w:sz w:val="19"/>
                <w:szCs w:val="19"/>
              </w:rPr>
              <w:t xml:space="preserve">No algorithmic recommendation, human-curated</w:t>
            </w:r>
          </w:p>
        </w:tc>
        <w:tc>
          <w:tcPr>
            <w:tcW w:type="dxa" w:w="3600"/>
            <w:tcMar>
              <w:top w:type="dxa" w:w="90"/>
              <w:left w:type="dxa" w:w="110"/>
              <w:bottom w:type="dxa" w:w="90"/>
              <w:right w:type="dxa" w:w="110"/>
            </w:tcMar>
          </w:tcPr>
          <w:p>
            <w:r>
              <w:rPr>
                <w:b w:val="false"/>
                <w:bCs w:val="false"/>
                <w:sz w:val="19"/>
                <w:szCs w:val="19"/>
              </w:rPr>
              <w:t xml:space="preserve">Curator system: human always makes the final call; relevance-matching (not popularity) surfaces candidates only</w:t>
            </w:r>
          </w:p>
        </w:tc>
        <w:tc>
          <w:tcPr>
            <w:tcW w:type="dxa" w:w="2400"/>
            <w:tcMar>
              <w:top w:type="dxa" w:w="90"/>
              <w:left w:type="dxa" w:w="110"/>
              <w:bottom w:type="dxa" w:w="90"/>
              <w:right w:type="dxa" w:w="110"/>
            </w:tcMar>
          </w:tcPr>
          <w:p>
            <w:r>
              <w:rPr>
                <w:b w:val="false"/>
                <w:bCs w:val="false"/>
                <w:sz w:val="19"/>
                <w:szCs w:val="19"/>
              </w:rPr>
              <w:t xml:space="preserve">Fully retained, now more precisely defined</w:t>
            </w:r>
          </w:p>
        </w:tc>
      </w:tr>
      <w:tr>
        <w:tc>
          <w:tcPr>
            <w:tcW w:type="dxa" w:w="3000"/>
            <w:tcMar>
              <w:top w:type="dxa" w:w="90"/>
              <w:left w:type="dxa" w:w="110"/>
              <w:bottom w:type="dxa" w:w="90"/>
              <w:right w:type="dxa" w:w="110"/>
            </w:tcMar>
          </w:tcPr>
          <w:p>
            <w:r>
              <w:rPr>
                <w:b w:val="false"/>
                <w:bCs w:val="false"/>
                <w:sz w:val="19"/>
                <w:szCs w:val="19"/>
              </w:rPr>
              <w:t xml:space="preserve">Community-authored, not top-down</w:t>
            </w:r>
          </w:p>
        </w:tc>
        <w:tc>
          <w:tcPr>
            <w:tcW w:type="dxa" w:w="3600"/>
            <w:tcMar>
              <w:top w:type="dxa" w:w="90"/>
              <w:left w:type="dxa" w:w="110"/>
              <w:bottom w:type="dxa" w:w="90"/>
              <w:right w:type="dxa" w:w="110"/>
            </w:tcMar>
          </w:tcPr>
          <w:p>
            <w:r>
              <w:rPr>
                <w:b w:val="false"/>
                <w:bCs w:val="false"/>
                <w:sz w:val="19"/>
                <w:szCs w:val="19"/>
              </w:rPr>
              <w:t xml:space="preserve">Open curator application; posts (My Take / Remix / Field Note) tied to specific entries</w:t>
            </w:r>
          </w:p>
        </w:tc>
        <w:tc>
          <w:tcPr>
            <w:tcW w:type="dxa" w:w="2400"/>
            <w:tcMar>
              <w:top w:type="dxa" w:w="90"/>
              <w:left w:type="dxa" w:w="110"/>
              <w:bottom w:type="dxa" w:w="90"/>
              <w:right w:type="dxa" w:w="110"/>
            </w:tcMar>
          </w:tcPr>
          <w:p>
            <w:r>
              <w:rPr>
                <w:b w:val="false"/>
                <w:bCs w:val="false"/>
                <w:sz w:val="19"/>
                <w:szCs w:val="19"/>
              </w:rPr>
              <w:t xml:space="preserve">Fully retained</w:t>
            </w:r>
          </w:p>
        </w:tc>
      </w:tr>
      <w:tr>
        <w:tc>
          <w:tcPr>
            <w:tcW w:type="dxa" w:w="3000"/>
            <w:tcMar>
              <w:top w:type="dxa" w:w="90"/>
              <w:left w:type="dxa" w:w="110"/>
              <w:bottom w:type="dxa" w:w="90"/>
              <w:right w:type="dxa" w:w="110"/>
            </w:tcMar>
          </w:tcPr>
          <w:p>
            <w:r>
              <w:rPr>
                <w:b w:val="false"/>
                <w:bCs w:val="false"/>
                <w:sz w:val="19"/>
                <w:szCs w:val="19"/>
              </w:rPr>
              <w:t xml:space="preserve">Local relevance over broad browsing</w:t>
            </w:r>
          </w:p>
        </w:tc>
        <w:tc>
          <w:tcPr>
            <w:tcW w:type="dxa" w:w="3600"/>
            <w:tcMar>
              <w:top w:type="dxa" w:w="90"/>
              <w:left w:type="dxa" w:w="110"/>
              <w:bottom w:type="dxa" w:w="90"/>
              <w:right w:type="dxa" w:w="110"/>
            </w:tcMar>
          </w:tcPr>
          <w:p>
            <w:r>
              <w:rPr>
                <w:b w:val="false"/>
                <w:bCs w:val="false"/>
                <w:sz w:val="19"/>
                <w:szCs w:val="19"/>
              </w:rPr>
              <w:t xml:space="preserve">Location-aware area card on Today, with nearby happenings folded in</w:t>
            </w:r>
          </w:p>
        </w:tc>
        <w:tc>
          <w:tcPr>
            <w:tcW w:type="dxa" w:w="2400"/>
            <w:tcMar>
              <w:top w:type="dxa" w:w="90"/>
              <w:left w:type="dxa" w:w="110"/>
              <w:bottom w:type="dxa" w:w="90"/>
              <w:right w:type="dxa" w:w="110"/>
            </w:tcMar>
          </w:tcPr>
          <w:p>
            <w:r>
              <w:rPr>
                <w:b w:val="false"/>
                <w:bCs w:val="false"/>
                <w:sz w:val="19"/>
                <w:szCs w:val="19"/>
              </w:rPr>
              <w:t xml:space="preserve">Retained — currently placeholder data, real API path identified (Section 5)</w:t>
            </w:r>
          </w:p>
        </w:tc>
      </w:tr>
      <w:tr>
        <w:tc>
          <w:tcPr>
            <w:tcW w:type="dxa" w:w="3000"/>
            <w:tcMar>
              <w:top w:type="dxa" w:w="90"/>
              <w:left w:type="dxa" w:w="110"/>
              <w:bottom w:type="dxa" w:w="90"/>
              <w:right w:type="dxa" w:w="110"/>
            </w:tcMar>
          </w:tcPr>
          <w:p>
            <w:r>
              <w:rPr>
                <w:b w:val="false"/>
                <w:bCs w:val="false"/>
                <w:sz w:val="19"/>
                <w:szCs w:val="19"/>
              </w:rPr>
              <w:t xml:space="preserve">Social discovery through people, not machines</w:t>
            </w:r>
          </w:p>
        </w:tc>
        <w:tc>
          <w:tcPr>
            <w:tcW w:type="dxa" w:w="3600"/>
            <w:tcMar>
              <w:top w:type="dxa" w:w="90"/>
              <w:left w:type="dxa" w:w="110"/>
              <w:bottom w:type="dxa" w:w="90"/>
              <w:right w:type="dxa" w:w="110"/>
            </w:tcMar>
          </w:tcPr>
          <w:p>
            <w:r>
              <w:rPr>
                <w:b w:val="false"/>
                <w:bCs w:val="false"/>
                <w:sz w:val="19"/>
                <w:szCs w:val="19"/>
              </w:rPr>
              <w:t xml:space="preserve">Comments, Friends &amp; More (group vibe, bounded community posts), "Your Circles"</w:t>
            </w:r>
          </w:p>
        </w:tc>
        <w:tc>
          <w:tcPr>
            <w:tcW w:type="dxa" w:w="2400"/>
            <w:tcMar>
              <w:top w:type="dxa" w:w="90"/>
              <w:left w:type="dxa" w:w="110"/>
              <w:bottom w:type="dxa" w:w="90"/>
              <w:right w:type="dxa" w:w="110"/>
            </w:tcMar>
          </w:tcPr>
          <w:p>
            <w:r>
              <w:rPr>
                <w:b w:val="false"/>
                <w:bCs w:val="false"/>
                <w:sz w:val="19"/>
                <w:szCs w:val="19"/>
              </w:rPr>
              <w:t xml:space="preserve">Retained, deliberately without a follower/friend graph</w:t>
            </w:r>
          </w:p>
        </w:tc>
      </w:tr>
      <w:tr>
        <w:tc>
          <w:tcPr>
            <w:tcW w:type="dxa" w:w="3000"/>
            <w:tcMar>
              <w:top w:type="dxa" w:w="90"/>
              <w:left w:type="dxa" w:w="110"/>
              <w:bottom w:type="dxa" w:w="90"/>
              <w:right w:type="dxa" w:w="110"/>
            </w:tcMar>
          </w:tcPr>
          <w:p>
            <w:r>
              <w:rPr>
                <w:b w:val="false"/>
                <w:bCs w:val="false"/>
                <w:sz w:val="19"/>
                <w:szCs w:val="19"/>
              </w:rPr>
              <w:t xml:space="preserve">Browse freely across music, fashion, art, food (wiki-style)</w:t>
            </w:r>
          </w:p>
        </w:tc>
        <w:tc>
          <w:tcPr>
            <w:tcW w:type="dxa" w:w="3600"/>
            <w:tcMar>
              <w:top w:type="dxa" w:w="90"/>
              <w:left w:type="dxa" w:w="110"/>
              <w:bottom w:type="dxa" w:w="90"/>
              <w:right w:type="dxa" w:w="110"/>
            </w:tcMar>
          </w:tcPr>
          <w:p>
            <w:r>
              <w:rPr>
                <w:b w:val="false"/>
                <w:bCs w:val="false"/>
                <w:sz w:val="19"/>
                <w:szCs w:val="19"/>
              </w:rPr>
              <w:t xml:space="preserve">Replaced by one daily edition + a 10-thread Archive</w:t>
            </w:r>
          </w:p>
        </w:tc>
        <w:tc>
          <w:tcPr>
            <w:tcW w:type="dxa" w:w="2400"/>
            <w:tcMar>
              <w:top w:type="dxa" w:w="90"/>
              <w:left w:type="dxa" w:w="110"/>
              <w:bottom w:type="dxa" w:w="90"/>
              <w:right w:type="dxa" w:w="110"/>
            </w:tcMar>
          </w:tcPr>
          <w:p>
            <w:r>
              <w:rPr>
                <w:b w:val="false"/>
                <w:bCs w:val="false"/>
                <w:sz w:val="19"/>
                <w:szCs w:val="19"/>
              </w:rPr>
              <w:t xml:space="preserve">Evolved — see Section 3 for why</w:t>
            </w:r>
          </w:p>
        </w:tc>
      </w:tr>
      <w:tr>
        <w:tc>
          <w:tcPr>
            <w:tcW w:type="dxa" w:w="3000"/>
            <w:tcMar>
              <w:top w:type="dxa" w:w="90"/>
              <w:left w:type="dxa" w:w="110"/>
              <w:bottom w:type="dxa" w:w="90"/>
              <w:right w:type="dxa" w:w="110"/>
            </w:tcMar>
          </w:tcPr>
          <w:p>
            <w:r>
              <w:rPr>
                <w:b w:val="false"/>
                <w:bCs w:val="false"/>
                <w:sz w:val="19"/>
                <w:szCs w:val="19"/>
              </w:rPr>
              <w:t xml:space="preserve">12 open-ended cultural categories</w:t>
            </w:r>
          </w:p>
        </w:tc>
        <w:tc>
          <w:tcPr>
            <w:tcW w:type="dxa" w:w="3600"/>
            <w:tcMar>
              <w:top w:type="dxa" w:w="90"/>
              <w:left w:type="dxa" w:w="110"/>
              <w:bottom w:type="dxa" w:w="90"/>
              <w:right w:type="dxa" w:w="110"/>
            </w:tcMar>
          </w:tcPr>
          <w:p>
            <w:r>
              <w:rPr>
                <w:b w:val="false"/>
                <w:bCs w:val="false"/>
                <w:sz w:val="19"/>
                <w:szCs w:val="19"/>
              </w:rPr>
              <w:t xml:space="preserve">5 community groups, each covering multiple original categories</w:t>
            </w:r>
          </w:p>
        </w:tc>
        <w:tc>
          <w:tcPr>
            <w:tcW w:type="dxa" w:w="2400"/>
            <w:tcMar>
              <w:top w:type="dxa" w:w="90"/>
              <w:left w:type="dxa" w:w="110"/>
              <w:bottom w:type="dxa" w:w="90"/>
              <w:right w:type="dxa" w:w="110"/>
            </w:tcMar>
          </w:tcPr>
          <w:p>
            <w:r>
              <w:rPr>
                <w:b w:val="false"/>
                <w:bCs w:val="false"/>
                <w:sz w:val="19"/>
                <w:szCs w:val="19"/>
              </w:rPr>
              <w:t xml:space="preserve">Evolved — consolidated, nothing deleted (Section 4)</w:t>
            </w:r>
          </w:p>
        </w:tc>
      </w:tr>
    </w:tbl>
    <w:p>
      <w:pPr>
        <w:pStyle w:val="Heading1"/>
        <w:spacing w:after="160" w:before="380"/>
      </w:pPr>
      <w:r>
        <w:rPr>
          <w:b/>
          <w:bCs/>
          <w:color w:val="C25B3F"/>
          <w:sz w:val="30"/>
          <w:szCs w:val="30"/>
        </w:rPr>
        <w:t xml:space="preserve">3. The one real evolution: wiki-browsing → daily edition</w:t>
      </w:r>
    </w:p>
    <w:p>
      <w:pPr>
        <w:spacing w:after="140"/>
      </w:pPr>
      <w:r>
        <w:rPr>
          <w:sz w:val="21"/>
          <w:szCs w:val="21"/>
        </w:rPr>
        <w:t xml:space="preserve">This is the biggest visible change from the original proposal, and it was evidence-driven, not a retreat from the concept:</w:t>
      </w:r>
    </w:p>
    <w:p>
      <w:pPr>
        <w:pStyle w:val="ListParagraph"/>
        <w:numPr>
          <w:ilvl w:val="0"/>
          <w:numId w:val="2"/>
        </w:numPr>
        <w:spacing w:after="80"/>
      </w:pPr>
      <w:r>
        <w:rPr>
          <w:sz w:val="21"/>
          <w:szCs w:val="21"/>
        </w:rPr>
        <w:t xml:space="preserve">5 of 5 Round 2 interview participants, independently, described the exact same distinction between genuine inspiration and passive "killing time" — the strongest, most repeated finding across the whole research process.</w:t>
      </w:r>
    </w:p>
    <w:p>
      <w:pPr>
        <w:pStyle w:val="ListParagraph"/>
        <w:numPr>
          <w:ilvl w:val="0"/>
          <w:numId w:val="2"/>
        </w:numPr>
        <w:spacing w:after="80"/>
      </w:pPr>
      <w:r>
        <w:rPr>
          <w:sz w:val="21"/>
          <w:szCs w:val="21"/>
        </w:rPr>
        <w:t xml:space="preserve">Course feedback specifically identified the daily-curated-experience framing as the strongest part of the original pitch.</w:t>
      </w:r>
    </w:p>
    <w:p>
      <w:pPr>
        <w:pStyle w:val="ListParagraph"/>
        <w:numPr>
          <w:ilvl w:val="0"/>
          <w:numId w:val="2"/>
        </w:numPr>
        <w:spacing w:after="80"/>
      </w:pPr>
      <w:r>
        <w:rPr>
          <w:sz w:val="21"/>
          <w:szCs w:val="21"/>
        </w:rPr>
        <w:t xml:space="preserve">The cross-domain thesis was not weakened by this change — if anything, it's sharper: a single daily Thread can combine a song, an artwork, a place, and a ritual in one coherent moment, which is a more concrete demonstration of "combinations you wouldn't put together yourself" than open browsing was.</w:t>
      </w:r>
    </w:p>
    <w:p>
      <w:pPr>
        <w:pStyle w:val="Heading1"/>
        <w:spacing w:after="160" w:before="380"/>
      </w:pPr>
      <w:r>
        <w:rPr>
          <w:b/>
          <w:bCs/>
          <w:color w:val="C25B3F"/>
          <w:sz w:val="30"/>
          <w:szCs w:val="30"/>
        </w:rPr>
        <w:t xml:space="preserve">4. The 12 → 5 community consolidation — nothing was deleted</w:t>
      </w:r>
    </w:p>
    <w:p>
      <w:pPr>
        <w:spacing w:after="140"/>
      </w:pPr>
      <w:r>
        <w:rPr>
          <w:sz w:val="21"/>
          <w:szCs w:val="21"/>
        </w:rPr>
        <w:t xml:space="preserve">Every one of the original 12 cultural categories from the proposal still exists in the product, tagging content exactly as before. What changed is only the number of top-level choices a user makes at onboarding: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shd w:fill="F4EEE0" w:val="clear"/>
            <w:tcMar>
              <w:top w:type="dxa" w:w="90"/>
              <w:left w:type="dxa" w:w="110"/>
              <w:bottom w:type="dxa" w:w="90"/>
              <w:right w:type="dxa" w:w="110"/>
            </w:tcMar>
          </w:tcPr>
          <w:p>
            <w:r>
              <w:rPr>
                <w:b/>
                <w:bCs/>
                <w:sz w:val="19"/>
                <w:szCs w:val="19"/>
              </w:rPr>
              <w:t xml:space="preserve">Community group (new)</w:t>
            </w:r>
          </w:p>
        </w:tc>
        <w:tc>
          <w:tcPr>
            <w:tcW w:type="dxa" w:w="5600"/>
            <w:shd w:fill="F4EEE0" w:val="clear"/>
            <w:tcMar>
              <w:top w:type="dxa" w:w="90"/>
              <w:left w:type="dxa" w:w="110"/>
              <w:bottom w:type="dxa" w:w="90"/>
              <w:right w:type="dxa" w:w="110"/>
            </w:tcMar>
          </w:tcPr>
          <w:p>
            <w:r>
              <w:rPr>
                <w:b/>
                <w:bCs/>
                <w:sz w:val="19"/>
                <w:szCs w:val="19"/>
              </w:rPr>
              <w:t xml:space="preserve">Original categories it contains</w:t>
            </w:r>
          </w:p>
        </w:tc>
      </w:tr>
      <w:tr>
        <w:tc>
          <w:tcPr>
            <w:tcW w:type="dxa" w:w="3400"/>
            <w:tcMar>
              <w:top w:type="dxa" w:w="90"/>
              <w:left w:type="dxa" w:w="110"/>
              <w:bottom w:type="dxa" w:w="90"/>
              <w:right w:type="dxa" w:w="110"/>
            </w:tcMar>
          </w:tcPr>
          <w:p>
            <w:r>
              <w:rPr>
                <w:b w:val="false"/>
                <w:bCs w:val="false"/>
                <w:sz w:val="19"/>
                <w:szCs w:val="19"/>
              </w:rPr>
              <w:t xml:space="preserve">Music &amp; Sound</w:t>
            </w:r>
          </w:p>
        </w:tc>
        <w:tc>
          <w:tcPr>
            <w:tcW w:type="dxa" w:w="5600"/>
            <w:tcMar>
              <w:top w:type="dxa" w:w="90"/>
              <w:left w:type="dxa" w:w="110"/>
              <w:bottom w:type="dxa" w:w="90"/>
              <w:right w:type="dxa" w:w="110"/>
            </w:tcMar>
          </w:tcPr>
          <w:p>
            <w:r>
              <w:rPr>
                <w:b w:val="false"/>
                <w:bCs w:val="false"/>
                <w:sz w:val="19"/>
                <w:szCs w:val="19"/>
              </w:rPr>
              <w:t xml:space="preserve">Music, Dance</w:t>
            </w:r>
          </w:p>
        </w:tc>
      </w:tr>
      <w:tr>
        <w:tc>
          <w:tcPr>
            <w:tcW w:type="dxa" w:w="3400"/>
            <w:tcMar>
              <w:top w:type="dxa" w:w="90"/>
              <w:left w:type="dxa" w:w="110"/>
              <w:bottom w:type="dxa" w:w="90"/>
              <w:right w:type="dxa" w:w="110"/>
            </w:tcMar>
          </w:tcPr>
          <w:p>
            <w:r>
              <w:rPr>
                <w:b w:val="false"/>
                <w:bCs w:val="false"/>
                <w:sz w:val="19"/>
                <w:szCs w:val="19"/>
              </w:rPr>
              <w:t xml:space="preserve">Visual Arts &amp; Design</w:t>
            </w:r>
          </w:p>
        </w:tc>
        <w:tc>
          <w:tcPr>
            <w:tcW w:type="dxa" w:w="5600"/>
            <w:tcMar>
              <w:top w:type="dxa" w:w="90"/>
              <w:left w:type="dxa" w:w="110"/>
              <w:bottom w:type="dxa" w:w="90"/>
              <w:right w:type="dxa" w:w="110"/>
            </w:tcMar>
          </w:tcPr>
          <w:p>
            <w:r>
              <w:rPr>
                <w:b w:val="false"/>
                <w:bCs w:val="false"/>
                <w:sz w:val="19"/>
                <w:szCs w:val="19"/>
              </w:rPr>
              <w:t xml:space="preserve">Art, Photography, Architecture &amp; Design</w:t>
            </w:r>
          </w:p>
        </w:tc>
      </w:tr>
      <w:tr>
        <w:tc>
          <w:tcPr>
            <w:tcW w:type="dxa" w:w="3400"/>
            <w:tcMar>
              <w:top w:type="dxa" w:w="90"/>
              <w:left w:type="dxa" w:w="110"/>
              <w:bottom w:type="dxa" w:w="90"/>
              <w:right w:type="dxa" w:w="110"/>
            </w:tcMar>
          </w:tcPr>
          <w:p>
            <w:r>
              <w:rPr>
                <w:b w:val="false"/>
                <w:bCs w:val="false"/>
                <w:sz w:val="19"/>
                <w:szCs w:val="19"/>
              </w:rPr>
              <w:t xml:space="preserve">Fashion &amp; Craft</w:t>
            </w:r>
          </w:p>
        </w:tc>
        <w:tc>
          <w:tcPr>
            <w:tcW w:type="dxa" w:w="5600"/>
            <w:tcMar>
              <w:top w:type="dxa" w:w="90"/>
              <w:left w:type="dxa" w:w="110"/>
              <w:bottom w:type="dxa" w:w="90"/>
              <w:right w:type="dxa" w:w="110"/>
            </w:tcMar>
          </w:tcPr>
          <w:p>
            <w:r>
              <w:rPr>
                <w:b w:val="false"/>
                <w:bCs w:val="false"/>
                <w:sz w:val="19"/>
                <w:szCs w:val="19"/>
              </w:rPr>
              <w:t xml:space="preserve">Fashion, Craft/Textile, Tattoo/Body Art</w:t>
            </w:r>
          </w:p>
        </w:tc>
      </w:tr>
      <w:tr>
        <w:tc>
          <w:tcPr>
            <w:tcW w:type="dxa" w:w="3400"/>
            <w:tcMar>
              <w:top w:type="dxa" w:w="90"/>
              <w:left w:type="dxa" w:w="110"/>
              <w:bottom w:type="dxa" w:w="90"/>
              <w:right w:type="dxa" w:w="110"/>
            </w:tcMar>
          </w:tcPr>
          <w:p>
            <w:r>
              <w:rPr>
                <w:b w:val="false"/>
                <w:bCs w:val="false"/>
                <w:sz w:val="19"/>
                <w:szCs w:val="19"/>
              </w:rPr>
              <w:t xml:space="preserve">Film &amp; Literature</w:t>
            </w:r>
          </w:p>
        </w:tc>
        <w:tc>
          <w:tcPr>
            <w:tcW w:type="dxa" w:w="5600"/>
            <w:tcMar>
              <w:top w:type="dxa" w:w="90"/>
              <w:left w:type="dxa" w:w="110"/>
              <w:bottom w:type="dxa" w:w="90"/>
              <w:right w:type="dxa" w:w="110"/>
            </w:tcMar>
          </w:tcPr>
          <w:p>
            <w:r>
              <w:rPr>
                <w:b w:val="false"/>
                <w:bCs w:val="false"/>
                <w:sz w:val="19"/>
                <w:szCs w:val="19"/>
              </w:rPr>
              <w:t xml:space="preserve">Film, Poetry/Literature</w:t>
            </w:r>
          </w:p>
        </w:tc>
      </w:tr>
      <w:tr>
        <w:tc>
          <w:tcPr>
            <w:tcW w:type="dxa" w:w="3400"/>
            <w:tcMar>
              <w:top w:type="dxa" w:w="90"/>
              <w:left w:type="dxa" w:w="110"/>
              <w:bottom w:type="dxa" w:w="90"/>
              <w:right w:type="dxa" w:w="110"/>
            </w:tcMar>
          </w:tcPr>
          <w:p>
            <w:r>
              <w:rPr>
                <w:b w:val="false"/>
                <w:bCs w:val="false"/>
                <w:sz w:val="19"/>
                <w:szCs w:val="19"/>
              </w:rPr>
              <w:t xml:space="preserve">Food &amp; Ritual</w:t>
            </w:r>
          </w:p>
        </w:tc>
        <w:tc>
          <w:tcPr>
            <w:tcW w:type="dxa" w:w="5600"/>
            <w:tcMar>
              <w:top w:type="dxa" w:w="90"/>
              <w:left w:type="dxa" w:w="110"/>
              <w:bottom w:type="dxa" w:w="90"/>
              <w:right w:type="dxa" w:w="110"/>
            </w:tcMar>
          </w:tcPr>
          <w:p>
            <w:r>
              <w:rPr>
                <w:b w:val="false"/>
                <w:bCs w:val="false"/>
                <w:sz w:val="19"/>
                <w:szCs w:val="19"/>
              </w:rPr>
              <w:t xml:space="preserve">Food, Ritual/Spirituality</w:t>
            </w:r>
          </w:p>
        </w:tc>
      </w:tr>
    </w:tbl>
    <w:p>
      <w:pPr>
        <w:spacing w:after="140"/>
      </w:pPr>
      <w:r>
        <w:rPr>
          <w:sz w:val="21"/>
          <w:szCs w:val="21"/>
        </w:rPr>
        <w:t xml:space="preserve">This directly answers "scope down" feedback (reduces onboarding complexity from 12 choices to 5) without removing a single idea from the original proposal's scope.</w:t>
      </w:r>
    </w:p>
    <w:p>
      <w:pPr>
        <w:pStyle w:val="Heading1"/>
        <w:spacing w:after="160" w:before="380"/>
      </w:pPr>
      <w:r>
        <w:rPr>
          <w:b/>
          <w:bCs/>
          <w:color w:val="C25B3F"/>
          <w:sz w:val="30"/>
          <w:szCs w:val="30"/>
        </w:rPr>
        <w:t xml:space="preserve">5. What else can still be done</w:t>
      </w:r>
    </w:p>
    <w:p>
      <w:pPr>
        <w:pStyle w:val="Heading2"/>
        <w:spacing w:after="110" w:before="220"/>
      </w:pPr>
      <w:r>
        <w:rPr>
          <w:b/>
          <w:bCs/>
          <w:color w:val="0C0A09"/>
          <w:sz w:val="24"/>
          <w:szCs w:val="24"/>
        </w:rPr>
        <w:t xml:space="preserve">Near-term, buildable now</w:t>
      </w:r>
    </w:p>
    <w:p>
      <w:pPr>
        <w:pStyle w:val="ListParagraph"/>
        <w:numPr>
          <w:ilvl w:val="0"/>
          <w:numId w:val="2"/>
        </w:numPr>
        <w:spacing w:after="80"/>
      </w:pPr>
      <w:r>
        <w:rPr>
          <w:sz w:val="21"/>
          <w:szCs w:val="21"/>
        </w:rPr>
        <w:t xml:space="preserve">Wire in Wikipedia/Wikidata's "On This Day" API for real calendar-significance data — free, no key required, and would replace the currently simulated theme-candidate generator with a genuinely live data source.</w:t>
      </w:r>
    </w:p>
    <w:p>
      <w:pPr>
        <w:pStyle w:val="ListParagraph"/>
        <w:numPr>
          <w:ilvl w:val="0"/>
          <w:numId w:val="2"/>
        </w:numPr>
        <w:spacing w:after="80"/>
      </w:pPr>
      <w:r>
        <w:rPr>
          <w:sz w:val="21"/>
          <w:szCs w:val="21"/>
        </w:rPr>
        <w:t xml:space="preserve">Run the planned Playwright automation against the real build, to generate actual usability/evaluation evidence for the stand-up, not just concept-validation interviews.</w:t>
      </w:r>
    </w:p>
    <w:p>
      <w:pPr>
        <w:pStyle w:val="ListParagraph"/>
        <w:numPr>
          <w:ilvl w:val="0"/>
          <w:numId w:val="2"/>
        </w:numPr>
        <w:spacing w:after="80"/>
      </w:pPr>
      <w:r>
        <w:rPr>
          <w:sz w:val="21"/>
          <w:szCs w:val="21"/>
        </w:rPr>
        <w:t xml:space="preserve">Replace placeholder/internal-reference images with either the team's own original photography or verifiably licensed sources, ahead of final submission.</w:t>
      </w:r>
    </w:p>
    <w:p>
      <w:pPr>
        <w:pStyle w:val="ListParagraph"/>
        <w:numPr>
          <w:ilvl w:val="0"/>
          <w:numId w:val="2"/>
        </w:numPr>
        <w:spacing w:after="80"/>
      </w:pPr>
      <w:r>
        <w:rPr>
          <w:sz w:val="21"/>
          <w:szCs w:val="21"/>
        </w:rPr>
        <w:t xml:space="preserve">Write the Ethics Wiki page — cultural representation and the plurality-of-perspectives model are exactly the kind of content this page needs to address, and the reasoning is already fully worked out in team discussion.</w:t>
      </w:r>
    </w:p>
    <w:p>
      <w:pPr>
        <w:pStyle w:val="Heading2"/>
        <w:spacing w:after="110" w:before="220"/>
      </w:pPr>
      <w:r>
        <w:rPr>
          <w:b/>
          <w:bCs/>
          <w:color w:val="0C0A09"/>
          <w:sz w:val="24"/>
          <w:szCs w:val="24"/>
        </w:rPr>
        <w:t xml:space="preserve">Medium-term, needs a real backend</w:t>
      </w:r>
    </w:p>
    <w:p>
      <w:pPr>
        <w:pStyle w:val="ListParagraph"/>
        <w:numPr>
          <w:ilvl w:val="0"/>
          <w:numId w:val="2"/>
        </w:numPr>
        <w:spacing w:after="80"/>
      </w:pPr>
      <w:r>
        <w:rPr>
          <w:sz w:val="21"/>
          <w:szCs w:val="21"/>
        </w:rPr>
        <w:t xml:space="preserve">Real event data (Eventbrite/Ticketmaster/Bandsintown) for the location card, replacing current placeholder listings.</w:t>
      </w:r>
    </w:p>
    <w:p>
      <w:pPr>
        <w:pStyle w:val="ListParagraph"/>
        <w:numPr>
          <w:ilvl w:val="0"/>
          <w:numId w:val="2"/>
        </w:numPr>
        <w:spacing w:after="80"/>
      </w:pPr>
      <w:r>
        <w:rPr>
          <w:sz w:val="21"/>
          <w:szCs w:val="21"/>
        </w:rPr>
        <w:t xml:space="preserve">A genuine multi-curator rotation system — currently only demonstrable as a single-user simulation, since real fairness scheduling needs multiple real accounts and a server.</w:t>
      </w:r>
    </w:p>
    <w:p>
      <w:pPr>
        <w:pStyle w:val="ListParagraph"/>
        <w:numPr>
          <w:ilvl w:val="0"/>
          <w:numId w:val="2"/>
        </w:numPr>
        <w:spacing w:after="80"/>
      </w:pPr>
      <w:r>
        <w:rPr>
          <w:sz w:val="21"/>
          <w:szCs w:val="21"/>
        </w:rPr>
        <w:t xml:space="preserve">Real AI-assisted relevance matching (an actual language-model call) replacing the current keyword-overlap stand-in — same honest scoping already applied elsewhere (e.g. simulated auth, simulated Spotify integration).</w:t>
      </w:r>
    </w:p>
    <w:p>
      <w:pPr>
        <w:pStyle w:val="Heading1"/>
        <w:spacing w:after="160" w:before="380"/>
      </w:pPr>
      <w:r>
        <w:rPr>
          <w:b/>
          <w:bCs/>
          <w:color w:val="C25B3F"/>
          <w:sz w:val="30"/>
          <w:szCs w:val="30"/>
        </w:rPr>
        <w:t xml:space="preserve">6. Bottom line for the team</w:t>
      </w:r>
    </w:p>
    <w:p>
      <w:pPr>
        <w:spacing w:after="140"/>
      </w:pPr>
      <w:r>
        <w:rPr>
          <w:sz w:val="21"/>
          <w:szCs w:val="21"/>
        </w:rPr>
        <w:t xml:space="preserve">The current build has not drifted from the proposal — it has narrowed complexity while keeping every core goal intact, and the one visible structural change (wiki-browsing to daily edition) is directly evidenced by the strongest research finding in the whole project. This is exactly the kind of iteration the Design Project Sequence brief asks for: research → proposal → evidence-driven refinement → prototype, not a new project.</w:t>
      </w:r>
    </w:p>
    <w:sectPr>
      <w:headerReference w:type="default" r:id="rId8"/>
      <w:footerReference w:type="default" r:id="rId9"/>
      <w:headerReference w:type="first" r:id="rId10"/>
      <w:footerReference w:type="first" r:id="rId11"/>
      <w:headerReference w:type="even" r:id="rId12"/>
      <w:footerReference w:type="even"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2026-09-16T08:36:30.187Z</dcterms:created>
  <dcterms:modified xsi:type="dcterms:W3CDTF">2026-09-16T08:36:30.197Z</dcterms:modified>
  <dc:title/>
</cp:coreProperties>
</file>

<file path=docProps/custom.xml><?xml version="1.0" encoding="utf-8"?>
<Properties xmlns="http://schemas.openxmlformats.org/officeDocument/2006/custom-properties" xmlns:vt="http://schemas.openxmlformats.org/officeDocument/2006/docPropsVTypes"/>
</file>