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ENTREVISTA TÉCNICA</w:t>
      </w:r>
    </w:p>
    <w:p w:rsidR="00000000" w:rsidDel="00000000" w:rsidP="00000000" w:rsidRDefault="00000000" w:rsidRPr="00000000" w14:paraId="00000002">
      <w:pPr>
        <w:spacing w:after="240" w:lineRule="auto"/>
        <w:jc w:val="both"/>
        <w:rPr>
          <w:rFonts w:ascii="Trebuchet MS" w:cs="Trebuchet MS" w:eastAsia="Trebuchet MS" w:hAnsi="Trebuchet MS"/>
          <w:b w:val="1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Grau de Aderência: </w:t>
      </w:r>
    </w:p>
    <w:p w:rsidR="00000000" w:rsidDel="00000000" w:rsidP="00000000" w:rsidRDefault="00000000" w:rsidRPr="00000000" w14:paraId="00000003">
      <w:pPr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Projeto: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 Direito de preferência</w:t>
      </w:r>
    </w:p>
    <w:p w:rsidR="00000000" w:rsidDel="00000000" w:rsidP="00000000" w:rsidRDefault="00000000" w:rsidRPr="00000000" w14:paraId="00000004">
      <w:pPr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Responsável: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 Leandro Britto</w:t>
      </w:r>
    </w:p>
    <w:p w:rsidR="00000000" w:rsidDel="00000000" w:rsidP="00000000" w:rsidRDefault="00000000" w:rsidRPr="00000000" w14:paraId="00000005">
      <w:pPr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Motivação do projeto: 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Foi identificado uma necessidade recorrente em especificações judiciais em leilões de processos judiciais a qual a ferramenta não conseguia atender e foi necessário realizar o desenvolvimento de funcionalidades que permitissem que pessoas que fazem parte do processo e possuem direito de preferência conseguissem dar lances em igualdade de condições com os demais participantes.</w:t>
      </w:r>
    </w:p>
    <w:p w:rsidR="00000000" w:rsidDel="00000000" w:rsidP="00000000" w:rsidRDefault="00000000" w:rsidRPr="00000000" w14:paraId="00000006">
      <w:pPr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Com isso foi realizado um estudo junto a área de leilão judicial e desenvolvido um fluxo onde no momento da habilitação o participante possa solicitar o uso do direito de preferência, enviar um documento comprobatório e ser analisado pelo responsável do evento. Dessa forma, uma vez autorizado este participante tem a possibilidade de igualar o lance vencedor no momento assim como ocorria em eventos que não eram eletrônicos e sim presenciais. </w:t>
      </w:r>
    </w:p>
    <w:p w:rsidR="00000000" w:rsidDel="00000000" w:rsidP="00000000" w:rsidRDefault="00000000" w:rsidRPr="00000000" w14:paraId="00000007">
      <w:pPr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Elemento tecnologicamente novo ou inovador do projeto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: Foi desenvolvido melhorias em serviços de habilitação já existentes, serviços de aprovação, captura e validação de lances. Foi desenvolvido funções em back-end e front-end de habilitação de usuários de forma que o sistema permite a escolha de direito de preferência, permitindo o envio e validação de documentos, que é feito por amostragem ao leiloeiro, ficando a cargo do leiloeiro a aprovação e a solicitação de um novo envio permitindo a habilitação do usuário.</w:t>
      </w:r>
    </w:p>
    <w:p w:rsidR="00000000" w:rsidDel="00000000" w:rsidP="00000000" w:rsidRDefault="00000000" w:rsidRPr="00000000" w14:paraId="00000008">
      <w:pPr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Também foram desenvolvidas funções de sistemas em back-end e front-end para permitir que usuários habilitados com o direito de preferência pudessem igualar os lances e também que os webservices identificassem-se para os demais usuários quando o lance de mesmo valor utilizou o direito de preferência.</w:t>
      </w:r>
    </w:p>
    <w:p w:rsidR="00000000" w:rsidDel="00000000" w:rsidP="00000000" w:rsidRDefault="00000000" w:rsidRPr="00000000" w14:paraId="00000009">
      <w:pPr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O direito de preferência foi uma funcionalidade de extrema importância para superbid de forma que possibilitou uma adequação ao direito de preferência.</w:t>
      </w:r>
    </w:p>
    <w:p w:rsidR="00000000" w:rsidDel="00000000" w:rsidP="00000000" w:rsidRDefault="00000000" w:rsidRPr="00000000" w14:paraId="0000000A">
      <w:pPr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Foram utilizados nos desenvolvimentos as tecnologias React e GWT (Google Web Toolkit) uma tecnologia utilizada no marketplace e Java para as validações de back-end. Banco de Dados Oracle e API’s de envio de e-mails internos.</w:t>
      </w:r>
    </w:p>
    <w:p w:rsidR="00000000" w:rsidDel="00000000" w:rsidP="00000000" w:rsidRDefault="00000000" w:rsidRPr="00000000" w14:paraId="0000000B">
      <w:pPr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Desafio Tecnológico/ Riscos Tecnológicos:</w:t>
      </w:r>
      <w:r w:rsidDel="00000000" w:rsidR="00000000" w:rsidRPr="00000000">
        <w:rPr>
          <w:rFonts w:ascii="Trebuchet MS" w:cs="Trebuchet MS" w:eastAsia="Trebuchet MS" w:hAnsi="Trebuchet M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As barreiras foram encontradas ao criar as regras que permitissem um usuário dar lances de mesmo valor que o atual vencedor, uma vez que a progressão pelo incremento é uma regra de negócio sensível para toda a plataforma. No formato de leilão as regras de negócios realizam a cotação de preço de forma que o usuário que possui o direito de preferência tenha o direito de realizar o arremate no valor ao qual foi definido no evento de leilão.</w:t>
      </w:r>
    </w:p>
    <w:p w:rsidR="00000000" w:rsidDel="00000000" w:rsidP="00000000" w:rsidRDefault="00000000" w:rsidRPr="00000000" w14:paraId="0000000C">
      <w:pPr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Metodologia: 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Metodologia ágil de desenvolvimento e Scrum.</w:t>
      </w:r>
    </w:p>
    <w:p w:rsidR="00000000" w:rsidDel="00000000" w:rsidP="00000000" w:rsidRDefault="00000000" w:rsidRPr="00000000" w14:paraId="0000000D">
      <w:pPr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Cronograma: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highlight w:val="yellow"/>
          <w:rtl w:val="0"/>
        </w:rPr>
        <w:t xml:space="preserve">- Compartilhar cronograma que contenha as fases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268"/>
        </w:tabs>
        <w:spacing w:after="240" w:lineRule="auto"/>
        <w:jc w:val="both"/>
        <w:rPr>
          <w:rFonts w:ascii="Trebuchet MS" w:cs="Trebuchet MS" w:eastAsia="Trebuchet MS" w:hAnsi="Trebuchet MS"/>
          <w:b w:val="1"/>
          <w:sz w:val="22"/>
          <w:szCs w:val="22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u w:val="single"/>
          <w:rtl w:val="0"/>
        </w:rPr>
        <w:t xml:space="preserve">Datas de Início e fim</w:t>
      </w:r>
    </w:p>
    <w:p w:rsidR="00000000" w:rsidDel="00000000" w:rsidP="00000000" w:rsidRDefault="00000000" w:rsidRPr="00000000" w14:paraId="00000010">
      <w:pPr>
        <w:tabs>
          <w:tab w:val="left" w:leader="none" w:pos="2268"/>
        </w:tabs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Início – agosto/2022</w:t>
      </w:r>
    </w:p>
    <w:p w:rsidR="00000000" w:rsidDel="00000000" w:rsidP="00000000" w:rsidRDefault="00000000" w:rsidRPr="00000000" w14:paraId="00000011">
      <w:pPr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Previsão de Término – fevereiro/2023</w:t>
      </w:r>
    </w:p>
    <w:p w:rsidR="00000000" w:rsidDel="00000000" w:rsidP="00000000" w:rsidRDefault="00000000" w:rsidRPr="00000000" w14:paraId="00000012">
      <w:pPr>
        <w:spacing w:after="240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</w:rPr>
        <w:drawing>
          <wp:inline distB="114300" distT="114300" distL="114300" distR="114300">
            <wp:extent cx="5759775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jc w:val="both"/>
        <w:rPr>
          <w:rFonts w:ascii="Trebuchet MS" w:cs="Trebuchet MS" w:eastAsia="Trebuchet MS" w:hAnsi="Trebuchet MS"/>
          <w:b w:val="1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Anexos: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  <w:u w:val="none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sz w:val="22"/>
            <w:szCs w:val="22"/>
            <w:u w:val="single"/>
            <w:rtl w:val="0"/>
          </w:rPr>
          <w:t xml:space="preserve">SNWS-6.xlsx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  <w:u w:val="none"/>
        </w:rPr>
      </w:pP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sz w:val="22"/>
            <w:szCs w:val="22"/>
            <w:u w:val="single"/>
            <w:rtl w:val="0"/>
          </w:rPr>
          <w:t xml:space="preserve">SNWS-6.pdf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134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527248" cy="40807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7248" cy="4080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jh7Sv5_mt0eMhIqwU_KH5KIYEClHv0l/view?usp=sharing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docs.google.com/spreadsheets/d/1af85B14VGvvShYL95baDXDskXmcvQqjX/edit?usp=sharing&amp;ouid=112284666001416501035&amp;rtpof=true&amp;sd=true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Props1.xml><?xml version="1.0" encoding="utf-8"?>
<ds:datastoreItem xmlns:ds="http://schemas.openxmlformats.org/officeDocument/2006/customXml" ds:itemID="{C0A0E95D-6011-4109-BDAC-801D30C5FD5F}"/>
</file>

<file path=customXml/itemProps2.xml><?xml version="1.0" encoding="utf-8"?>
<ds:datastoreItem xmlns:ds="http://schemas.openxmlformats.org/officeDocument/2006/customXml" ds:itemID="{26442D3E-FB05-455D-8F4E-529D08E0ACA6}"/>
</file>

<file path=customXml/itemProps3.xml><?xml version="1.0" encoding="utf-8"?>
<ds:datastoreItem xmlns:ds="http://schemas.openxmlformats.org/officeDocument/2006/customXml" ds:itemID="{AE668153-F8A4-4508-8317-760EC90EA6F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</Properties>
</file>