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8"/>
        </w:rPr>
        <w:t>Plasma -&gt; Quantum</w:t>
        <w:br/>
        <w:t>Parallel-Run Data Relay Guide</w:t>
      </w:r>
    </w:p>
    <w:p>
      <w:pPr>
        <w:jc w:val="center"/>
      </w:pPr>
      <w:r>
        <w:rPr>
          <w:color w:val="4A5A67"/>
          <w:sz w:val="23"/>
        </w:rPr>
        <w:t>How the data model changed, why it changed, and how to relay entries safely while both systems run in parallel</w:t>
      </w:r>
    </w:p>
    <w:p>
      <w:pPr>
        <w:jc w:val="center"/>
      </w:pPr>
      <w:r>
        <w:rPr>
          <w:color w:val="5F6B76"/>
          <w:sz w:val="20"/>
        </w:rPr>
        <w:br/>
        <w:t>Prepared from the legacy Plasma schema, the current Quantum schema, and recent migration findings across purchase orders, sales orders, and QC.</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D9E7F5"/>
            <w:tcMar>
              <w:top w:w="80" w:type="dxa"/>
              <w:start w:w="100" w:type="dxa"/>
              <w:bottom w:w="80" w:type="dxa"/>
              <w:end w:w="100" w:type="dxa"/>
            </w:tcMar>
            <w:vAlign w:val="center"/>
          </w:tcPr>
          <w:p>
            <w:pPr>
              <w:jc w:val="center"/>
            </w:pPr>
            <w:r>
              <w:rPr>
                <w:b/>
                <w:color w:val="17324D"/>
              </w:rPr>
              <w:t>Legacy system</w:t>
            </w:r>
          </w:p>
        </w:tc>
        <w:tc>
          <w:tcPr>
            <w:tcW w:type="dxa" w:w="2880"/>
            <w:shd w:fill="D9E7F5"/>
            <w:tcMar>
              <w:top w:w="80" w:type="dxa"/>
              <w:start w:w="100" w:type="dxa"/>
              <w:bottom w:w="80" w:type="dxa"/>
              <w:end w:w="100" w:type="dxa"/>
            </w:tcMar>
            <w:vAlign w:val="center"/>
          </w:tcPr>
          <w:p>
            <w:pPr>
              <w:jc w:val="center"/>
            </w:pPr>
            <w:r>
              <w:rPr>
                <w:b/>
                <w:color w:val="17324D"/>
              </w:rPr>
              <w:t>New system</w:t>
            </w:r>
          </w:p>
        </w:tc>
        <w:tc>
          <w:tcPr>
            <w:tcW w:type="dxa" w:w="3456"/>
            <w:shd w:fill="D9E7F5"/>
            <w:tcMar>
              <w:top w:w="80" w:type="dxa"/>
              <w:start w:w="100" w:type="dxa"/>
              <w:bottom w:w="80" w:type="dxa"/>
              <w:end w:w="100" w:type="dxa"/>
            </w:tcMar>
            <w:vAlign w:val="center"/>
          </w:tcPr>
          <w:p>
            <w:pPr>
              <w:jc w:val="center"/>
            </w:pPr>
            <w:r>
              <w:rPr>
                <w:b/>
                <w:color w:val="17324D"/>
              </w:rPr>
              <w:t>Primary use during parallel run</w:t>
            </w:r>
          </w:p>
        </w:tc>
      </w:tr>
      <w:tr>
        <w:tc>
          <w:tcPr>
            <w:tcW w:type="dxa" w:w="2880"/>
            <w:tcMar>
              <w:top w:w="80" w:type="dxa"/>
              <w:start w:w="100" w:type="dxa"/>
              <w:bottom w:w="80" w:type="dxa"/>
              <w:end w:w="100" w:type="dxa"/>
            </w:tcMar>
            <w:vAlign w:val="center"/>
          </w:tcPr>
          <w:p>
            <w:pPr>
              <w:jc w:val="center"/>
            </w:pPr>
            <w:r>
              <w:t>Plasma / s4d_england_db</w:t>
            </w:r>
          </w:p>
        </w:tc>
        <w:tc>
          <w:tcPr>
            <w:tcW w:type="dxa" w:w="2880"/>
            <w:tcMar>
              <w:top w:w="80" w:type="dxa"/>
              <w:start w:w="100" w:type="dxa"/>
              <w:bottom w:w="80" w:type="dxa"/>
              <w:end w:w="100" w:type="dxa"/>
            </w:tcMar>
            <w:vAlign w:val="center"/>
          </w:tcPr>
          <w:p>
            <w:pPr>
              <w:jc w:val="center"/>
            </w:pPr>
            <w:r>
              <w:t>Quantum / q2_base_db</w:t>
            </w:r>
          </w:p>
        </w:tc>
        <w:tc>
          <w:tcPr>
            <w:tcW w:type="dxa" w:w="3456"/>
            <w:tcMar>
              <w:top w:w="80" w:type="dxa"/>
              <w:start w:w="100" w:type="dxa"/>
              <w:bottom w:w="80" w:type="dxa"/>
              <w:end w:w="100" w:type="dxa"/>
            </w:tcMar>
            <w:vAlign w:val="center"/>
          </w:tcPr>
          <w:p>
            <w:pPr>
              <w:jc w:val="center"/>
            </w:pPr>
            <w:r>
              <w:t>Mirror critical transactions, reconcile outcomes, and confirm Quantum behaviour before cutover</w:t>
            </w:r>
          </w:p>
        </w:tc>
      </w:tr>
    </w:tbl>
    <w:p/>
    <w:p>
      <w:pPr>
        <w:pStyle w:val="SmallNote"/>
        <w:jc w:val="center"/>
      </w:pPr>
      <w:r>
        <w:t>Recommended audience: developer building the relay layer, warehouse/QC leads validating outputs, and anyone reconciling differences during cutover.</w:t>
      </w:r>
    </w:p>
    <w:p>
      <w:r>
        <w:br w:type="page"/>
      </w:r>
    </w:p>
    <w:p>
      <w:pPr>
        <w:pStyle w:val="Heading1"/>
      </w:pPr>
      <w:r>
        <w:t>1. Purpose of this document</w:t>
      </w:r>
    </w:p>
    <w:p>
      <w:pPr>
        <w:spacing w:after="100" w:line="276" w:lineRule="auto"/>
      </w:pPr>
      <w:r>
        <w:t>Quantum and Plasma will run in parallel for a short period so new entries made in Quantum can be relayed into the correct places in Plasma, while the team confirms that the new system behaves correctly in live use.</w:t>
      </w:r>
    </w:p>
    <w:p>
      <w:pPr>
        <w:spacing w:after="100" w:line="276" w:lineRule="auto"/>
      </w:pPr>
      <w:r>
        <w:t>This document explains where the data model changed, why it changed, what assumptions are no longer safe, and what the relay layer must do so that the same business event is represented correctly in both systems.</w:t>
      </w:r>
    </w:p>
    <w:p>
      <w:pPr>
        <w:spacing w:after="100" w:line="276" w:lineRule="auto"/>
      </w:pPr>
      <w:r>
        <w:t>It also captures recent migration findings from the SQL work, especially around purchase orders, sales orders, devices, and QC, because those findings directly affect how a temporary bridge between the two systems should behave.</w:t>
      </w:r>
    </w:p>
    <w:p>
      <w:pPr>
        <w:pStyle w:val="Heading1"/>
      </w:pPr>
      <w:r>
        <w:t>2. Executive summary</w:t>
      </w:r>
    </w:p>
    <w:tbl>
      <w:tblPr>
        <w:tblW w:type="auto" w:w="0"/>
        <w:jc w:val="center"/>
        <w:tblLook w:firstColumn="1" w:firstRow="1" w:lastColumn="0" w:lastRow="0" w:noHBand="0" w:noVBand="1" w:val="04A0"/>
      </w:tblPr>
      <w:tblGrid>
        <w:gridCol w:w="9936"/>
      </w:tblGrid>
      <w:tr>
        <w:tc>
          <w:tcPr>
            <w:tcW w:type="dxa" w:w="9936"/>
            <w:shd w:fill="EEF5FB"/>
            <w:tcMar>
              <w:top w:w="140" w:type="dxa"/>
              <w:start w:w="140" w:type="dxa"/>
              <w:bottom w:w="140" w:type="dxa"/>
              <w:end w:w="140" w:type="dxa"/>
            </w:tcMar>
          </w:tcPr>
          <w:p>
            <w:r/>
            <w:r>
              <w:rPr>
                <w:b/>
              </w:rPr>
              <w:t xml:space="preserve">The key rule for the relay layer is this: </w:t>
            </w:r>
            <w:r>
              <w:t>do not copy old IDs or old table-shapes blindly. Plasma often stores a business event in denormalised per-device or per-row form, while Quantum stores the same event in a cleaner header/line/item structure with stricter foreign keys and status flags.</w:t>
            </w:r>
          </w:p>
          <w:p>
            <w:r>
              <w:t xml:space="preserve">Because of that, the bridge should relay </w:t>
            </w:r>
            <w:r>
              <w:rPr>
                <w:b/>
              </w:rPr>
              <w:t>business meaning</w:t>
            </w:r>
            <w:r>
              <w:t xml:space="preserve"> rather than raw row shape. In practice that means mapping one Quantum action to the correct combination of Plasma rows, and in some areas deriving the Plasma destination from the Quantum device or order relationships instead of assuming IDs match.</w:t>
            </w:r>
          </w:p>
        </w:tc>
      </w:tr>
    </w:tbl>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024"/>
            <w:shd w:fill="D9E7F5"/>
            <w:tcMar>
              <w:top w:w="80" w:type="dxa"/>
              <w:start w:w="100" w:type="dxa"/>
              <w:bottom w:w="80" w:type="dxa"/>
              <w:end w:w="100" w:type="dxa"/>
            </w:tcMar>
          </w:tcPr>
          <w:p>
            <w:pPr>
              <w:jc w:val="center"/>
            </w:pPr>
            <w:r>
              <w:rPr>
                <w:b/>
                <w:color w:val="17324D"/>
              </w:rPr>
              <w:t>Area</w:t>
            </w:r>
          </w:p>
        </w:tc>
        <w:tc>
          <w:tcPr>
            <w:tcW w:type="dxa" w:w="3168"/>
            <w:shd w:fill="D9E7F5"/>
            <w:tcMar>
              <w:top w:w="80" w:type="dxa"/>
              <w:start w:w="100" w:type="dxa"/>
              <w:bottom w:w="80" w:type="dxa"/>
              <w:end w:w="100" w:type="dxa"/>
            </w:tcMar>
          </w:tcPr>
          <w:p>
            <w:pPr>
              <w:jc w:val="center"/>
            </w:pPr>
            <w:r>
              <w:rPr>
                <w:b/>
                <w:color w:val="17324D"/>
              </w:rPr>
              <w:t>What changed</w:t>
            </w:r>
          </w:p>
        </w:tc>
        <w:tc>
          <w:tcPr>
            <w:tcW w:type="dxa" w:w="3744"/>
            <w:shd w:fill="D9E7F5"/>
            <w:tcMar>
              <w:top w:w="80" w:type="dxa"/>
              <w:start w:w="100" w:type="dxa"/>
              <w:bottom w:w="80" w:type="dxa"/>
              <w:end w:w="100" w:type="dxa"/>
            </w:tcMar>
          </w:tcPr>
          <w:p>
            <w:pPr>
              <w:jc w:val="center"/>
            </w:pPr>
            <w:r>
              <w:rPr>
                <w:b/>
                <w:color w:val="17324D"/>
              </w:rPr>
              <w:t>Relay implication</w:t>
            </w:r>
          </w:p>
        </w:tc>
      </w:tr>
      <w:tr>
        <w:tc>
          <w:tcPr>
            <w:tcW w:type="dxa" w:w="3312"/>
            <w:tcMar>
              <w:top w:w="80" w:type="dxa"/>
              <w:start w:w="100" w:type="dxa"/>
              <w:bottom w:w="80" w:type="dxa"/>
              <w:end w:w="100" w:type="dxa"/>
            </w:tcMar>
            <w:vAlign w:val="center"/>
          </w:tcPr>
          <w:p>
            <w:r>
              <w:t>Purchase orders / goods in</w:t>
            </w:r>
          </w:p>
        </w:tc>
        <w:tc>
          <w:tcPr>
            <w:tcW w:type="dxa" w:w="3312"/>
            <w:tcMar>
              <w:top w:w="80" w:type="dxa"/>
              <w:start w:w="100" w:type="dxa"/>
              <w:bottom w:w="80" w:type="dxa"/>
              <w:end w:w="100" w:type="dxa"/>
            </w:tcMar>
            <w:vAlign w:val="center"/>
          </w:tcPr>
          <w:p>
            <w:r>
              <w:t>Plasma mixed purchase metadata and per-device receipt state across `tbl_purchases` and `tbl_imei`. Quantum separates `purchase_orders`, line items, and `devices`.</w:t>
            </w:r>
          </w:p>
        </w:tc>
        <w:tc>
          <w:tcPr>
            <w:tcW w:type="dxa" w:w="3312"/>
            <w:tcMar>
              <w:top w:w="80" w:type="dxa"/>
              <w:start w:w="100" w:type="dxa"/>
              <w:bottom w:w="80" w:type="dxa"/>
              <w:end w:w="100" w:type="dxa"/>
            </w:tcMar>
            <w:vAlign w:val="center"/>
          </w:tcPr>
          <w:p>
            <w:r>
              <w:t>Create or update the correct Plasma purchase rows and device rows together; do not assume a Quantum PO header alone is enough.</w:t>
            </w:r>
          </w:p>
        </w:tc>
      </w:tr>
      <w:tr>
        <w:tc>
          <w:tcPr>
            <w:tcW w:type="dxa" w:w="3312"/>
            <w:tcMar>
              <w:top w:w="80" w:type="dxa"/>
              <w:start w:w="100" w:type="dxa"/>
              <w:bottom w:w="80" w:type="dxa"/>
              <w:end w:w="100" w:type="dxa"/>
            </w:tcMar>
            <w:vAlign w:val="center"/>
          </w:tcPr>
          <w:p>
            <w:r>
              <w:t>Sales orders / goods out</w:t>
            </w:r>
          </w:p>
        </w:tc>
        <w:tc>
          <w:tcPr>
            <w:tcW w:type="dxa" w:w="3312"/>
            <w:tcMar>
              <w:top w:w="80" w:type="dxa"/>
              <w:start w:w="100" w:type="dxa"/>
              <w:bottom w:w="80" w:type="dxa"/>
              <w:end w:w="100" w:type="dxa"/>
            </w:tcMar>
            <w:vAlign w:val="center"/>
          </w:tcPr>
          <w:p>
            <w:r>
              <w:t>Plasma often inferred progress from per-device sales rows and device state. Quantum has explicit `sales_orders`, `sales_order_lines`, `sales_order_items`, plus `devices.reserved_for_so_id`.</w:t>
            </w:r>
          </w:p>
        </w:tc>
        <w:tc>
          <w:tcPr>
            <w:tcW w:type="dxa" w:w="3312"/>
            <w:tcMar>
              <w:top w:w="80" w:type="dxa"/>
              <w:start w:w="100" w:type="dxa"/>
              <w:bottom w:w="80" w:type="dxa"/>
              <w:end w:w="100" w:type="dxa"/>
            </w:tcMar>
            <w:vAlign w:val="center"/>
          </w:tcPr>
          <w:p>
            <w:r>
              <w:t>Relay both the order header meaning and the chosen devices. A simple one-table copy will miss reservation and completion state.</w:t>
            </w:r>
          </w:p>
        </w:tc>
      </w:tr>
      <w:tr>
        <w:tc>
          <w:tcPr>
            <w:tcW w:type="dxa" w:w="3312"/>
            <w:tcMar>
              <w:top w:w="80" w:type="dxa"/>
              <w:start w:w="100" w:type="dxa"/>
              <w:bottom w:w="80" w:type="dxa"/>
              <w:end w:w="100" w:type="dxa"/>
            </w:tcMar>
            <w:vAlign w:val="center"/>
          </w:tcPr>
          <w:p>
            <w:r>
              <w:t>QC</w:t>
            </w:r>
          </w:p>
        </w:tc>
        <w:tc>
          <w:tcPr>
            <w:tcW w:type="dxa" w:w="3312"/>
            <w:tcMar>
              <w:top w:w="80" w:type="dxa"/>
              <w:start w:w="100" w:type="dxa"/>
              <w:bottom w:w="80" w:type="dxa"/>
              <w:end w:w="100" w:type="dxa"/>
            </w:tcMar>
            <w:vAlign w:val="center"/>
          </w:tcPr>
          <w:p>
            <w:r>
              <w:t>Plasma QC is a flat table (`tbl_qc_imei_products`) keyed effectively by IMEI plus a legacy purchase reference. Quantum uses `qc_jobs` and `qc_results`, one result per device per job.</w:t>
            </w:r>
          </w:p>
        </w:tc>
        <w:tc>
          <w:tcPr>
            <w:tcW w:type="dxa" w:w="3312"/>
            <w:tcMar>
              <w:top w:w="80" w:type="dxa"/>
              <w:start w:w="100" w:type="dxa"/>
              <w:bottom w:w="80" w:type="dxa"/>
              <w:end w:w="100" w:type="dxa"/>
            </w:tcMar>
            <w:vAlign w:val="center"/>
          </w:tcPr>
          <w:p>
            <w:r>
              <w:t>When relaying QC, derive the destination from the matched device and its relationships. Multiple Plasma QC rows can represent retests that collapse to one Quantum result.</w:t>
            </w:r>
          </w:p>
        </w:tc>
      </w:tr>
      <w:tr>
        <w:tc>
          <w:tcPr>
            <w:tcW w:type="dxa" w:w="3312"/>
            <w:tcMar>
              <w:top w:w="80" w:type="dxa"/>
              <w:start w:w="100" w:type="dxa"/>
              <w:bottom w:w="80" w:type="dxa"/>
              <w:end w:w="100" w:type="dxa"/>
            </w:tcMar>
            <w:vAlign w:val="center"/>
          </w:tcPr>
          <w:p>
            <w:r>
              <w:t>IDs and references</w:t>
            </w:r>
          </w:p>
        </w:tc>
        <w:tc>
          <w:tcPr>
            <w:tcW w:type="dxa" w:w="3312"/>
            <w:tcMar>
              <w:top w:w="80" w:type="dxa"/>
              <w:start w:w="100" w:type="dxa"/>
              <w:bottom w:w="80" w:type="dxa"/>
              <w:end w:w="100" w:type="dxa"/>
            </w:tcMar>
            <w:vAlign w:val="center"/>
          </w:tcPr>
          <w:p>
            <w:r>
              <w:t>Legacy numeric IDs and new IDs are not reliably preserved one-for-one.</w:t>
            </w:r>
          </w:p>
        </w:tc>
        <w:tc>
          <w:tcPr>
            <w:tcW w:type="dxa" w:w="3312"/>
            <w:tcMar>
              <w:top w:w="80" w:type="dxa"/>
              <w:start w:w="100" w:type="dxa"/>
              <w:bottom w:w="80" w:type="dxa"/>
              <w:end w:w="100" w:type="dxa"/>
            </w:tcMar>
            <w:vAlign w:val="center"/>
          </w:tcPr>
          <w:p>
            <w:r>
              <w:t>Always map by business keys or derived relationships where required; treat raw ID equality as unsafe unless explicitly proven.</w:t>
            </w:r>
          </w:p>
        </w:tc>
      </w:tr>
    </w:tbl>
    <w:p>
      <w:pPr>
        <w:pStyle w:val="Heading1"/>
      </w:pPr>
      <w:r>
        <w:t>3. Design intent: why Quantum is different</w:t>
      </w:r>
    </w:p>
    <w:p>
      <w:pPr>
        <w:spacing w:after="100" w:line="276" w:lineRule="auto"/>
      </w:pPr>
      <w:r>
        <w:t>Quantum was designed to remove redundancy, implicit relationships, and fragile UI-side logic that existed in Plasma. The old database allowed important workflows to be represented indirectly, sometimes with repeated rows and sometimes with logic inferred from device state or matching fields. The new schema pushes more of that structure into explicit tables, foreign keys, and status flags.</w:t>
      </w:r>
    </w:p>
    <w:p>
      <w:pPr>
        <w:spacing w:after="100" w:line="276" w:lineRule="auto"/>
      </w:pPr>
      <w:r>
        <w:t>In plain English: Plasma often stored how the operation happened on the day; Quantum stores what the operation actually is.</w:t>
      </w:r>
    </w:p>
    <w:p>
      <w:pPr>
        <w:spacing w:after="100" w:line="276" w:lineRule="auto"/>
      </w:pPr>
      <w:r>
        <w:t>That is why the relay layer must translate between models instead of trying to mirror row-for-row. The temporary bridge exists because the two systems do not describe the same event in the same shape.</w:t>
      </w:r>
    </w:p>
    <w:p>
      <w:pPr>
        <w:pStyle w:val="Heading1"/>
      </w:pPr>
      <w:r>
        <w:t>4. Core data-model shifts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80" w:type="dxa"/>
              <w:start w:w="100" w:type="dxa"/>
              <w:bottom w:w="80" w:type="dxa"/>
              <w:end w:w="100" w:type="dxa"/>
            </w:tcMar>
          </w:tcPr>
          <w:p>
            <w:pPr>
              <w:jc w:val="center"/>
            </w:pPr>
            <w:r>
              <w:rPr>
                <w:b/>
                <w:color w:val="17324D"/>
              </w:rPr>
              <w:t>Domain</w:t>
            </w:r>
          </w:p>
        </w:tc>
        <w:tc>
          <w:tcPr>
            <w:tcW w:type="dxa" w:w="3168"/>
            <w:shd w:fill="D9E7F5"/>
            <w:tcMar>
              <w:top w:w="80" w:type="dxa"/>
              <w:start w:w="100" w:type="dxa"/>
              <w:bottom w:w="80" w:type="dxa"/>
              <w:end w:w="100" w:type="dxa"/>
            </w:tcMar>
          </w:tcPr>
          <w:p>
            <w:pPr>
              <w:jc w:val="center"/>
            </w:pPr>
            <w:r>
              <w:rPr>
                <w:b/>
                <w:color w:val="17324D"/>
              </w:rPr>
              <w:t>Plasma pattern</w:t>
            </w:r>
          </w:p>
        </w:tc>
        <w:tc>
          <w:tcPr>
            <w:tcW w:type="dxa" w:w="3168"/>
            <w:shd w:fill="D9E7F5"/>
            <w:tcMar>
              <w:top w:w="80" w:type="dxa"/>
              <w:start w:w="100" w:type="dxa"/>
              <w:bottom w:w="80" w:type="dxa"/>
              <w:end w:w="100" w:type="dxa"/>
            </w:tcMar>
          </w:tcPr>
          <w:p>
            <w:pPr>
              <w:jc w:val="center"/>
            </w:pPr>
            <w:r>
              <w:rPr>
                <w:b/>
                <w:color w:val="17324D"/>
              </w:rPr>
              <w:t>Quantum pattern</w:t>
            </w:r>
          </w:p>
        </w:tc>
        <w:tc>
          <w:tcPr>
            <w:tcW w:type="dxa" w:w="2160"/>
            <w:shd w:fill="D9E7F5"/>
            <w:tcMar>
              <w:top w:w="80" w:type="dxa"/>
              <w:start w:w="100" w:type="dxa"/>
              <w:bottom w:w="80" w:type="dxa"/>
              <w:end w:w="100" w:type="dxa"/>
            </w:tcMar>
          </w:tcPr>
          <w:p>
            <w:pPr>
              <w:jc w:val="center"/>
            </w:pPr>
            <w:r>
              <w:rPr>
                <w:b/>
                <w:color w:val="17324D"/>
              </w:rPr>
              <w:t>Why it matters</w:t>
            </w:r>
          </w:p>
        </w:tc>
      </w:tr>
      <w:tr>
        <w:tc>
          <w:tcPr>
            <w:tcW w:type="dxa" w:w="2484"/>
            <w:tcMar>
              <w:top w:w="80" w:type="dxa"/>
              <w:start w:w="100" w:type="dxa"/>
              <w:bottom w:w="80" w:type="dxa"/>
              <w:end w:w="100" w:type="dxa"/>
            </w:tcMar>
            <w:vAlign w:val="center"/>
          </w:tcPr>
          <w:p>
            <w:r>
              <w:t>Devices</w:t>
            </w:r>
          </w:p>
        </w:tc>
        <w:tc>
          <w:tcPr>
            <w:tcW w:type="dxa" w:w="2484"/>
            <w:tcMar>
              <w:top w:w="80" w:type="dxa"/>
              <w:start w:w="100" w:type="dxa"/>
              <w:bottom w:w="80" w:type="dxa"/>
              <w:end w:w="100" w:type="dxa"/>
            </w:tcMar>
            <w:vAlign w:val="center"/>
          </w:tcPr>
          <w:p>
            <w:r>
              <w:t>`tbl_imei` held the core stock state and several attributes in one denormalised row.</w:t>
            </w:r>
          </w:p>
        </w:tc>
        <w:tc>
          <w:tcPr>
            <w:tcW w:type="dxa" w:w="2484"/>
            <w:tcMar>
              <w:top w:w="80" w:type="dxa"/>
              <w:start w:w="100" w:type="dxa"/>
              <w:bottom w:w="80" w:type="dxa"/>
              <w:end w:w="100" w:type="dxa"/>
            </w:tcMar>
            <w:vAlign w:val="center"/>
          </w:tcPr>
          <w:p>
            <w:r>
              <w:t>`devices` is the central inventory table with explicit foreign keys, statuses, QC flags, repair flags, and order links.</w:t>
            </w:r>
          </w:p>
        </w:tc>
        <w:tc>
          <w:tcPr>
            <w:tcW w:type="dxa" w:w="2484"/>
            <w:tcMar>
              <w:top w:w="80" w:type="dxa"/>
              <w:start w:w="100" w:type="dxa"/>
              <w:bottom w:w="80" w:type="dxa"/>
              <w:end w:w="100" w:type="dxa"/>
            </w:tcMar>
            <w:vAlign w:val="center"/>
          </w:tcPr>
          <w:p>
            <w:r>
              <w:t>Relay code should treat the Quantum device as the authoritative object, then fan out to Plasma rows if needed.</w:t>
            </w:r>
          </w:p>
        </w:tc>
      </w:tr>
      <w:tr>
        <w:tc>
          <w:tcPr>
            <w:tcW w:type="dxa" w:w="2484"/>
            <w:tcMar>
              <w:top w:w="80" w:type="dxa"/>
              <w:start w:w="100" w:type="dxa"/>
              <w:bottom w:w="80" w:type="dxa"/>
              <w:end w:w="100" w:type="dxa"/>
            </w:tcMar>
            <w:vAlign w:val="center"/>
          </w:tcPr>
          <w:p>
            <w:r>
              <w:t>Goods in</w:t>
            </w:r>
          </w:p>
        </w:tc>
        <w:tc>
          <w:tcPr>
            <w:tcW w:type="dxa" w:w="2484"/>
            <w:tcMar>
              <w:top w:w="80" w:type="dxa"/>
              <w:start w:w="100" w:type="dxa"/>
              <w:bottom w:w="80" w:type="dxa"/>
              <w:end w:w="100" w:type="dxa"/>
            </w:tcMar>
            <w:vAlign w:val="center"/>
          </w:tcPr>
          <w:p>
            <w:r>
              <w:t>A purchase could be represented by repeated rows in `tbl_purchases`, with more device detail elsewhere.</w:t>
            </w:r>
          </w:p>
        </w:tc>
        <w:tc>
          <w:tcPr>
            <w:tcW w:type="dxa" w:w="2484"/>
            <w:tcMar>
              <w:top w:w="80" w:type="dxa"/>
              <w:start w:w="100" w:type="dxa"/>
              <w:bottom w:w="80" w:type="dxa"/>
              <w:end w:w="100" w:type="dxa"/>
            </w:tcMar>
            <w:vAlign w:val="center"/>
          </w:tcPr>
          <w:p>
            <w:r>
              <w:t>Quantum separates header, expected lines, and physical devices.</w:t>
            </w:r>
          </w:p>
        </w:tc>
        <w:tc>
          <w:tcPr>
            <w:tcW w:type="dxa" w:w="2484"/>
            <w:tcMar>
              <w:top w:w="80" w:type="dxa"/>
              <w:start w:w="100" w:type="dxa"/>
              <w:bottom w:w="80" w:type="dxa"/>
              <w:end w:w="100" w:type="dxa"/>
            </w:tcMar>
            <w:vAlign w:val="center"/>
          </w:tcPr>
          <w:p>
            <w:r>
              <w:t>One Quantum goods-in action may need multiple Plasma writes.</w:t>
            </w:r>
          </w:p>
        </w:tc>
      </w:tr>
      <w:tr>
        <w:tc>
          <w:tcPr>
            <w:tcW w:type="dxa" w:w="2484"/>
            <w:tcMar>
              <w:top w:w="80" w:type="dxa"/>
              <w:start w:w="100" w:type="dxa"/>
              <w:bottom w:w="80" w:type="dxa"/>
              <w:end w:w="100" w:type="dxa"/>
            </w:tcMar>
            <w:vAlign w:val="center"/>
          </w:tcPr>
          <w:p>
            <w:r>
              <w:t>Goods out</w:t>
            </w:r>
          </w:p>
        </w:tc>
        <w:tc>
          <w:tcPr>
            <w:tcW w:type="dxa" w:w="2484"/>
            <w:tcMar>
              <w:top w:w="80" w:type="dxa"/>
              <w:start w:w="100" w:type="dxa"/>
              <w:bottom w:w="80" w:type="dxa"/>
              <w:end w:w="100" w:type="dxa"/>
            </w:tcMar>
            <w:vAlign w:val="center"/>
          </w:tcPr>
          <w:p>
            <w:r>
              <w:t>Old sales state could be spread across `tbl_orders`, `tbl_imei_sales_orders`, and device status.</w:t>
            </w:r>
          </w:p>
        </w:tc>
        <w:tc>
          <w:tcPr>
            <w:tcW w:type="dxa" w:w="2484"/>
            <w:tcMar>
              <w:top w:w="80" w:type="dxa"/>
              <w:start w:w="100" w:type="dxa"/>
              <w:bottom w:w="80" w:type="dxa"/>
              <w:end w:w="100" w:type="dxa"/>
            </w:tcMar>
            <w:vAlign w:val="center"/>
          </w:tcPr>
          <w:p>
            <w:r>
              <w:t>Quantum has clear order header / line / item separation.</w:t>
            </w:r>
          </w:p>
        </w:tc>
        <w:tc>
          <w:tcPr>
            <w:tcW w:type="dxa" w:w="2484"/>
            <w:tcMar>
              <w:top w:w="80" w:type="dxa"/>
              <w:start w:w="100" w:type="dxa"/>
              <w:bottom w:w="80" w:type="dxa"/>
              <w:end w:w="100" w:type="dxa"/>
            </w:tcMar>
            <w:vAlign w:val="center"/>
          </w:tcPr>
          <w:p>
            <w:r>
              <w:t>Relay must preserve both requested quantities and actual picked devices.</w:t>
            </w:r>
          </w:p>
        </w:tc>
      </w:tr>
      <w:tr>
        <w:tc>
          <w:tcPr>
            <w:tcW w:type="dxa" w:w="2484"/>
            <w:tcMar>
              <w:top w:w="80" w:type="dxa"/>
              <w:start w:w="100" w:type="dxa"/>
              <w:bottom w:w="80" w:type="dxa"/>
              <w:end w:w="100" w:type="dxa"/>
            </w:tcMar>
            <w:vAlign w:val="center"/>
          </w:tcPr>
          <w:p>
            <w:r>
              <w:t>QC</w:t>
            </w:r>
          </w:p>
        </w:tc>
        <w:tc>
          <w:tcPr>
            <w:tcW w:type="dxa" w:w="2484"/>
            <w:tcMar>
              <w:top w:w="80" w:type="dxa"/>
              <w:start w:w="100" w:type="dxa"/>
              <w:bottom w:w="80" w:type="dxa"/>
              <w:end w:w="100" w:type="dxa"/>
            </w:tcMar>
            <w:vAlign w:val="center"/>
          </w:tcPr>
          <w:p>
            <w:r>
              <w:t>QC rows were stored flat per IMEI.</w:t>
            </w:r>
          </w:p>
        </w:tc>
        <w:tc>
          <w:tcPr>
            <w:tcW w:type="dxa" w:w="2484"/>
            <w:tcMar>
              <w:top w:w="80" w:type="dxa"/>
              <w:start w:w="100" w:type="dxa"/>
              <w:bottom w:w="80" w:type="dxa"/>
              <w:end w:w="100" w:type="dxa"/>
            </w:tcMar>
            <w:vAlign w:val="center"/>
          </w:tcPr>
          <w:p>
            <w:r>
              <w:t>QC is grouped into job headers plus per-device results.</w:t>
            </w:r>
          </w:p>
        </w:tc>
        <w:tc>
          <w:tcPr>
            <w:tcW w:type="dxa" w:w="2484"/>
            <w:tcMar>
              <w:top w:w="80" w:type="dxa"/>
              <w:start w:w="100" w:type="dxa"/>
              <w:bottom w:w="80" w:type="dxa"/>
              <w:end w:w="100" w:type="dxa"/>
            </w:tcMar>
            <w:vAlign w:val="center"/>
          </w:tcPr>
          <w:p>
            <w:r>
              <w:t>The relay must understand grouping and result collapse.</w:t>
            </w:r>
          </w:p>
        </w:tc>
      </w:tr>
      <w:tr>
        <w:tc>
          <w:tcPr>
            <w:tcW w:type="dxa" w:w="2484"/>
            <w:tcMar>
              <w:top w:w="80" w:type="dxa"/>
              <w:start w:w="100" w:type="dxa"/>
              <w:bottom w:w="80" w:type="dxa"/>
              <w:end w:w="100" w:type="dxa"/>
            </w:tcMar>
            <w:vAlign w:val="center"/>
          </w:tcPr>
          <w:p>
            <w:r>
              <w:t>Reference data</w:t>
            </w:r>
          </w:p>
        </w:tc>
        <w:tc>
          <w:tcPr>
            <w:tcW w:type="dxa" w:w="2484"/>
            <w:tcMar>
              <w:top w:w="80" w:type="dxa"/>
              <w:start w:w="100" w:type="dxa"/>
              <w:bottom w:w="80" w:type="dxa"/>
              <w:end w:w="100" w:type="dxa"/>
            </w:tcMar>
            <w:vAlign w:val="center"/>
          </w:tcPr>
          <w:p>
            <w:r>
              <w:t>Many legacy relationships were string- or code-based.</w:t>
            </w:r>
          </w:p>
        </w:tc>
        <w:tc>
          <w:tcPr>
            <w:tcW w:type="dxa" w:w="2484"/>
            <w:tcMar>
              <w:top w:w="80" w:type="dxa"/>
              <w:start w:w="100" w:type="dxa"/>
              <w:bottom w:w="80" w:type="dxa"/>
              <w:end w:w="100" w:type="dxa"/>
            </w:tcMar>
            <w:vAlign w:val="center"/>
          </w:tcPr>
          <w:p>
            <w:r>
              <w:t>Quantum leans on foreign keys and normalised reference tables.</w:t>
            </w:r>
          </w:p>
        </w:tc>
        <w:tc>
          <w:tcPr>
            <w:tcW w:type="dxa" w:w="2484"/>
            <w:tcMar>
              <w:top w:w="80" w:type="dxa"/>
              <w:start w:w="100" w:type="dxa"/>
              <w:bottom w:w="80" w:type="dxa"/>
              <w:end w:w="100" w:type="dxa"/>
            </w:tcMar>
            <w:vAlign w:val="center"/>
          </w:tcPr>
          <w:p>
            <w:r>
              <w:t>Lookups must be explicit; weak matching should be logged.</w:t>
            </w:r>
          </w:p>
        </w:tc>
      </w:tr>
    </w:tbl>
    <w:p>
      <w:pPr>
        <w:pStyle w:val="Heading1"/>
      </w:pPr>
      <w:r>
        <w:t>5. Domain-by-domain explanation for relay behaviour</w:t>
      </w:r>
    </w:p>
    <w:p>
      <w:pPr>
        <w:pStyle w:val="Heading2"/>
      </w:pPr>
      <w:r>
        <w:t>5.1 Devices and stock identity</w:t>
      </w:r>
    </w:p>
    <w:p>
      <w:pPr>
        <w:spacing w:after="100" w:line="276" w:lineRule="auto"/>
      </w:pPr>
      <w:r>
        <w:t>In Plasma, the device row was not just inventory; it often doubled as the place where downstream process state was inferred from status, purchase reference, or sales linkage. In Quantum, `devices` remains central, but it sits in a cleaner relational model with links to purchase orders, sales reservations, QC, repair, and history.</w:t>
      </w:r>
    </w:p>
    <w:p>
      <w:pPr>
        <w:spacing w:after="100" w:line="276" w:lineRule="auto"/>
      </w:pPr>
      <w:r>
        <w:t>For the relay layer this means a Quantum device event should generally start from the Quantum `devices` record, then map outwards into the required Plasma tables. The inverse approach - starting from a Plasma destination table and trying to reconstruct meaning after the fact - is more error-prone.</w:t>
      </w:r>
    </w:p>
    <w:p>
      <w:pPr>
        <w:spacing w:after="100" w:line="276" w:lineRule="auto"/>
      </w:pPr>
      <w:r>
        <w:t>This is especially important for IMEIs because they are still the strongest business key across both systems. However, the bridge should still validate context such as status, linked order, and stage of workflow before writing back into Plasma.</w:t>
      </w:r>
    </w:p>
    <w:p>
      <w:pPr>
        <w:pStyle w:val="Heading2"/>
      </w:pPr>
      <w:r>
        <w:t>5.2 Purchase orders and goods in</w:t>
      </w:r>
    </w:p>
    <w:p>
      <w:pPr>
        <w:spacing w:after="100" w:line="276" w:lineRule="auto"/>
      </w:pPr>
      <w:r>
        <w:t>The biggest structural change is that Quantum separates the purchase order header from device instances. Plasma tended to carry repeated purchase rows plus device rows, which made reporting easy short term but also meant the same business event could be spread across several places.</w:t>
      </w:r>
    </w:p>
    <w:p>
      <w:pPr>
        <w:spacing w:after="100" w:line="276" w:lineRule="auto"/>
      </w:pPr>
      <w:r>
        <w:t>When a goods-in action is entered in Quantum, the relay layer should determine whether Plasma needs:</w:t>
      </w:r>
    </w:p>
    <w:p>
      <w:pPr>
        <w:spacing w:after="40"/>
        <w:ind w:left="432"/>
      </w:pPr>
      <w:r>
        <w:t>• one or more `tbl_purchases` rows for the purchase event,</w:t>
      </w:r>
    </w:p>
    <w:p>
      <w:pPr>
        <w:spacing w:after="40"/>
        <w:ind w:left="432"/>
      </w:pPr>
      <w:r>
        <w:t>• a `tbl_imei` row update or insert for each physical device,</w:t>
      </w:r>
    </w:p>
    <w:p>
      <w:pPr>
        <w:spacing w:after="40"/>
        <w:ind w:left="432"/>
      </w:pPr>
      <w:r>
        <w:t>• and any linked flags such as QC-required or repair-required that Plasma expects to see in its own tables.</w:t>
      </w:r>
    </w:p>
    <w:p>
      <w:pPr>
        <w:spacing w:after="100" w:line="276" w:lineRule="auto"/>
      </w:pPr>
      <w:r>
        <w:t>Do not assume that a Quantum purchase order ID is equal to a Plasma `purchase_id`. Recent QC migration work showed clearly that old and new purchase identifiers do not have a stable arithmetic offset and should not be treated as interchangeable.</w:t>
      </w:r>
    </w:p>
    <w:p>
      <w:pPr>
        <w:spacing w:after="100" w:line="276" w:lineRule="auto"/>
      </w:pPr>
      <w:r>
        <w:t>Practical rule: if the relay needs to write a Plasma purchase reference, it should use the mapped or known Plasma purchase identity for that transaction, not the raw Quantum `purchase_orders.id` unless you have explicitly recorded that mapping.</w:t>
      </w:r>
    </w:p>
    <w:p>
      <w:pPr>
        <w:pStyle w:val="Heading2"/>
      </w:pPr>
      <w:r>
        <w:t>5.3 Sales orders and goods out</w:t>
      </w:r>
    </w:p>
    <w:p>
      <w:pPr>
        <w:spacing w:after="100" w:line="276" w:lineRule="auto"/>
      </w:pPr>
      <w:r>
        <w:t>The sales side changed in the same general direction: Plasma often represented real-world picks and completion state in a flatter, device-focused way, while Quantum separates the order itself, requested lines, and actual picked devices.</w:t>
      </w:r>
    </w:p>
    <w:p>
      <w:pPr>
        <w:spacing w:after="100" w:line="276" w:lineRule="auto"/>
      </w:pPr>
      <w:r>
        <w:t>That means the relay layer should distinguish between three different things that can happen in Quantum:</w:t>
      </w:r>
    </w:p>
    <w:p>
      <w:pPr>
        <w:ind w:left="432"/>
      </w:pPr>
      <w:r>
        <w:t>• the order header exists,</w:t>
      </w:r>
    </w:p>
    <w:p>
      <w:pPr>
        <w:ind w:left="432"/>
      </w:pPr>
      <w:r>
        <w:t>• the order lines define what is wanted,</w:t>
      </w:r>
    </w:p>
    <w:p>
      <w:pPr>
        <w:ind w:left="432"/>
      </w:pPr>
      <w:r>
        <w:t>• the actual picked devices define what has been allocated or shipped.</w:t>
      </w:r>
    </w:p>
    <w:p>
      <w:pPr>
        <w:spacing w:after="100" w:line="276" w:lineRule="auto"/>
      </w:pPr>
      <w:r>
        <w:t>In recent migration work, one issue on the new side was that some UI paths expected explicit sales-order item rows, while older or completed orders could still appear to be represented through device linkage. That is exactly the kind of difference the relay must account for: some Plasma outcomes are best recreated by writing the concrete device-level rows Plasma actually uses, not just the order header.</w:t>
      </w:r>
    </w:p>
    <w:p>
      <w:pPr>
        <w:spacing w:after="100" w:line="276" w:lineRule="auto"/>
      </w:pPr>
      <w:r>
        <w:t>Practical rule: when a Quantum sales action reserves, allocates, completes, or ships specific devices, the bridge should relay the affected device IMEIs and the corresponding Plasma order rows together so the old UI and reports continue to behave as expected.</w:t>
      </w:r>
    </w:p>
    <w:p>
      <w:pPr>
        <w:pStyle w:val="Heading2"/>
      </w:pPr>
      <w:r>
        <w:t>5.4 QC</w:t>
      </w:r>
    </w:p>
    <w:p>
      <w:pPr>
        <w:spacing w:after="100" w:line="276" w:lineRule="auto"/>
      </w:pPr>
      <w:r>
        <w:t>QC is the clearest example of why a row-for-row copy is the wrong model.</w:t>
      </w:r>
    </w:p>
    <w:p>
      <w:pPr>
        <w:spacing w:after="100" w:line="276" w:lineRule="auto"/>
      </w:pPr>
      <w:r>
        <w:t>Plasma stores QC in `tbl_qc_imei_products` with legacy purchase reference, IMEI (`item_code`), pass flags, comments, user, and `item_eu`. Quantum stores QC as a job header (`qc_jobs`) plus one result row per device per job (`qc_results`).</w:t>
      </w:r>
    </w:p>
    <w:p>
      <w:pPr>
        <w:spacing w:after="100" w:line="276" w:lineRule="auto"/>
      </w:pPr>
      <w:r>
        <w:t>Recent migration findings were:</w:t>
      </w:r>
    </w:p>
    <w:p>
      <w:pPr>
        <w:ind w:left="432"/>
      </w:pPr>
      <w:r>
        <w:t>• 158,380 legacy QC rows matched a single Quantum device cleanly.</w:t>
      </w:r>
    </w:p>
    <w:p>
      <w:pPr>
        <w:ind w:left="432"/>
      </w:pPr>
      <w:r>
        <w:t>• 177 legacy QC rows could not be matched to any Quantum device and were quarantined.</w:t>
      </w:r>
    </w:p>
    <w:p>
      <w:pPr>
        <w:ind w:left="432"/>
      </w:pPr>
      <w:r>
        <w:t>• 154,206 distinct Quantum QC result rows were produced, meaning 4,174 legacy rows collapsed onto existing device/job pairs.</w:t>
      </w:r>
    </w:p>
    <w:p>
      <w:pPr>
        <w:ind w:left="432"/>
      </w:pPr>
      <w:r>
        <w:t>• Those 4,174 were not just harmless duplicates; many were retests or revised outcomes, including fail-then-pass patterns after repair or rework.</w:t>
      </w:r>
    </w:p>
    <w:p>
      <w:pPr>
        <w:spacing w:after="100" w:line="276" w:lineRule="auto"/>
      </w:pPr>
      <w:r>
        <w:t>This matters hugely for relay logic. If QC is entered in Quantum and then echoed into Plasma, the bridge may need to append a new Plasma QC row even when Quantum only has one current QC result row for that device/job. Plasma can represent repeated QC events for the same device; Quantum intentionally collapses current state.</w:t>
      </w:r>
    </w:p>
    <w:p>
      <w:pPr>
        <w:spacing w:after="100" w:line="276" w:lineRule="auto"/>
      </w:pPr>
      <w:r>
        <w:t>Practical rule: for temporary parallel running, treat Plasma QC as an event log and Quantum QC as current structured state. If you need Plasma to reflect repeated QC attempts, generate a fresh Plasma QC row for each new QC action in Quantum rather than trying to mirror `qc_results` row-count exactly.</w:t>
      </w:r>
    </w:p>
    <w:p>
      <w:pPr>
        <w:pStyle w:val="Heading2"/>
      </w:pPr>
      <w:r>
        <w:t>5.5 Repair and downstream state</w:t>
      </w:r>
    </w:p>
    <w:p>
      <w:pPr>
        <w:spacing w:after="100" w:line="276" w:lineRule="auto"/>
      </w:pPr>
      <w:r>
        <w:t>Even where repair is not yet fully bridged, the relay layer must understand that QC and repair interact. The migration work showed repeated QC outcomes that make sense only if a device was reworked and then rechecked. That means a later pass can be the correct final state even if Plasma previously recorded a fail.</w:t>
      </w:r>
    </w:p>
    <w:p>
      <w:pPr>
        <w:spacing w:after="100" w:line="276" w:lineRule="auto"/>
      </w:pPr>
      <w:r>
        <w:t>Practical rule: if a device is re-tested after repair, the relay should never overwrite historical Plasma evidence silently. Prefer inserting the next event Plasma expects, while leaving earlier rows intact.</w:t>
      </w:r>
    </w:p>
    <w:p>
      <w:pPr>
        <w:pStyle w:val="Heading1"/>
      </w:pPr>
      <w:r>
        <w:t>6. What the relay layer should key on</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D9E7F5"/>
            <w:tcMar>
              <w:top w:w="80" w:type="dxa"/>
              <w:start w:w="100" w:type="dxa"/>
              <w:bottom w:w="80" w:type="dxa"/>
              <w:end w:w="100" w:type="dxa"/>
            </w:tcMar>
          </w:tcPr>
          <w:p>
            <w:pPr>
              <w:jc w:val="center"/>
            </w:pPr>
            <w:r>
              <w:rPr>
                <w:b/>
                <w:color w:val="17324D"/>
              </w:rPr>
              <w:t>Use this first</w:t>
            </w:r>
          </w:p>
        </w:tc>
        <w:tc>
          <w:tcPr>
            <w:tcW w:type="dxa" w:w="3888"/>
            <w:shd w:fill="D9E7F5"/>
            <w:tcMar>
              <w:top w:w="80" w:type="dxa"/>
              <w:start w:w="100" w:type="dxa"/>
              <w:bottom w:w="80" w:type="dxa"/>
              <w:end w:w="100" w:type="dxa"/>
            </w:tcMar>
          </w:tcPr>
          <w:p>
            <w:pPr>
              <w:jc w:val="center"/>
            </w:pPr>
            <w:r>
              <w:rPr>
                <w:b/>
                <w:color w:val="17324D"/>
              </w:rPr>
              <w:t>Avoid relying on this alone</w:t>
            </w:r>
          </w:p>
        </w:tc>
        <w:tc>
          <w:tcPr>
            <w:tcW w:type="dxa" w:w="3312"/>
            <w:shd w:fill="D9E7F5"/>
            <w:tcMar>
              <w:top w:w="80" w:type="dxa"/>
              <w:start w:w="100" w:type="dxa"/>
              <w:bottom w:w="80" w:type="dxa"/>
              <w:end w:w="100" w:type="dxa"/>
            </w:tcMar>
          </w:tcPr>
          <w:p>
            <w:pPr>
              <w:jc w:val="center"/>
            </w:pPr>
            <w:r>
              <w:rPr>
                <w:b/>
                <w:color w:val="17324D"/>
              </w:rPr>
              <w:t>Reason</w:t>
            </w:r>
          </w:p>
        </w:tc>
      </w:tr>
      <w:tr>
        <w:tc>
          <w:tcPr>
            <w:tcW w:type="dxa" w:w="3312"/>
            <w:tcMar>
              <w:top w:w="80" w:type="dxa"/>
              <w:start w:w="100" w:type="dxa"/>
              <w:bottom w:w="80" w:type="dxa"/>
              <w:end w:w="100" w:type="dxa"/>
            </w:tcMar>
            <w:vAlign w:val="center"/>
          </w:tcPr>
          <w:p>
            <w:r>
              <w:t>IMEI and transaction context</w:t>
            </w:r>
          </w:p>
        </w:tc>
        <w:tc>
          <w:tcPr>
            <w:tcW w:type="dxa" w:w="3312"/>
            <w:tcMar>
              <w:top w:w="80" w:type="dxa"/>
              <w:start w:w="100" w:type="dxa"/>
              <w:bottom w:w="80" w:type="dxa"/>
              <w:end w:w="100" w:type="dxa"/>
            </w:tcMar>
            <w:vAlign w:val="center"/>
          </w:tcPr>
          <w:p>
            <w:r>
              <w:t>Raw old/new numeric ID equality</w:t>
            </w:r>
          </w:p>
        </w:tc>
        <w:tc>
          <w:tcPr>
            <w:tcW w:type="dxa" w:w="3312"/>
            <w:tcMar>
              <w:top w:w="80" w:type="dxa"/>
              <w:start w:w="100" w:type="dxa"/>
              <w:bottom w:w="80" w:type="dxa"/>
              <w:end w:w="100" w:type="dxa"/>
            </w:tcMar>
            <w:vAlign w:val="center"/>
          </w:tcPr>
          <w:p>
            <w:r>
              <w:t>IMEI is the strongest shared business key, but it still needs stage/context checks.</w:t>
            </w:r>
          </w:p>
        </w:tc>
      </w:tr>
      <w:tr>
        <w:tc>
          <w:tcPr>
            <w:tcW w:type="dxa" w:w="3312"/>
            <w:tcMar>
              <w:top w:w="80" w:type="dxa"/>
              <w:start w:w="100" w:type="dxa"/>
              <w:bottom w:w="80" w:type="dxa"/>
              <w:end w:w="100" w:type="dxa"/>
            </w:tcMar>
            <w:vAlign w:val="center"/>
          </w:tcPr>
          <w:p>
            <w:r>
              <w:t>Known mapping tables or bridge records</w:t>
            </w:r>
          </w:p>
        </w:tc>
        <w:tc>
          <w:tcPr>
            <w:tcW w:type="dxa" w:w="3312"/>
            <w:tcMar>
              <w:top w:w="80" w:type="dxa"/>
              <w:start w:w="100" w:type="dxa"/>
              <w:bottom w:w="80" w:type="dxa"/>
              <w:end w:w="100" w:type="dxa"/>
            </w:tcMar>
            <w:vAlign w:val="center"/>
          </w:tcPr>
          <w:p>
            <w:r>
              <w:t>Assumed arithmetic offsets between IDs</w:t>
            </w:r>
          </w:p>
        </w:tc>
        <w:tc>
          <w:tcPr>
            <w:tcW w:type="dxa" w:w="3312"/>
            <w:tcMar>
              <w:top w:w="80" w:type="dxa"/>
              <w:start w:w="100" w:type="dxa"/>
              <w:bottom w:w="80" w:type="dxa"/>
              <w:end w:w="100" w:type="dxa"/>
            </w:tcMar>
            <w:vAlign w:val="center"/>
          </w:tcPr>
          <w:p>
            <w:r>
              <w:t>Recent work proved purchase IDs do not move by one simple offset.</w:t>
            </w:r>
          </w:p>
        </w:tc>
      </w:tr>
      <w:tr>
        <w:tc>
          <w:tcPr>
            <w:tcW w:type="dxa" w:w="3312"/>
            <w:tcMar>
              <w:top w:w="80" w:type="dxa"/>
              <w:start w:w="100" w:type="dxa"/>
              <w:bottom w:w="80" w:type="dxa"/>
              <w:end w:w="100" w:type="dxa"/>
            </w:tcMar>
            <w:vAlign w:val="center"/>
          </w:tcPr>
          <w:p>
            <w:r>
              <w:t>Quantum header + lines + item/device relationships</w:t>
            </w:r>
          </w:p>
        </w:tc>
        <w:tc>
          <w:tcPr>
            <w:tcW w:type="dxa" w:w="3312"/>
            <w:tcMar>
              <w:top w:w="80" w:type="dxa"/>
              <w:start w:w="100" w:type="dxa"/>
              <w:bottom w:w="80" w:type="dxa"/>
              <w:end w:w="100" w:type="dxa"/>
            </w:tcMar>
            <w:vAlign w:val="center"/>
          </w:tcPr>
          <w:p>
            <w:r>
              <w:t>Single-table mirroring</w:t>
            </w:r>
          </w:p>
        </w:tc>
        <w:tc>
          <w:tcPr>
            <w:tcW w:type="dxa" w:w="3312"/>
            <w:tcMar>
              <w:top w:w="80" w:type="dxa"/>
              <w:start w:w="100" w:type="dxa"/>
              <w:bottom w:w="80" w:type="dxa"/>
              <w:end w:w="100" w:type="dxa"/>
            </w:tcMar>
            <w:vAlign w:val="center"/>
          </w:tcPr>
          <w:p>
            <w:r>
              <w:t>Quantum often needs to be exploded into the older Plasma row-shape.</w:t>
            </w:r>
          </w:p>
        </w:tc>
      </w:tr>
      <w:tr>
        <w:tc>
          <w:tcPr>
            <w:tcW w:type="dxa" w:w="3312"/>
            <w:tcMar>
              <w:top w:w="80" w:type="dxa"/>
              <w:start w:w="100" w:type="dxa"/>
              <w:bottom w:w="80" w:type="dxa"/>
              <w:end w:w="100" w:type="dxa"/>
            </w:tcMar>
            <w:vAlign w:val="center"/>
          </w:tcPr>
          <w:p>
            <w:r>
              <w:t>Explicit action type (receive, reserve, ship, QC, retest)</w:t>
            </w:r>
          </w:p>
        </w:tc>
        <w:tc>
          <w:tcPr>
            <w:tcW w:type="dxa" w:w="3312"/>
            <w:tcMar>
              <w:top w:w="80" w:type="dxa"/>
              <w:start w:w="100" w:type="dxa"/>
              <w:bottom w:w="80" w:type="dxa"/>
              <w:end w:w="100" w:type="dxa"/>
            </w:tcMar>
            <w:vAlign w:val="center"/>
          </w:tcPr>
          <w:p>
            <w:r>
              <w:t>Status alone</w:t>
            </w:r>
          </w:p>
        </w:tc>
        <w:tc>
          <w:tcPr>
            <w:tcW w:type="dxa" w:w="3312"/>
            <w:tcMar>
              <w:top w:w="80" w:type="dxa"/>
              <w:start w:w="100" w:type="dxa"/>
              <w:bottom w:w="80" w:type="dxa"/>
              <w:end w:w="100" w:type="dxa"/>
            </w:tcMar>
            <w:vAlign w:val="center"/>
          </w:tcPr>
          <w:p>
            <w:r>
              <w:t>Two rows can have the same final status but represent different operational events.</w:t>
            </w:r>
          </w:p>
        </w:tc>
      </w:tr>
    </w:tbl>
    <w:p>
      <w:pPr>
        <w:pStyle w:val="Heading1"/>
      </w:pPr>
      <w:r>
        <w:t>7. Recommended bridge architecture for the parallel period</w:t>
      </w:r>
    </w:p>
    <w:p>
      <w:pPr>
        <w:spacing w:after="100" w:line="276" w:lineRule="auto"/>
      </w:pPr>
      <w:r>
        <w:t>A small, explicit bridge service is safer than sprinkling ad-hoc SQL writes around the application. The bridge should listen for or receive a well-defined Quantum event, resolve the correct Plasma targets, write them in one controlled sequence, and log both the source and the Plasma rows it touched.</w:t>
      </w:r>
    </w:p>
    <w:p>
      <w:pPr>
        <w:ind w:left="432"/>
      </w:pPr>
      <w:r>
        <w:t>• Input: a Quantum business event (for example goods-in completed, order reserved, order shipped, QC saved, QC re-tested).</w:t>
      </w:r>
    </w:p>
    <w:p>
      <w:pPr>
        <w:ind w:left="432"/>
      </w:pPr>
      <w:r>
        <w:t>• Resolver: identify the relevant Quantum entities - header, lines, device IDs, IMEIs, users, flags, and any mapped Plasma identities.</w:t>
      </w:r>
    </w:p>
    <w:p>
      <w:pPr>
        <w:ind w:left="432"/>
      </w:pPr>
      <w:r>
        <w:t>• Translator: convert that business event into the set of Plasma writes required for the old UI and reports to behave correctly.</w:t>
      </w:r>
    </w:p>
    <w:p>
      <w:pPr>
        <w:ind w:left="432"/>
      </w:pPr>
      <w:r>
        <w:t>• Writer: perform Plasma writes in a defined order and record the outcome.</w:t>
      </w:r>
    </w:p>
    <w:p>
      <w:pPr>
        <w:ind w:left="432"/>
      </w:pPr>
      <w:r>
        <w:t>• Audit: store Quantum source IDs, Plasma destination IDs, timestamps, and payload snapshots in a bridge log table or file.</w:t>
      </w:r>
    </w:p>
    <w:p>
      <w:pPr>
        <w:spacing w:after="100" w:line="276" w:lineRule="auto"/>
      </w:pPr>
      <w:r>
        <w:t>The bridge should also be idempotent. During a tense parallel run, someone will retry an operation. Without an idempotency key or bridge log, the old system will accumulate duplicate rows very quickly.</w:t>
      </w:r>
    </w:p>
    <w:p>
      <w:pPr>
        <w:pStyle w:val="Heading1"/>
      </w:pPr>
      <w:r>
        <w:t>8. Recommended mapping rules by workflow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D9E7F5"/>
            <w:tcMar>
              <w:top w:w="80" w:type="dxa"/>
              <w:start w:w="100" w:type="dxa"/>
              <w:bottom w:w="80" w:type="dxa"/>
              <w:end w:w="100" w:type="dxa"/>
            </w:tcMar>
          </w:tcPr>
          <w:p>
            <w:pPr>
              <w:jc w:val="center"/>
            </w:pPr>
            <w:r>
              <w:rPr>
                <w:b/>
                <w:color w:val="17324D"/>
              </w:rPr>
              <w:t>Quantum action</w:t>
            </w:r>
          </w:p>
        </w:tc>
        <w:tc>
          <w:tcPr>
            <w:tcW w:type="dxa" w:w="3024"/>
            <w:shd w:fill="D9E7F5"/>
            <w:tcMar>
              <w:top w:w="80" w:type="dxa"/>
              <w:start w:w="100" w:type="dxa"/>
              <w:bottom w:w="80" w:type="dxa"/>
              <w:end w:w="100" w:type="dxa"/>
            </w:tcMar>
          </w:tcPr>
          <w:p>
            <w:pPr>
              <w:jc w:val="center"/>
            </w:pPr>
            <w:r>
              <w:rPr>
                <w:b/>
                <w:color w:val="17324D"/>
              </w:rPr>
              <w:t>Primary Quantum source</w:t>
            </w:r>
          </w:p>
        </w:tc>
        <w:tc>
          <w:tcPr>
            <w:tcW w:type="dxa" w:w="2880"/>
            <w:shd w:fill="D9E7F5"/>
            <w:tcMar>
              <w:top w:w="80" w:type="dxa"/>
              <w:start w:w="100" w:type="dxa"/>
              <w:bottom w:w="80" w:type="dxa"/>
              <w:end w:w="100" w:type="dxa"/>
            </w:tcMar>
          </w:tcPr>
          <w:p>
            <w:pPr>
              <w:jc w:val="center"/>
            </w:pPr>
            <w:r>
              <w:rPr>
                <w:b/>
                <w:color w:val="17324D"/>
              </w:rPr>
              <w:t>Plasma write target(s)</w:t>
            </w:r>
          </w:p>
        </w:tc>
        <w:tc>
          <w:tcPr>
            <w:tcW w:type="dxa" w:w="2736"/>
            <w:shd w:fill="D9E7F5"/>
            <w:tcMar>
              <w:top w:w="80" w:type="dxa"/>
              <w:start w:w="100" w:type="dxa"/>
              <w:bottom w:w="80" w:type="dxa"/>
              <w:end w:w="100" w:type="dxa"/>
            </w:tcMar>
          </w:tcPr>
          <w:p>
            <w:pPr>
              <w:jc w:val="center"/>
            </w:pPr>
            <w:r>
              <w:rPr>
                <w:b/>
                <w:color w:val="17324D"/>
              </w:rPr>
              <w:t>Notes</w:t>
            </w:r>
          </w:p>
        </w:tc>
      </w:tr>
      <w:tr>
        <w:tc>
          <w:tcPr>
            <w:tcW w:type="dxa" w:w="2484"/>
            <w:tcMar>
              <w:top w:w="80" w:type="dxa"/>
              <w:start w:w="100" w:type="dxa"/>
              <w:bottom w:w="80" w:type="dxa"/>
              <w:end w:w="100" w:type="dxa"/>
            </w:tcMar>
            <w:vAlign w:val="center"/>
          </w:tcPr>
          <w:p>
            <w:r>
              <w:t>Device received</w:t>
            </w:r>
          </w:p>
        </w:tc>
        <w:tc>
          <w:tcPr>
            <w:tcW w:type="dxa" w:w="2484"/>
            <w:tcMar>
              <w:top w:w="80" w:type="dxa"/>
              <w:start w:w="100" w:type="dxa"/>
              <w:bottom w:w="80" w:type="dxa"/>
              <w:end w:w="100" w:type="dxa"/>
            </w:tcMar>
            <w:vAlign w:val="center"/>
          </w:tcPr>
          <w:p>
            <w:r>
              <w:t>`purchase_orders`, `devices`</w:t>
            </w:r>
          </w:p>
        </w:tc>
        <w:tc>
          <w:tcPr>
            <w:tcW w:type="dxa" w:w="2484"/>
            <w:tcMar>
              <w:top w:w="80" w:type="dxa"/>
              <w:start w:w="100" w:type="dxa"/>
              <w:bottom w:w="80" w:type="dxa"/>
              <w:end w:w="100" w:type="dxa"/>
            </w:tcMar>
            <w:vAlign w:val="center"/>
          </w:tcPr>
          <w:p>
            <w:r>
              <w:t>`tbl_purchases`, `tbl_imei`</w:t>
            </w:r>
          </w:p>
        </w:tc>
        <w:tc>
          <w:tcPr>
            <w:tcW w:type="dxa" w:w="2484"/>
            <w:tcMar>
              <w:top w:w="80" w:type="dxa"/>
              <w:start w:w="100" w:type="dxa"/>
              <w:bottom w:w="80" w:type="dxa"/>
              <w:end w:w="100" w:type="dxa"/>
            </w:tcMar>
            <w:vAlign w:val="center"/>
          </w:tcPr>
          <w:p>
            <w:r>
              <w:t>Carry QC/repair-required flags into the old model.</w:t>
            </w:r>
          </w:p>
        </w:tc>
      </w:tr>
      <w:tr>
        <w:tc>
          <w:tcPr>
            <w:tcW w:type="dxa" w:w="2484"/>
            <w:tcMar>
              <w:top w:w="80" w:type="dxa"/>
              <w:start w:w="100" w:type="dxa"/>
              <w:bottom w:w="80" w:type="dxa"/>
              <w:end w:w="100" w:type="dxa"/>
            </w:tcMar>
            <w:vAlign w:val="center"/>
          </w:tcPr>
          <w:p>
            <w:r>
              <w:t>Sales order created</w:t>
            </w:r>
          </w:p>
        </w:tc>
        <w:tc>
          <w:tcPr>
            <w:tcW w:type="dxa" w:w="2484"/>
            <w:tcMar>
              <w:top w:w="80" w:type="dxa"/>
              <w:start w:w="100" w:type="dxa"/>
              <w:bottom w:w="80" w:type="dxa"/>
              <w:end w:w="100" w:type="dxa"/>
            </w:tcMar>
            <w:vAlign w:val="center"/>
          </w:tcPr>
          <w:p>
            <w:r>
              <w:t>`sales_orders`, `sales_order_lines`</w:t>
            </w:r>
          </w:p>
        </w:tc>
        <w:tc>
          <w:tcPr>
            <w:tcW w:type="dxa" w:w="2484"/>
            <w:tcMar>
              <w:top w:w="80" w:type="dxa"/>
              <w:start w:w="100" w:type="dxa"/>
              <w:bottom w:w="80" w:type="dxa"/>
              <w:end w:w="100" w:type="dxa"/>
            </w:tcMar>
            <w:vAlign w:val="center"/>
          </w:tcPr>
          <w:p>
            <w:r>
              <w:t>`tbl_orders` and related order rows</w:t>
            </w:r>
          </w:p>
        </w:tc>
        <w:tc>
          <w:tcPr>
            <w:tcW w:type="dxa" w:w="2484"/>
            <w:tcMar>
              <w:top w:w="80" w:type="dxa"/>
              <w:start w:w="100" w:type="dxa"/>
              <w:bottom w:w="80" w:type="dxa"/>
              <w:end w:w="100" w:type="dxa"/>
            </w:tcMar>
            <w:vAlign w:val="center"/>
          </w:tcPr>
          <w:p>
            <w:r>
              <w:t>Do not mark concrete devices unless they are actually allocated.</w:t>
            </w:r>
          </w:p>
        </w:tc>
      </w:tr>
      <w:tr>
        <w:tc>
          <w:tcPr>
            <w:tcW w:type="dxa" w:w="2484"/>
            <w:tcMar>
              <w:top w:w="80" w:type="dxa"/>
              <w:start w:w="100" w:type="dxa"/>
              <w:bottom w:w="80" w:type="dxa"/>
              <w:end w:w="100" w:type="dxa"/>
            </w:tcMar>
            <w:vAlign w:val="center"/>
          </w:tcPr>
          <w:p>
            <w:r>
              <w:t>Devices allocated / picked</w:t>
            </w:r>
          </w:p>
        </w:tc>
        <w:tc>
          <w:tcPr>
            <w:tcW w:type="dxa" w:w="2484"/>
            <w:tcMar>
              <w:top w:w="80" w:type="dxa"/>
              <w:start w:w="100" w:type="dxa"/>
              <w:bottom w:w="80" w:type="dxa"/>
              <w:end w:w="100" w:type="dxa"/>
            </w:tcMar>
            <w:vAlign w:val="center"/>
          </w:tcPr>
          <w:p>
            <w:r>
              <w:t>`sales_order_items`, `devices.reserved_for_so_id`</w:t>
            </w:r>
          </w:p>
        </w:tc>
        <w:tc>
          <w:tcPr>
            <w:tcW w:type="dxa" w:w="2484"/>
            <w:tcMar>
              <w:top w:w="80" w:type="dxa"/>
              <w:start w:w="100" w:type="dxa"/>
              <w:bottom w:w="80" w:type="dxa"/>
              <w:end w:w="100" w:type="dxa"/>
            </w:tcMar>
            <w:vAlign w:val="center"/>
          </w:tcPr>
          <w:p>
            <w:r>
              <w:t>`tbl_imei_sales_orders` and any linked device status rows</w:t>
            </w:r>
          </w:p>
        </w:tc>
        <w:tc>
          <w:tcPr>
            <w:tcW w:type="dxa" w:w="2484"/>
            <w:tcMar>
              <w:top w:w="80" w:type="dxa"/>
              <w:start w:w="100" w:type="dxa"/>
              <w:bottom w:w="80" w:type="dxa"/>
              <w:end w:w="100" w:type="dxa"/>
            </w:tcMar>
            <w:vAlign w:val="center"/>
          </w:tcPr>
          <w:p>
            <w:r>
              <w:t>This is where the old system often needs the concrete IMEIs.</w:t>
            </w:r>
          </w:p>
        </w:tc>
      </w:tr>
      <w:tr>
        <w:tc>
          <w:tcPr>
            <w:tcW w:type="dxa" w:w="2484"/>
            <w:tcMar>
              <w:top w:w="80" w:type="dxa"/>
              <w:start w:w="100" w:type="dxa"/>
              <w:bottom w:w="80" w:type="dxa"/>
              <w:end w:w="100" w:type="dxa"/>
            </w:tcMar>
            <w:vAlign w:val="center"/>
          </w:tcPr>
          <w:p>
            <w:r>
              <w:t>Goods shipped</w:t>
            </w:r>
          </w:p>
        </w:tc>
        <w:tc>
          <w:tcPr>
            <w:tcW w:type="dxa" w:w="2484"/>
            <w:tcMar>
              <w:top w:w="80" w:type="dxa"/>
              <w:start w:w="100" w:type="dxa"/>
              <w:bottom w:w="80" w:type="dxa"/>
              <w:end w:w="100" w:type="dxa"/>
            </w:tcMar>
            <w:vAlign w:val="center"/>
          </w:tcPr>
          <w:p>
            <w:r>
              <w:t>Order/item/device state</w:t>
            </w:r>
          </w:p>
        </w:tc>
        <w:tc>
          <w:tcPr>
            <w:tcW w:type="dxa" w:w="2484"/>
            <w:tcMar>
              <w:top w:w="80" w:type="dxa"/>
              <w:start w:w="100" w:type="dxa"/>
              <w:bottom w:w="80" w:type="dxa"/>
              <w:end w:w="100" w:type="dxa"/>
            </w:tcMar>
            <w:vAlign w:val="center"/>
          </w:tcPr>
          <w:p>
            <w:r>
              <w:t>Old order completion / goods-out paths</w:t>
            </w:r>
          </w:p>
        </w:tc>
        <w:tc>
          <w:tcPr>
            <w:tcW w:type="dxa" w:w="2484"/>
            <w:tcMar>
              <w:top w:w="80" w:type="dxa"/>
              <w:start w:w="100" w:type="dxa"/>
              <w:bottom w:w="80" w:type="dxa"/>
              <w:end w:w="100" w:type="dxa"/>
            </w:tcMar>
            <w:vAlign w:val="center"/>
          </w:tcPr>
          <w:p>
            <w:r>
              <w:t>Mirror both the order-level and device-level consequences.</w:t>
            </w:r>
          </w:p>
        </w:tc>
      </w:tr>
      <w:tr>
        <w:tc>
          <w:tcPr>
            <w:tcW w:type="dxa" w:w="2484"/>
            <w:tcMar>
              <w:top w:w="80" w:type="dxa"/>
              <w:start w:w="100" w:type="dxa"/>
              <w:bottom w:w="80" w:type="dxa"/>
              <w:end w:w="100" w:type="dxa"/>
            </w:tcMar>
            <w:vAlign w:val="center"/>
          </w:tcPr>
          <w:p>
            <w:r>
              <w:t>QC saved</w:t>
            </w:r>
          </w:p>
        </w:tc>
        <w:tc>
          <w:tcPr>
            <w:tcW w:type="dxa" w:w="2484"/>
            <w:tcMar>
              <w:top w:w="80" w:type="dxa"/>
              <w:start w:w="100" w:type="dxa"/>
              <w:bottom w:w="80" w:type="dxa"/>
              <w:end w:w="100" w:type="dxa"/>
            </w:tcMar>
            <w:vAlign w:val="center"/>
          </w:tcPr>
          <w:p>
            <w:r>
              <w:t>`qc_jobs`, `qc_results`, device IMEI</w:t>
            </w:r>
          </w:p>
        </w:tc>
        <w:tc>
          <w:tcPr>
            <w:tcW w:type="dxa" w:w="2484"/>
            <w:tcMar>
              <w:top w:w="80" w:type="dxa"/>
              <w:start w:w="100" w:type="dxa"/>
              <w:bottom w:w="80" w:type="dxa"/>
              <w:end w:w="100" w:type="dxa"/>
            </w:tcMar>
            <w:vAlign w:val="center"/>
          </w:tcPr>
          <w:p>
            <w:r>
              <w:t>`tbl_qc_imei_products`</w:t>
            </w:r>
          </w:p>
        </w:tc>
        <w:tc>
          <w:tcPr>
            <w:tcW w:type="dxa" w:w="2484"/>
            <w:tcMar>
              <w:top w:w="80" w:type="dxa"/>
              <w:start w:w="100" w:type="dxa"/>
              <w:bottom w:w="80" w:type="dxa"/>
              <w:end w:w="100" w:type="dxa"/>
            </w:tcMar>
            <w:vAlign w:val="center"/>
          </w:tcPr>
          <w:p>
            <w:r>
              <w:t>Plasma may need a new QC event row even if Quantum only updates current structured state.</w:t>
            </w:r>
          </w:p>
        </w:tc>
      </w:tr>
      <w:tr>
        <w:tc>
          <w:tcPr>
            <w:tcW w:type="dxa" w:w="2484"/>
            <w:tcMar>
              <w:top w:w="80" w:type="dxa"/>
              <w:start w:w="100" w:type="dxa"/>
              <w:bottom w:w="80" w:type="dxa"/>
              <w:end w:w="100" w:type="dxa"/>
            </w:tcMar>
            <w:vAlign w:val="center"/>
          </w:tcPr>
          <w:p>
            <w:r>
              <w:t>QC retest after repair</w:t>
            </w:r>
          </w:p>
        </w:tc>
        <w:tc>
          <w:tcPr>
            <w:tcW w:type="dxa" w:w="2484"/>
            <w:tcMar>
              <w:top w:w="80" w:type="dxa"/>
              <w:start w:w="100" w:type="dxa"/>
              <w:bottom w:w="80" w:type="dxa"/>
              <w:end w:w="100" w:type="dxa"/>
            </w:tcMar>
            <w:vAlign w:val="center"/>
          </w:tcPr>
          <w:p>
            <w:r>
              <w:t>Latest Quantum QC result plus previous bridge log</w:t>
            </w:r>
          </w:p>
        </w:tc>
        <w:tc>
          <w:tcPr>
            <w:tcW w:type="dxa" w:w="2484"/>
            <w:tcMar>
              <w:top w:w="80" w:type="dxa"/>
              <w:start w:w="100" w:type="dxa"/>
              <w:bottom w:w="80" w:type="dxa"/>
              <w:end w:w="100" w:type="dxa"/>
            </w:tcMar>
            <w:vAlign w:val="center"/>
          </w:tcPr>
          <w:p>
            <w:r>
              <w:t>Another Plasma QC row, not silent overwrite</w:t>
            </w:r>
          </w:p>
        </w:tc>
        <w:tc>
          <w:tcPr>
            <w:tcW w:type="dxa" w:w="2484"/>
            <w:tcMar>
              <w:top w:w="80" w:type="dxa"/>
              <w:start w:w="100" w:type="dxa"/>
              <w:bottom w:w="80" w:type="dxa"/>
              <w:end w:w="100" w:type="dxa"/>
            </w:tcMar>
            <w:vAlign w:val="center"/>
          </w:tcPr>
          <w:p>
            <w:r>
              <w:t>Preserve Plasma history.</w:t>
            </w:r>
          </w:p>
        </w:tc>
      </w:tr>
    </w:tbl>
    <w:p>
      <w:pPr>
        <w:pStyle w:val="Heading1"/>
      </w:pPr>
      <w:r>
        <w:t>9. Validation and reconciliation plan during parallel running</w:t>
      </w:r>
    </w:p>
    <w:p>
      <w:pPr>
        <w:spacing w:after="100" w:line="276" w:lineRule="auto"/>
      </w:pPr>
      <w:r>
        <w:t>For the few days where both systems run together, validation needs to be operational, not theoretical. Every bridged action should leave enough evidence to compare the two systems quickly.</w:t>
      </w:r>
    </w:p>
    <w:p>
      <w:pPr>
        <w:ind w:left="432"/>
      </w:pPr>
      <w:r>
        <w:t>• Count checks: number of devices received, reserved, shipped, and QCed per day in each system.</w:t>
      </w:r>
    </w:p>
    <w:p>
      <w:pPr>
        <w:ind w:left="432"/>
      </w:pPr>
      <w:r>
        <w:t>• Spot checks by IMEI: verify that a sample of concrete devices appear in the correct Plasma and Quantum locations/states.</w:t>
      </w:r>
    </w:p>
    <w:p>
      <w:pPr>
        <w:ind w:left="432"/>
      </w:pPr>
      <w:r>
        <w:t>• Order checks: compare requested quantities and actual picked devices for a sample of sales orders.</w:t>
      </w:r>
    </w:p>
    <w:p>
      <w:pPr>
        <w:ind w:left="432"/>
      </w:pPr>
      <w:r>
        <w:t>• QC checks: compare latest Quantum result with the latest Plasma QC event for sampled IMEIs, while accepting that Plasma may show more historical rows.</w:t>
      </w:r>
    </w:p>
    <w:p>
      <w:pPr>
        <w:ind w:left="432"/>
      </w:pPr>
      <w:r>
        <w:t>• Exception queue: unmatched IMEIs, missing reference records, or any bridge write failures should land in one visible queue for manual review.</w:t>
      </w:r>
    </w:p>
    <w:p>
      <w:pPr>
        <w:pStyle w:val="Heading1"/>
      </w:pPr>
      <w:r>
        <w:t>10. Known migration findings worth carrying into the bridge</w:t>
      </w:r>
    </w:p>
    <w:p>
      <w:pPr>
        <w:spacing w:after="100" w:line="276" w:lineRule="auto"/>
      </w:pPr>
      <w:r>
        <w:t>These findings came out of the recent SQL migration work and should be treated as design inputs for the relay layer:</w:t>
      </w:r>
    </w:p>
    <w:p>
      <w:pPr>
        <w:ind w:left="432"/>
      </w:pPr>
      <w:r>
        <w:t>• Do not assume old and new purchase IDs align. They do not move by a simple offset and cannot safely be compared as if they were the same identity.</w:t>
      </w:r>
    </w:p>
    <w:p>
      <w:pPr>
        <w:ind w:left="432"/>
      </w:pPr>
      <w:r>
        <w:t>• QC linking works best through IMEI to the Quantum device, then through the Quantum device relationships. Raw legacy purchase references are not enough on their own.</w:t>
      </w:r>
    </w:p>
    <w:p>
      <w:pPr>
        <w:ind w:left="432"/>
      </w:pPr>
      <w:r>
        <w:t>• Legacy QC contains repeated rows for the same device and effective job; many represent retests or changed outcomes.</w:t>
      </w:r>
    </w:p>
    <w:p>
      <w:pPr>
        <w:ind w:left="432"/>
      </w:pPr>
      <w:r>
        <w:t>• The new Quantum model is intentionally stricter and more normalised, which is good for correctness but means the temporary bridge must translate events rather than mirror tables.</w:t>
      </w:r>
    </w:p>
    <w:p>
      <w:pPr>
        <w:ind w:left="432"/>
      </w:pPr>
      <w:r>
        <w:t>• Where the old system relies on concrete per-device rows for UI or reports, the bridge must write those rows even if Quantum stores the same meaning more cleanly elsewhere.</w:t>
      </w:r>
    </w:p>
    <w:p>
      <w:pPr>
        <w:pStyle w:val="Heading1"/>
      </w:pPr>
      <w:r>
        <w:t>11. Suggested minimum bridge log fields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D9E7F5"/>
            <w:tcMar>
              <w:top w:w="80" w:type="dxa"/>
              <w:start w:w="100" w:type="dxa"/>
              <w:bottom w:w="80" w:type="dxa"/>
              <w:end w:w="100" w:type="dxa"/>
            </w:tcMar>
          </w:tcPr>
          <w:p>
            <w:pPr>
              <w:jc w:val="center"/>
            </w:pPr>
            <w:r>
              <w:rPr>
                <w:b/>
                <w:color w:val="17324D"/>
              </w:rPr>
              <w:t>Field</w:t>
            </w:r>
          </w:p>
        </w:tc>
        <w:tc>
          <w:tcPr>
            <w:tcW w:type="dxa" w:w="2880"/>
            <w:shd w:fill="D9E7F5"/>
            <w:tcMar>
              <w:top w:w="80" w:type="dxa"/>
              <w:start w:w="100" w:type="dxa"/>
              <w:bottom w:w="80" w:type="dxa"/>
              <w:end w:w="100" w:type="dxa"/>
            </w:tcMar>
          </w:tcPr>
          <w:p>
            <w:pPr>
              <w:jc w:val="center"/>
            </w:pPr>
            <w:r>
              <w:rPr>
                <w:b/>
                <w:color w:val="17324D"/>
              </w:rPr>
              <w:t>Example</w:t>
            </w:r>
          </w:p>
        </w:tc>
        <w:tc>
          <w:tcPr>
            <w:tcW w:type="dxa" w:w="3024"/>
            <w:shd w:fill="D9E7F5"/>
            <w:tcMar>
              <w:top w:w="80" w:type="dxa"/>
              <w:start w:w="100" w:type="dxa"/>
              <w:bottom w:w="80" w:type="dxa"/>
              <w:end w:w="100" w:type="dxa"/>
            </w:tcMar>
          </w:tcPr>
          <w:p>
            <w:pPr>
              <w:jc w:val="center"/>
            </w:pPr>
            <w:r>
              <w:rPr>
                <w:b/>
                <w:color w:val="17324D"/>
              </w:rPr>
              <w:t>Why needed</w:t>
            </w:r>
          </w:p>
        </w:tc>
        <w:tc>
          <w:tcPr>
            <w:tcW w:type="dxa" w:w="2448"/>
            <w:shd w:fill="D9E7F5"/>
            <w:tcMar>
              <w:top w:w="80" w:type="dxa"/>
              <w:start w:w="100" w:type="dxa"/>
              <w:bottom w:w="80" w:type="dxa"/>
              <w:end w:w="100" w:type="dxa"/>
            </w:tcMar>
          </w:tcPr>
          <w:p>
            <w:pPr>
              <w:jc w:val="center"/>
            </w:pPr>
            <w:r>
              <w:rPr>
                <w:b/>
                <w:color w:val="17324D"/>
              </w:rPr>
              <w:t>Required?</w:t>
            </w:r>
          </w:p>
        </w:tc>
      </w:tr>
      <w:tr>
        <w:tc>
          <w:tcPr>
            <w:tcW w:type="dxa" w:w="2484"/>
            <w:tcMar>
              <w:top w:w="80" w:type="dxa"/>
              <w:start w:w="100" w:type="dxa"/>
              <w:bottom w:w="80" w:type="dxa"/>
              <w:end w:w="100" w:type="dxa"/>
            </w:tcMar>
            <w:vAlign w:val="center"/>
          </w:tcPr>
          <w:p>
            <w:r>
              <w:t>event_type</w:t>
            </w:r>
          </w:p>
        </w:tc>
        <w:tc>
          <w:tcPr>
            <w:tcW w:type="dxa" w:w="2484"/>
            <w:tcMar>
              <w:top w:w="80" w:type="dxa"/>
              <w:start w:w="100" w:type="dxa"/>
              <w:bottom w:w="80" w:type="dxa"/>
              <w:end w:w="100" w:type="dxa"/>
            </w:tcMar>
            <w:vAlign w:val="center"/>
          </w:tcPr>
          <w:p>
            <w:r>
              <w:t>QC_SAVED</w:t>
            </w:r>
          </w:p>
        </w:tc>
        <w:tc>
          <w:tcPr>
            <w:tcW w:type="dxa" w:w="2484"/>
            <w:tcMar>
              <w:top w:w="80" w:type="dxa"/>
              <w:start w:w="100" w:type="dxa"/>
              <w:bottom w:w="80" w:type="dxa"/>
              <w:end w:w="100" w:type="dxa"/>
            </w:tcMar>
            <w:vAlign w:val="center"/>
          </w:tcPr>
          <w:p>
            <w:r>
              <w:t>Explains which translation rules ran</w:t>
            </w:r>
          </w:p>
        </w:tc>
        <w:tc>
          <w:tcPr>
            <w:tcW w:type="dxa" w:w="2484"/>
            <w:tcMar>
              <w:top w:w="80" w:type="dxa"/>
              <w:start w:w="100" w:type="dxa"/>
              <w:bottom w:w="80" w:type="dxa"/>
              <w:end w:w="100" w:type="dxa"/>
            </w:tcMar>
            <w:vAlign w:val="center"/>
          </w:tcPr>
          <w:p>
            <w:r>
              <w:t>Yes</w:t>
            </w:r>
          </w:p>
        </w:tc>
      </w:tr>
      <w:tr>
        <w:tc>
          <w:tcPr>
            <w:tcW w:type="dxa" w:w="2484"/>
            <w:tcMar>
              <w:top w:w="80" w:type="dxa"/>
              <w:start w:w="100" w:type="dxa"/>
              <w:bottom w:w="80" w:type="dxa"/>
              <w:end w:w="100" w:type="dxa"/>
            </w:tcMar>
            <w:vAlign w:val="center"/>
          </w:tcPr>
          <w:p>
            <w:r>
              <w:t>quantum_source_id</w:t>
            </w:r>
          </w:p>
        </w:tc>
        <w:tc>
          <w:tcPr>
            <w:tcW w:type="dxa" w:w="2484"/>
            <w:tcMar>
              <w:top w:w="80" w:type="dxa"/>
              <w:start w:w="100" w:type="dxa"/>
              <w:bottom w:w="80" w:type="dxa"/>
              <w:end w:w="100" w:type="dxa"/>
            </w:tcMar>
            <w:vAlign w:val="center"/>
          </w:tcPr>
          <w:p>
            <w:r>
              <w:t>qc_result id / sales_order id / device id</w:t>
            </w:r>
          </w:p>
        </w:tc>
        <w:tc>
          <w:tcPr>
            <w:tcW w:type="dxa" w:w="2484"/>
            <w:tcMar>
              <w:top w:w="80" w:type="dxa"/>
              <w:start w:w="100" w:type="dxa"/>
              <w:bottom w:w="80" w:type="dxa"/>
              <w:end w:w="100" w:type="dxa"/>
            </w:tcMar>
            <w:vAlign w:val="center"/>
          </w:tcPr>
          <w:p>
            <w:r>
              <w:t>Lets you trace the origin</w:t>
            </w:r>
          </w:p>
        </w:tc>
        <w:tc>
          <w:tcPr>
            <w:tcW w:type="dxa" w:w="2484"/>
            <w:tcMar>
              <w:top w:w="80" w:type="dxa"/>
              <w:start w:w="100" w:type="dxa"/>
              <w:bottom w:w="80" w:type="dxa"/>
              <w:end w:w="100" w:type="dxa"/>
            </w:tcMar>
            <w:vAlign w:val="center"/>
          </w:tcPr>
          <w:p>
            <w:r>
              <w:t>Yes</w:t>
            </w:r>
          </w:p>
        </w:tc>
      </w:tr>
      <w:tr>
        <w:tc>
          <w:tcPr>
            <w:tcW w:type="dxa" w:w="2484"/>
            <w:tcMar>
              <w:top w:w="80" w:type="dxa"/>
              <w:start w:w="100" w:type="dxa"/>
              <w:bottom w:w="80" w:type="dxa"/>
              <w:end w:w="100" w:type="dxa"/>
            </w:tcMar>
            <w:vAlign w:val="center"/>
          </w:tcPr>
          <w:p>
            <w:r>
              <w:t>plasma_target_summary</w:t>
            </w:r>
          </w:p>
        </w:tc>
        <w:tc>
          <w:tcPr>
            <w:tcW w:type="dxa" w:w="2484"/>
            <w:tcMar>
              <w:top w:w="80" w:type="dxa"/>
              <w:start w:w="100" w:type="dxa"/>
              <w:bottom w:w="80" w:type="dxa"/>
              <w:end w:w="100" w:type="dxa"/>
            </w:tcMar>
            <w:vAlign w:val="center"/>
          </w:tcPr>
          <w:p>
            <w:r>
              <w:t>purchase_id 123, QC row 456</w:t>
            </w:r>
          </w:p>
        </w:tc>
        <w:tc>
          <w:tcPr>
            <w:tcW w:type="dxa" w:w="2484"/>
            <w:tcMar>
              <w:top w:w="80" w:type="dxa"/>
              <w:start w:w="100" w:type="dxa"/>
              <w:bottom w:w="80" w:type="dxa"/>
              <w:end w:w="100" w:type="dxa"/>
            </w:tcMar>
            <w:vAlign w:val="center"/>
          </w:tcPr>
          <w:p>
            <w:r>
              <w:t>Lets support staff verify what was written</w:t>
            </w:r>
          </w:p>
        </w:tc>
        <w:tc>
          <w:tcPr>
            <w:tcW w:type="dxa" w:w="2484"/>
            <w:tcMar>
              <w:top w:w="80" w:type="dxa"/>
              <w:start w:w="100" w:type="dxa"/>
              <w:bottom w:w="80" w:type="dxa"/>
              <w:end w:w="100" w:type="dxa"/>
            </w:tcMar>
            <w:vAlign w:val="center"/>
          </w:tcPr>
          <w:p>
            <w:r>
              <w:t>Yes</w:t>
            </w:r>
          </w:p>
        </w:tc>
      </w:tr>
      <w:tr>
        <w:tc>
          <w:tcPr>
            <w:tcW w:type="dxa" w:w="2484"/>
            <w:tcMar>
              <w:top w:w="80" w:type="dxa"/>
              <w:start w:w="100" w:type="dxa"/>
              <w:bottom w:w="80" w:type="dxa"/>
              <w:end w:w="100" w:type="dxa"/>
            </w:tcMar>
            <w:vAlign w:val="center"/>
          </w:tcPr>
          <w:p>
            <w:r>
              <w:t>idempotency_key</w:t>
            </w:r>
          </w:p>
        </w:tc>
        <w:tc>
          <w:tcPr>
            <w:tcW w:type="dxa" w:w="2484"/>
            <w:tcMar>
              <w:top w:w="80" w:type="dxa"/>
              <w:start w:w="100" w:type="dxa"/>
              <w:bottom w:w="80" w:type="dxa"/>
              <w:end w:w="100" w:type="dxa"/>
            </w:tcMar>
            <w:vAlign w:val="center"/>
          </w:tcPr>
          <w:p>
            <w:r>
              <w:t>hash of event + source id</w:t>
            </w:r>
          </w:p>
        </w:tc>
        <w:tc>
          <w:tcPr>
            <w:tcW w:type="dxa" w:w="2484"/>
            <w:tcMar>
              <w:top w:w="80" w:type="dxa"/>
              <w:start w:w="100" w:type="dxa"/>
              <w:bottom w:w="80" w:type="dxa"/>
              <w:end w:w="100" w:type="dxa"/>
            </w:tcMar>
            <w:vAlign w:val="center"/>
          </w:tcPr>
          <w:p>
            <w:r>
              <w:t>Stops duplicate replay</w:t>
            </w:r>
          </w:p>
        </w:tc>
        <w:tc>
          <w:tcPr>
            <w:tcW w:type="dxa" w:w="2484"/>
            <w:tcMar>
              <w:top w:w="80" w:type="dxa"/>
              <w:start w:w="100" w:type="dxa"/>
              <w:bottom w:w="80" w:type="dxa"/>
              <w:end w:w="100" w:type="dxa"/>
            </w:tcMar>
            <w:vAlign w:val="center"/>
          </w:tcPr>
          <w:p>
            <w:r>
              <w:t>Yes</w:t>
            </w:r>
          </w:p>
        </w:tc>
      </w:tr>
      <w:tr>
        <w:tc>
          <w:tcPr>
            <w:tcW w:type="dxa" w:w="2484"/>
            <w:tcMar>
              <w:top w:w="80" w:type="dxa"/>
              <w:start w:w="100" w:type="dxa"/>
              <w:bottom w:w="80" w:type="dxa"/>
              <w:end w:w="100" w:type="dxa"/>
            </w:tcMar>
            <w:vAlign w:val="center"/>
          </w:tcPr>
          <w:p>
            <w:r>
              <w:t>status</w:t>
            </w:r>
          </w:p>
        </w:tc>
        <w:tc>
          <w:tcPr>
            <w:tcW w:type="dxa" w:w="2484"/>
            <w:tcMar>
              <w:top w:w="80" w:type="dxa"/>
              <w:start w:w="100" w:type="dxa"/>
              <w:bottom w:w="80" w:type="dxa"/>
              <w:end w:w="100" w:type="dxa"/>
            </w:tcMar>
            <w:vAlign w:val="center"/>
          </w:tcPr>
          <w:p>
            <w:r>
              <w:t>SUCCESS / FAILED / PARTIAL</w:t>
            </w:r>
          </w:p>
        </w:tc>
        <w:tc>
          <w:tcPr>
            <w:tcW w:type="dxa" w:w="2484"/>
            <w:tcMar>
              <w:top w:w="80" w:type="dxa"/>
              <w:start w:w="100" w:type="dxa"/>
              <w:bottom w:w="80" w:type="dxa"/>
              <w:end w:w="100" w:type="dxa"/>
            </w:tcMar>
            <w:vAlign w:val="center"/>
          </w:tcPr>
          <w:p>
            <w:r>
              <w:t>Operational monitoring</w:t>
            </w:r>
          </w:p>
        </w:tc>
        <w:tc>
          <w:tcPr>
            <w:tcW w:type="dxa" w:w="2484"/>
            <w:tcMar>
              <w:top w:w="80" w:type="dxa"/>
              <w:start w:w="100" w:type="dxa"/>
              <w:bottom w:w="80" w:type="dxa"/>
              <w:end w:w="100" w:type="dxa"/>
            </w:tcMar>
            <w:vAlign w:val="center"/>
          </w:tcPr>
          <w:p>
            <w:r>
              <w:t>Yes</w:t>
            </w:r>
          </w:p>
        </w:tc>
      </w:tr>
      <w:tr>
        <w:tc>
          <w:tcPr>
            <w:tcW w:type="dxa" w:w="2484"/>
            <w:tcMar>
              <w:top w:w="80" w:type="dxa"/>
              <w:start w:w="100" w:type="dxa"/>
              <w:bottom w:w="80" w:type="dxa"/>
              <w:end w:w="100" w:type="dxa"/>
            </w:tcMar>
            <w:vAlign w:val="center"/>
          </w:tcPr>
          <w:p>
            <w:r>
              <w:t>payload_snapshot</w:t>
            </w:r>
          </w:p>
        </w:tc>
        <w:tc>
          <w:tcPr>
            <w:tcW w:type="dxa" w:w="2484"/>
            <w:tcMar>
              <w:top w:w="80" w:type="dxa"/>
              <w:start w:w="100" w:type="dxa"/>
              <w:bottom w:w="80" w:type="dxa"/>
              <w:end w:w="100" w:type="dxa"/>
            </w:tcMar>
            <w:vAlign w:val="center"/>
          </w:tcPr>
          <w:p>
            <w:r>
              <w:t>JSON blob</w:t>
            </w:r>
          </w:p>
        </w:tc>
        <w:tc>
          <w:tcPr>
            <w:tcW w:type="dxa" w:w="2484"/>
            <w:tcMar>
              <w:top w:w="80" w:type="dxa"/>
              <w:start w:w="100" w:type="dxa"/>
              <w:bottom w:w="80" w:type="dxa"/>
              <w:end w:w="100" w:type="dxa"/>
            </w:tcMar>
            <w:vAlign w:val="center"/>
          </w:tcPr>
          <w:p>
            <w:r>
              <w:t>Useful when diagnosing weird edge cases</w:t>
            </w:r>
          </w:p>
        </w:tc>
        <w:tc>
          <w:tcPr>
            <w:tcW w:type="dxa" w:w="2484"/>
            <w:tcMar>
              <w:top w:w="80" w:type="dxa"/>
              <w:start w:w="100" w:type="dxa"/>
              <w:bottom w:w="80" w:type="dxa"/>
              <w:end w:w="100" w:type="dxa"/>
            </w:tcMar>
            <w:vAlign w:val="center"/>
          </w:tcPr>
          <w:p>
            <w:r>
              <w:t>Strongly recommended</w:t>
            </w:r>
          </w:p>
        </w:tc>
      </w:tr>
    </w:tbl>
    <w:p>
      <w:pPr>
        <w:pStyle w:val="Heading1"/>
      </w:pPr>
      <w:r>
        <w:t>12. Final recommendation</w:t>
      </w:r>
    </w:p>
    <w:p>
      <w:pPr>
        <w:spacing w:after="100" w:line="276" w:lineRule="auto"/>
      </w:pPr>
      <w:r>
        <w:t>Build the temporary relay as a controlled translator from Quantum business events into Plasma-compatible writes. Do not treat it as a generic synchroniser.</w:t>
      </w:r>
    </w:p>
    <w:p>
      <w:pPr>
        <w:spacing w:after="100" w:line="276" w:lineRule="auto"/>
      </w:pPr>
      <w:r>
        <w:t>Where Quantum is more structured than Plasma, fan out the event into the older row pattern. Where Plasma records repeated operational events, preserve those events instead of forcing the old system to look like the new one.</w:t>
      </w:r>
    </w:p>
    <w:p>
      <w:pPr>
        <w:spacing w:after="100" w:line="276" w:lineRule="auto"/>
      </w:pPr>
      <w:r>
        <w:t>If the bridge does those two things well - translate business meaning and preserve operational history - running both systems in parallel for a few days becomes a validation exercise instead of a firefight.</w:t>
      </w:r>
    </w:p>
    <w:p>
      <w:pPr>
        <w:pStyle w:val="Heading1"/>
      </w:pPr>
      <w:r>
        <w:t>Appendix A. QC-specific observations from the migration work</w:t>
      </w:r>
    </w:p>
    <w:p>
      <w:pPr>
        <w:spacing w:after="100" w:line="276" w:lineRule="auto"/>
      </w:pPr>
      <w:r>
        <w:t>The QC migration produced the clearest evidence of how the models differ operationally:</w:t>
      </w:r>
    </w:p>
    <w:p>
      <w:pPr>
        <w:ind w:left="432"/>
      </w:pPr>
      <w:r>
        <w:t>• Matched cleanly to one Quantum device: 158,380 legacy rows.</w:t>
      </w:r>
    </w:p>
    <w:p>
      <w:pPr>
        <w:ind w:left="432"/>
      </w:pPr>
      <w:r>
        <w:t>• Quarantined as missing device: 177 legacy rows.</w:t>
      </w:r>
    </w:p>
    <w:p>
      <w:pPr>
        <w:ind w:left="432"/>
      </w:pPr>
      <w:r>
        <w:t>• Final distinct Quantum device/job pairs: 154,206.</w:t>
      </w:r>
    </w:p>
    <w:p>
      <w:pPr>
        <w:ind w:left="432"/>
      </w:pPr>
      <w:r>
        <w:t>• Collapsed duplicate/retest rows: 4,174.</w:t>
      </w:r>
    </w:p>
    <w:p>
      <w:pPr>
        <w:ind w:left="432"/>
      </w:pPr>
      <w:r>
        <w:t>• Observed patterns included repeated fail/fail entries, exact duplicates, and fail-then-pass retests.</w:t>
      </w:r>
    </w:p>
    <w:p>
      <w:pPr>
        <w:spacing w:after="100" w:line="276" w:lineRule="auto"/>
      </w:pPr>
      <w:r>
        <w:t>That is why any future Plasma &lt;- Quantum QC relay should be designed around actions and history, not just current final state.</w:t>
      </w:r>
    </w:p>
    <w:p>
      <w:pPr>
        <w:pStyle w:val="Heading1"/>
      </w:pPr>
      <w:r>
        <w:t>Appendix B. Practical implementation checklist</w:t>
      </w:r>
    </w:p>
    <w:p>
      <w:pPr>
        <w:ind w:left="432"/>
      </w:pPr>
      <w:r>
        <w:t>□ Record or create a bridge mapping store for any entities that need explicit old&lt;-&gt;new identity linkage.</w:t>
      </w:r>
    </w:p>
    <w:p>
      <w:pPr>
        <w:ind w:left="432"/>
      </w:pPr>
      <w:r>
        <w:t>□ Use IMEI as the primary cross-system business key for device-led workflows, but verify workflow context before writing.</w:t>
      </w:r>
    </w:p>
    <w:p>
      <w:pPr>
        <w:ind w:left="432"/>
      </w:pPr>
      <w:r>
        <w:t>□ Define an idempotency key for every bridged event.</w:t>
      </w:r>
    </w:p>
    <w:p>
      <w:pPr>
        <w:ind w:left="432"/>
      </w:pPr>
      <w:r>
        <w:t>□ Write a bridge log entry for every attempted relay.</w:t>
      </w:r>
    </w:p>
    <w:p>
      <w:pPr>
        <w:ind w:left="432"/>
      </w:pPr>
      <w:r>
        <w:t>□ Expose an exception queue for failed or ambiguous relays.</w:t>
      </w:r>
    </w:p>
    <w:p>
      <w:pPr>
        <w:ind w:left="432"/>
      </w:pPr>
      <w:r>
        <w:t>□ Run daily reconciliation reports while the systems overlap.</w:t>
      </w:r>
    </w:p>
    <w:p>
      <w:pPr>
        <w:ind w:left="432"/>
      </w:pPr>
      <w:r>
        <w:t>□ Do not hard-code assumptions about old/new purchase or order ID equality.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4E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4E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F6B76"/>
      <w:sz w:val="17"/>
    </w:rPr>
  </w:style>
  <w:style w:type="paragraph" w:customStyle="1" w:styleId="Callout">
    <w:name w:val="Callout"/>
    <w:rPr>
      <w:rFonts w:ascii="Aptos" w:hAnsi="Aptos"/>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