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BF2" w:rsidRDefault="00456BF2"/>
    <w:p w:rsidR="00A63984" w:rsidRDefault="00A63984"/>
    <w:p w:rsidR="00A63984" w:rsidRPr="00A63984" w:rsidRDefault="00A63984" w:rsidP="00A63984">
      <w:pPr>
        <w:jc w:val="center"/>
        <w:rPr>
          <w:rFonts w:ascii="Arial" w:hAnsi="Arial" w:cs="Arial"/>
          <w:b/>
          <w:sz w:val="18"/>
        </w:rPr>
      </w:pPr>
      <w:r w:rsidRPr="00A63984">
        <w:rPr>
          <w:rFonts w:ascii="Arial" w:hAnsi="Arial" w:cs="Arial"/>
          <w:b/>
          <w:sz w:val="18"/>
        </w:rPr>
        <w:t>SAMPLE JOURNAL TEMPLATE</w:t>
      </w:r>
    </w:p>
    <w:tbl>
      <w:tblPr>
        <w:tblStyle w:val="TableGrid"/>
        <w:tblW w:w="0" w:type="auto"/>
        <w:tblLook w:val="04A0"/>
      </w:tblPr>
      <w:tblGrid>
        <w:gridCol w:w="1101"/>
        <w:gridCol w:w="1842"/>
        <w:gridCol w:w="2694"/>
        <w:gridCol w:w="2126"/>
        <w:gridCol w:w="1276"/>
        <w:gridCol w:w="4137"/>
      </w:tblGrid>
      <w:tr w:rsidR="00A63984" w:rsidRPr="00A63984" w:rsidTr="00A63984">
        <w:tc>
          <w:tcPr>
            <w:tcW w:w="1101" w:type="dxa"/>
          </w:tcPr>
          <w:p w:rsidR="00A63984" w:rsidRPr="00A63984" w:rsidRDefault="00A63984" w:rsidP="00A6398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63984">
              <w:rPr>
                <w:rFonts w:ascii="Arial" w:hAnsi="Arial" w:cs="Arial"/>
                <w:b/>
                <w:sz w:val="18"/>
              </w:rPr>
              <w:t>NO:</w:t>
            </w:r>
          </w:p>
        </w:tc>
        <w:tc>
          <w:tcPr>
            <w:tcW w:w="1842" w:type="dxa"/>
          </w:tcPr>
          <w:p w:rsidR="00A63984" w:rsidRPr="00A63984" w:rsidRDefault="00A63984" w:rsidP="00A6398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63984">
              <w:rPr>
                <w:rFonts w:ascii="Arial" w:hAnsi="Arial" w:cs="Arial"/>
                <w:b/>
                <w:sz w:val="18"/>
              </w:rPr>
              <w:t>DATE</w:t>
            </w:r>
          </w:p>
        </w:tc>
        <w:tc>
          <w:tcPr>
            <w:tcW w:w="2694" w:type="dxa"/>
          </w:tcPr>
          <w:p w:rsidR="00A63984" w:rsidRPr="00A63984" w:rsidRDefault="00A63984" w:rsidP="00A6398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63984">
              <w:rPr>
                <w:rFonts w:ascii="Arial" w:hAnsi="Arial" w:cs="Arial"/>
                <w:b/>
                <w:sz w:val="18"/>
              </w:rPr>
              <w:t>ACTIVITY</w:t>
            </w:r>
          </w:p>
        </w:tc>
        <w:tc>
          <w:tcPr>
            <w:tcW w:w="2126" w:type="dxa"/>
          </w:tcPr>
          <w:p w:rsidR="00A63984" w:rsidRPr="00A63984" w:rsidRDefault="00A63984" w:rsidP="00A6398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63984">
              <w:rPr>
                <w:rFonts w:ascii="Arial" w:hAnsi="Arial" w:cs="Arial"/>
                <w:b/>
                <w:sz w:val="18"/>
              </w:rPr>
              <w:t>SOURCE OF INFORMATION</w:t>
            </w:r>
          </w:p>
        </w:tc>
        <w:tc>
          <w:tcPr>
            <w:tcW w:w="1276" w:type="dxa"/>
          </w:tcPr>
          <w:p w:rsidR="00A63984" w:rsidRPr="00A63984" w:rsidRDefault="00A63984" w:rsidP="00A6398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63984">
              <w:rPr>
                <w:rFonts w:ascii="Arial" w:hAnsi="Arial" w:cs="Arial"/>
                <w:b/>
                <w:sz w:val="18"/>
              </w:rPr>
              <w:t>TIME SPENT</w:t>
            </w:r>
          </w:p>
        </w:tc>
        <w:tc>
          <w:tcPr>
            <w:tcW w:w="4137" w:type="dxa"/>
          </w:tcPr>
          <w:p w:rsidR="00A63984" w:rsidRPr="00A63984" w:rsidRDefault="00A63984" w:rsidP="00A6398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63984">
              <w:rPr>
                <w:rFonts w:ascii="Arial" w:hAnsi="Arial" w:cs="Arial"/>
                <w:b/>
                <w:sz w:val="18"/>
              </w:rPr>
              <w:t>LEARNING REFLECTION</w:t>
            </w:r>
          </w:p>
        </w:tc>
      </w:tr>
      <w:tr w:rsidR="00A63984" w:rsidTr="00A63984">
        <w:trPr>
          <w:trHeight w:val="1523"/>
        </w:trPr>
        <w:tc>
          <w:tcPr>
            <w:tcW w:w="1101" w:type="dxa"/>
          </w:tcPr>
          <w:p w:rsidR="00A63984" w:rsidRPr="00A63984" w:rsidRDefault="00A63984" w:rsidP="00A63984">
            <w:pPr>
              <w:jc w:val="center"/>
              <w:rPr>
                <w:rFonts w:ascii="Arial" w:hAnsi="Arial" w:cs="Arial"/>
                <w:sz w:val="18"/>
              </w:rPr>
            </w:pPr>
            <w:r w:rsidRPr="00A63984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842" w:type="dxa"/>
          </w:tcPr>
          <w:p w:rsidR="00A63984" w:rsidRPr="00A63984" w:rsidRDefault="00A63984" w:rsidP="00A63984">
            <w:pPr>
              <w:jc w:val="center"/>
              <w:rPr>
                <w:rFonts w:ascii="Arial" w:hAnsi="Arial" w:cs="Arial"/>
                <w:sz w:val="18"/>
              </w:rPr>
            </w:pPr>
            <w:r w:rsidRPr="00A63984">
              <w:rPr>
                <w:rFonts w:ascii="Arial" w:hAnsi="Arial" w:cs="Arial"/>
                <w:sz w:val="18"/>
              </w:rPr>
              <w:t>10/04/12</w:t>
            </w:r>
          </w:p>
        </w:tc>
        <w:tc>
          <w:tcPr>
            <w:tcW w:w="2694" w:type="dxa"/>
          </w:tcPr>
          <w:p w:rsidR="00A63984" w:rsidRPr="00A63984" w:rsidRDefault="00A63984" w:rsidP="00A6398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63984">
              <w:rPr>
                <w:rFonts w:ascii="Arial" w:hAnsi="Arial" w:cs="Arial"/>
                <w:sz w:val="18"/>
                <w:szCs w:val="20"/>
              </w:rPr>
              <w:t xml:space="preserve">Reviewed academic journal  on </w:t>
            </w:r>
            <w:r w:rsidRPr="00A63984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HR, ERP and Knowledge for Competitive advantage  </w:t>
            </w:r>
          </w:p>
        </w:tc>
        <w:tc>
          <w:tcPr>
            <w:tcW w:w="2126" w:type="dxa"/>
          </w:tcPr>
          <w:p w:rsidR="00A63984" w:rsidRPr="00A63984" w:rsidRDefault="00A63984" w:rsidP="00A6398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  <w:r w:rsidRPr="00A63984">
              <w:rPr>
                <w:rFonts w:ascii="Arial" w:hAnsi="Arial" w:cs="Arial"/>
                <w:bCs/>
                <w:sz w:val="18"/>
                <w:szCs w:val="20"/>
              </w:rPr>
              <w:t xml:space="preserve">Cynthia A. </w:t>
            </w:r>
            <w:proofErr w:type="spellStart"/>
            <w:r w:rsidRPr="00A63984">
              <w:rPr>
                <w:rFonts w:ascii="Arial" w:hAnsi="Arial" w:cs="Arial"/>
                <w:bCs/>
                <w:sz w:val="18"/>
                <w:szCs w:val="20"/>
              </w:rPr>
              <w:t>lengnick</w:t>
            </w:r>
            <w:proofErr w:type="spellEnd"/>
            <w:r w:rsidRPr="00A63984">
              <w:rPr>
                <w:rFonts w:ascii="Arial" w:hAnsi="Arial" w:cs="Arial"/>
                <w:bCs/>
                <w:sz w:val="18"/>
                <w:szCs w:val="20"/>
              </w:rPr>
              <w:t xml:space="preserve">-Hall &amp; Mark L </w:t>
            </w:r>
            <w:proofErr w:type="spellStart"/>
            <w:r w:rsidRPr="00A63984">
              <w:rPr>
                <w:rFonts w:ascii="Arial" w:hAnsi="Arial" w:cs="Arial"/>
                <w:bCs/>
                <w:sz w:val="18"/>
                <w:szCs w:val="20"/>
              </w:rPr>
              <w:t>lengnick</w:t>
            </w:r>
            <w:proofErr w:type="spellEnd"/>
            <w:r w:rsidRPr="00A63984">
              <w:rPr>
                <w:rFonts w:ascii="Arial" w:hAnsi="Arial" w:cs="Arial"/>
                <w:bCs/>
                <w:sz w:val="18"/>
                <w:szCs w:val="20"/>
              </w:rPr>
              <w:t xml:space="preserve"> Hall.</w:t>
            </w:r>
            <w:r w:rsidRPr="00A63984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</w:t>
            </w:r>
            <w:r w:rsidRPr="00A63984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t xml:space="preserve">Human Resource Management </w:t>
            </w:r>
            <w:r w:rsidRPr="00A63984">
              <w:rPr>
                <w:rFonts w:ascii="Arial" w:hAnsi="Arial" w:cs="Arial"/>
                <w:color w:val="000000" w:themeColor="text1"/>
                <w:sz w:val="18"/>
                <w:szCs w:val="20"/>
              </w:rPr>
              <w:t>DOI: 10.1(X)2/</w:t>
            </w:r>
            <w:proofErr w:type="spellStart"/>
            <w:r w:rsidRPr="00A63984">
              <w:rPr>
                <w:rFonts w:ascii="Arial" w:hAnsi="Arial" w:cs="Arial"/>
                <w:color w:val="000000" w:themeColor="text1"/>
                <w:sz w:val="18"/>
                <w:szCs w:val="20"/>
              </w:rPr>
              <w:t>hnn</w:t>
            </w:r>
            <w:proofErr w:type="spellEnd"/>
          </w:p>
        </w:tc>
        <w:tc>
          <w:tcPr>
            <w:tcW w:w="1276" w:type="dxa"/>
          </w:tcPr>
          <w:p w:rsidR="00A63984" w:rsidRPr="00A63984" w:rsidRDefault="00A63984" w:rsidP="00A6398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3984">
              <w:rPr>
                <w:rFonts w:ascii="Arial" w:hAnsi="Arial" w:cs="Arial"/>
                <w:sz w:val="18"/>
                <w:szCs w:val="20"/>
              </w:rPr>
              <w:t>45 minutes</w:t>
            </w:r>
          </w:p>
        </w:tc>
        <w:tc>
          <w:tcPr>
            <w:tcW w:w="4137" w:type="dxa"/>
          </w:tcPr>
          <w:p w:rsidR="00A63984" w:rsidRPr="00A63984" w:rsidRDefault="00A63984" w:rsidP="00A63984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63984">
              <w:rPr>
                <w:rFonts w:ascii="Arial" w:hAnsi="Arial" w:cs="Arial"/>
                <w:sz w:val="18"/>
                <w:szCs w:val="20"/>
              </w:rPr>
              <w:t>This article examines how human resource management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A63984">
              <w:rPr>
                <w:rFonts w:ascii="Arial" w:hAnsi="Arial" w:cs="Arial"/>
                <w:sz w:val="18"/>
                <w:szCs w:val="20"/>
              </w:rPr>
              <w:t>practices can help a firm overcome the problems and capitalize on the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A63984">
              <w:rPr>
                <w:rFonts w:ascii="Arial" w:hAnsi="Arial" w:cs="Arial"/>
                <w:sz w:val="18"/>
                <w:szCs w:val="20"/>
              </w:rPr>
              <w:t>opportunities that ERP technology presents by facilitating an effective dual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A63984">
              <w:rPr>
                <w:rFonts w:ascii="Arial" w:hAnsi="Arial" w:cs="Arial"/>
                <w:sz w:val="18"/>
                <w:szCs w:val="20"/>
              </w:rPr>
              <w:t>core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A63984">
              <w:rPr>
                <w:rFonts w:ascii="Arial" w:hAnsi="Arial" w:cs="Arial"/>
                <w:sz w:val="18"/>
                <w:szCs w:val="20"/>
              </w:rPr>
              <w:t>structure through an emphasis on knowledge management, human capital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A63984">
              <w:rPr>
                <w:rFonts w:ascii="Arial" w:hAnsi="Arial" w:cs="Arial"/>
                <w:sz w:val="18"/>
                <w:szCs w:val="20"/>
              </w:rPr>
              <w:t>stewardship, and relationship building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A63984" w:rsidTr="00A63984">
        <w:tc>
          <w:tcPr>
            <w:tcW w:w="1101" w:type="dxa"/>
          </w:tcPr>
          <w:p w:rsidR="00A63984" w:rsidRPr="00A63984" w:rsidRDefault="00A63984" w:rsidP="00A63984">
            <w:pPr>
              <w:jc w:val="center"/>
              <w:rPr>
                <w:rFonts w:ascii="Arial" w:hAnsi="Arial" w:cs="Arial"/>
                <w:sz w:val="18"/>
              </w:rPr>
            </w:pPr>
            <w:r w:rsidRPr="00A63984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1842" w:type="dxa"/>
          </w:tcPr>
          <w:p w:rsidR="00A63984" w:rsidRPr="00A63984" w:rsidRDefault="00A63984" w:rsidP="00A63984">
            <w:pPr>
              <w:jc w:val="center"/>
              <w:rPr>
                <w:rFonts w:ascii="Arial" w:hAnsi="Arial" w:cs="Arial"/>
                <w:sz w:val="18"/>
              </w:rPr>
            </w:pPr>
            <w:r w:rsidRPr="00A63984">
              <w:rPr>
                <w:rFonts w:ascii="Arial" w:hAnsi="Arial" w:cs="Arial"/>
                <w:sz w:val="18"/>
              </w:rPr>
              <w:t>11/04/12</w:t>
            </w:r>
          </w:p>
        </w:tc>
        <w:tc>
          <w:tcPr>
            <w:tcW w:w="2694" w:type="dxa"/>
          </w:tcPr>
          <w:p w:rsidR="00A63984" w:rsidRPr="00A63984" w:rsidRDefault="00A63984" w:rsidP="00A6398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lang w:val="en-GB"/>
              </w:rPr>
              <w:t xml:space="preserve">Read chapters 1,2,3 </w:t>
            </w:r>
            <w:r w:rsidRPr="00A63984">
              <w:rPr>
                <w:rFonts w:ascii="Arial" w:hAnsi="Arial" w:cs="Arial"/>
                <w:bCs/>
                <w:i/>
                <w:iCs/>
                <w:sz w:val="18"/>
                <w:lang w:val="en-GB"/>
              </w:rPr>
              <w:t xml:space="preserve">Using MIS </w:t>
            </w:r>
            <w:r w:rsidRPr="00A63984">
              <w:rPr>
                <w:rFonts w:ascii="Arial" w:hAnsi="Arial" w:cs="Arial"/>
                <w:bCs/>
                <w:sz w:val="18"/>
                <w:lang w:val="en-GB"/>
              </w:rPr>
              <w:t xml:space="preserve">(5e) </w:t>
            </w:r>
          </w:p>
        </w:tc>
        <w:tc>
          <w:tcPr>
            <w:tcW w:w="2126" w:type="dxa"/>
          </w:tcPr>
          <w:p w:rsidR="00A63984" w:rsidRPr="00A63984" w:rsidRDefault="00A63984" w:rsidP="00A63984">
            <w:pPr>
              <w:rPr>
                <w:rFonts w:ascii="Arial" w:hAnsi="Arial" w:cs="Arial"/>
                <w:sz w:val="18"/>
              </w:rPr>
            </w:pPr>
            <w:proofErr w:type="spellStart"/>
            <w:r w:rsidRPr="00A63984">
              <w:rPr>
                <w:rFonts w:ascii="Arial" w:hAnsi="Arial" w:cs="Arial"/>
                <w:bCs/>
                <w:sz w:val="18"/>
                <w:lang w:val="en-GB"/>
              </w:rPr>
              <w:t>Kroneke</w:t>
            </w:r>
            <w:proofErr w:type="spellEnd"/>
            <w:r w:rsidRPr="00A63984">
              <w:rPr>
                <w:rFonts w:ascii="Arial" w:hAnsi="Arial" w:cs="Arial"/>
                <w:bCs/>
                <w:sz w:val="18"/>
                <w:lang w:val="en-GB"/>
              </w:rPr>
              <w:t>, D.M. (2013)</w:t>
            </w:r>
            <w:r>
              <w:rPr>
                <w:rFonts w:ascii="Arial" w:hAnsi="Arial" w:cs="Arial"/>
                <w:bCs/>
                <w:sz w:val="18"/>
                <w:lang w:val="en-GB"/>
              </w:rPr>
              <w:t xml:space="preserve"> </w:t>
            </w:r>
            <w:r w:rsidRPr="00A63984">
              <w:rPr>
                <w:rFonts w:ascii="Arial" w:hAnsi="Arial" w:cs="Arial"/>
                <w:bCs/>
                <w:sz w:val="18"/>
                <w:lang w:val="en-GB"/>
              </w:rPr>
              <w:t>Pearson Education Limited</w:t>
            </w:r>
            <w:r w:rsidRPr="00A63984">
              <w:rPr>
                <w:rFonts w:ascii="Arial" w:hAnsi="Arial" w:cs="Arial"/>
                <w:bCs/>
                <w:sz w:val="18"/>
              </w:rPr>
              <w:t xml:space="preserve"> </w:t>
            </w:r>
          </w:p>
          <w:p w:rsidR="00A63984" w:rsidRPr="00A63984" w:rsidRDefault="00A63984" w:rsidP="00A63984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</w:tcPr>
          <w:p w:rsidR="00A63984" w:rsidRPr="00A63984" w:rsidRDefault="00A63984" w:rsidP="00A6398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hour</w:t>
            </w:r>
          </w:p>
        </w:tc>
        <w:tc>
          <w:tcPr>
            <w:tcW w:w="4137" w:type="dxa"/>
          </w:tcPr>
          <w:p w:rsidR="00A63984" w:rsidRPr="00A63984" w:rsidRDefault="00A63984" w:rsidP="00A63984">
            <w:pPr>
              <w:rPr>
                <w:rFonts w:ascii="Arial" w:hAnsi="Arial" w:cs="Arial"/>
                <w:sz w:val="18"/>
              </w:rPr>
            </w:pPr>
          </w:p>
        </w:tc>
      </w:tr>
      <w:tr w:rsidR="00A63984" w:rsidTr="00A63984">
        <w:tc>
          <w:tcPr>
            <w:tcW w:w="1101" w:type="dxa"/>
          </w:tcPr>
          <w:p w:rsidR="00A63984" w:rsidRDefault="00A63984" w:rsidP="00A6398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2" w:type="dxa"/>
          </w:tcPr>
          <w:p w:rsidR="00A63984" w:rsidRDefault="00A63984" w:rsidP="00A63984">
            <w:pPr>
              <w:jc w:val="center"/>
              <w:rPr>
                <w:b/>
              </w:rPr>
            </w:pPr>
          </w:p>
        </w:tc>
        <w:tc>
          <w:tcPr>
            <w:tcW w:w="2694" w:type="dxa"/>
          </w:tcPr>
          <w:p w:rsidR="00A63984" w:rsidRDefault="00A63984" w:rsidP="00A63984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A63984" w:rsidRDefault="00A63984" w:rsidP="00A63984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63984" w:rsidRDefault="00A63984" w:rsidP="00A63984">
            <w:pPr>
              <w:jc w:val="center"/>
              <w:rPr>
                <w:b/>
              </w:rPr>
            </w:pPr>
          </w:p>
        </w:tc>
        <w:tc>
          <w:tcPr>
            <w:tcW w:w="4137" w:type="dxa"/>
          </w:tcPr>
          <w:p w:rsidR="00A63984" w:rsidRDefault="00A63984" w:rsidP="00A63984">
            <w:pPr>
              <w:jc w:val="center"/>
              <w:rPr>
                <w:b/>
              </w:rPr>
            </w:pPr>
          </w:p>
        </w:tc>
      </w:tr>
      <w:tr w:rsidR="00A63984" w:rsidTr="00A63984">
        <w:tc>
          <w:tcPr>
            <w:tcW w:w="1101" w:type="dxa"/>
          </w:tcPr>
          <w:p w:rsidR="00A63984" w:rsidRDefault="00A63984" w:rsidP="00A6398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2" w:type="dxa"/>
          </w:tcPr>
          <w:p w:rsidR="00A63984" w:rsidRDefault="00A63984" w:rsidP="00A63984">
            <w:pPr>
              <w:jc w:val="center"/>
              <w:rPr>
                <w:b/>
              </w:rPr>
            </w:pPr>
          </w:p>
        </w:tc>
        <w:tc>
          <w:tcPr>
            <w:tcW w:w="2694" w:type="dxa"/>
          </w:tcPr>
          <w:p w:rsidR="00A63984" w:rsidRDefault="00A63984" w:rsidP="00A63984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A63984" w:rsidRDefault="00A63984" w:rsidP="00A63984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63984" w:rsidRDefault="00A63984" w:rsidP="00A63984">
            <w:pPr>
              <w:jc w:val="center"/>
              <w:rPr>
                <w:b/>
              </w:rPr>
            </w:pPr>
          </w:p>
        </w:tc>
        <w:tc>
          <w:tcPr>
            <w:tcW w:w="4137" w:type="dxa"/>
          </w:tcPr>
          <w:p w:rsidR="00A63984" w:rsidRDefault="00A63984" w:rsidP="00A63984">
            <w:pPr>
              <w:jc w:val="center"/>
              <w:rPr>
                <w:b/>
              </w:rPr>
            </w:pPr>
          </w:p>
        </w:tc>
      </w:tr>
    </w:tbl>
    <w:p w:rsidR="00A63984" w:rsidRPr="00A63984" w:rsidRDefault="00A63984" w:rsidP="00A63984">
      <w:pPr>
        <w:jc w:val="center"/>
        <w:rPr>
          <w:b/>
        </w:rPr>
      </w:pPr>
    </w:p>
    <w:sectPr w:rsidR="00A63984" w:rsidRPr="00A63984" w:rsidSect="00A6398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63984"/>
    <w:rsid w:val="00456BF2"/>
    <w:rsid w:val="00A63984"/>
    <w:rsid w:val="00BB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9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621</Characters>
  <Application>Microsoft Office Word</Application>
  <DocSecurity>0</DocSecurity>
  <Lines>5</Lines>
  <Paragraphs>1</Paragraphs>
  <ScaleCrop>false</ScaleCrop>
  <Company>TÜV SÜD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Kesavan</dc:creator>
  <cp:lastModifiedBy>Preethi Kesavan</cp:lastModifiedBy>
  <cp:revision>1</cp:revision>
  <dcterms:created xsi:type="dcterms:W3CDTF">2012-04-11T03:36:00Z</dcterms:created>
  <dcterms:modified xsi:type="dcterms:W3CDTF">2012-04-11T03:46:00Z</dcterms:modified>
</cp:coreProperties>
</file>