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09FD" w14:textId="77777777" w:rsidR="00B21E27" w:rsidRPr="00B21E27" w:rsidRDefault="00B21E27" w:rsidP="00B21E27">
      <w:pPr>
        <w:spacing w:line="259" w:lineRule="auto"/>
        <w:jc w:val="both"/>
        <w:rPr>
          <w:rFonts w:ascii="Traditional Arabic" w:eastAsia="Calibri" w:hAnsi="Traditional Arabic" w:cs="Traditional Arabic"/>
          <w:b/>
          <w:bCs/>
          <w:sz w:val="36"/>
          <w:szCs w:val="36"/>
          <w:rtl/>
          <w:lang w:bidi="ar-BH"/>
        </w:rPr>
      </w:pPr>
      <w:r w:rsidRPr="00B21E27">
        <w:rPr>
          <w:rFonts w:ascii="Traditional Arabic" w:eastAsia="Calibri" w:hAnsi="Traditional Arabic" w:cs="Traditional Arabic"/>
          <w:b/>
          <w:bCs/>
          <w:sz w:val="36"/>
          <w:szCs w:val="36"/>
          <w:rtl/>
          <w:lang w:bidi="ar-BH"/>
        </w:rPr>
        <w:t>بسم الله الرحمن الرحيم وصلى الله على سيدنا محمد وآل سيدنا محمد وصحبه وسلم تسليماً.</w:t>
      </w:r>
    </w:p>
    <w:p w14:paraId="36752047" w14:textId="77777777" w:rsidR="00B21E27" w:rsidRPr="00B21E27" w:rsidRDefault="00B21E27" w:rsidP="00B21E27">
      <w:pPr>
        <w:spacing w:line="259" w:lineRule="auto"/>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t xml:space="preserve">الحمد لله الذي فتح لأهل الحديث بشرف أصحابه إلى سبيل الرشاد طريقاً، وسهل عليهم الرحلة إلى أطراف الأرض لطلب علو الإسناد وكان لهم حافظاً ورفيقاً، وأشهد أن لا إله إلا الله وحده لا شريك له شهادة </w:t>
      </w:r>
      <w:proofErr w:type="spellStart"/>
      <w:r w:rsidRPr="00B21E27">
        <w:rPr>
          <w:rFonts w:ascii="Traditional Arabic" w:eastAsia="Calibri" w:hAnsi="Traditional Arabic" w:cs="Traditional Arabic"/>
          <w:sz w:val="36"/>
          <w:szCs w:val="36"/>
          <w:rtl/>
          <w:lang w:bidi="ar-BH"/>
        </w:rPr>
        <w:t>أدخرها</w:t>
      </w:r>
      <w:proofErr w:type="spellEnd"/>
      <w:r w:rsidRPr="00B21E27">
        <w:rPr>
          <w:rFonts w:ascii="Traditional Arabic" w:eastAsia="Calibri" w:hAnsi="Traditional Arabic" w:cs="Traditional Arabic"/>
          <w:sz w:val="36"/>
          <w:szCs w:val="36"/>
          <w:rtl/>
          <w:lang w:bidi="ar-BH"/>
        </w:rPr>
        <w:t xml:space="preserve"> ليوم لا ينفع فيه صديق صديقا، وأشهد أن سيدنا محمداً عبده ورسوله الشافع </w:t>
      </w:r>
      <w:proofErr w:type="spellStart"/>
      <w:r w:rsidRPr="00B21E27">
        <w:rPr>
          <w:rFonts w:ascii="Traditional Arabic" w:eastAsia="Calibri" w:hAnsi="Traditional Arabic" w:cs="Traditional Arabic"/>
          <w:sz w:val="36"/>
          <w:szCs w:val="36"/>
          <w:rtl/>
          <w:lang w:bidi="ar-BH"/>
        </w:rPr>
        <w:t>المشفع</w:t>
      </w:r>
      <w:proofErr w:type="spellEnd"/>
      <w:r w:rsidRPr="00B21E27">
        <w:rPr>
          <w:rFonts w:ascii="Traditional Arabic" w:eastAsia="Calibri" w:hAnsi="Traditional Arabic" w:cs="Traditional Arabic"/>
          <w:sz w:val="36"/>
          <w:szCs w:val="36"/>
          <w:rtl/>
          <w:lang w:bidi="ar-BH"/>
        </w:rPr>
        <w:t xml:space="preserve"> يوم الجمع إذا بعث الله إلى الجنة فريقاً وإلى السعير فريقاً، صلى الله وسلم عليه وعلى </w:t>
      </w:r>
      <w:proofErr w:type="spellStart"/>
      <w:r w:rsidRPr="00B21E27">
        <w:rPr>
          <w:rFonts w:ascii="Traditional Arabic" w:eastAsia="Calibri" w:hAnsi="Traditional Arabic" w:cs="Traditional Arabic"/>
          <w:sz w:val="36"/>
          <w:szCs w:val="36"/>
          <w:rtl/>
          <w:lang w:bidi="ar-BH"/>
        </w:rPr>
        <w:t>آله</w:t>
      </w:r>
      <w:proofErr w:type="spellEnd"/>
      <w:r w:rsidRPr="00B21E27">
        <w:rPr>
          <w:rFonts w:ascii="Traditional Arabic" w:eastAsia="Calibri" w:hAnsi="Traditional Arabic" w:cs="Traditional Arabic"/>
          <w:sz w:val="36"/>
          <w:szCs w:val="36"/>
          <w:rtl/>
          <w:lang w:bidi="ar-BH"/>
        </w:rPr>
        <w:t xml:space="preserve"> وصحبه صلاة وسلاماً يفوح ( ) </w:t>
      </w:r>
      <w:proofErr w:type="spellStart"/>
      <w:r w:rsidRPr="00B21E27">
        <w:rPr>
          <w:rFonts w:ascii="Traditional Arabic" w:eastAsia="Calibri" w:hAnsi="Traditional Arabic" w:cs="Traditional Arabic"/>
          <w:sz w:val="36"/>
          <w:szCs w:val="36"/>
          <w:rtl/>
          <w:lang w:bidi="ar-BH"/>
        </w:rPr>
        <w:t>متكافتين</w:t>
      </w:r>
      <w:proofErr w:type="spellEnd"/>
      <w:r w:rsidRPr="00B21E27">
        <w:rPr>
          <w:rFonts w:ascii="Traditional Arabic" w:eastAsia="Calibri" w:hAnsi="Traditional Arabic" w:cs="Traditional Arabic"/>
          <w:sz w:val="36"/>
          <w:szCs w:val="36"/>
          <w:rtl/>
          <w:lang w:bidi="ar-BH"/>
        </w:rPr>
        <w:t>.</w:t>
      </w:r>
    </w:p>
    <w:p w14:paraId="466416E3" w14:textId="77777777" w:rsidR="00B21E27" w:rsidRPr="00B21E27" w:rsidRDefault="00B21E27" w:rsidP="00B21E27">
      <w:pPr>
        <w:spacing w:line="259" w:lineRule="auto"/>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t xml:space="preserve">أما بعد، فإن سيدنا الإمام العلامة الزاهد الخاشع الناسك العابد شيخ طابة </w:t>
      </w:r>
      <w:proofErr w:type="spellStart"/>
      <w:r w:rsidRPr="00B21E27">
        <w:rPr>
          <w:rFonts w:ascii="Traditional Arabic" w:eastAsia="Calibri" w:hAnsi="Traditional Arabic" w:cs="Traditional Arabic"/>
          <w:sz w:val="36"/>
          <w:szCs w:val="36"/>
          <w:rtl/>
          <w:lang w:bidi="ar-BH"/>
        </w:rPr>
        <w:t>وفقيهها</w:t>
      </w:r>
      <w:proofErr w:type="spellEnd"/>
      <w:r w:rsidRPr="00B21E27">
        <w:rPr>
          <w:rFonts w:ascii="Traditional Arabic" w:eastAsia="Calibri" w:hAnsi="Traditional Arabic" w:cs="Traditional Arabic"/>
          <w:sz w:val="36"/>
          <w:szCs w:val="36"/>
          <w:rtl/>
          <w:lang w:bidi="ar-BH"/>
        </w:rPr>
        <w:t xml:space="preserve"> وشيخ الفتوى والتدريس بها، ومن يُرجع إلى قوله عند النزاع وعليه انطبق الإجماع أبا الفتح محمداً شرف الدين ابن شيخنا الإمام العلامة خاتمة المسندين فقيه الحجاز وشيخ الإسلام زين الدين قاضي طيبة الشريفة والإمام والخطيب بالروضة المنيفة أبي بكر بن الحسين بن عمر بن محمد بن يونس بن أبي الفخر بن عبد الوهاب بن محمد القرشي العثماني المراغي المصري ثم المدني الشافعي أبقاه الله تعالى البقاء الجميل وأحسن إليه وكان له بكل خير كفيل، ممن أجمع على زهده وورعه الأئمة الأبرار، وما خلى في قطر من الأقطار إلا كان لأهله فيه اعتقاد وسارعوا في الاشتغال عليه باجتهاد، وجد بمكة الشريفة فأخذ عنه جمع من أهلها وجماعة من الواردين إليها مراراً عدة وكنت من الآخذين عنه من مدة، فجمعت له معجماً وسميته الفتح الرباني لجميع مرويات الشيخ أبي الفتح العثماني شاملاً لشيوخه الأخيار وما سمعه في جميع الأمصار من كتب كبار وأُخراً قصار، فأذكر الشيخ مترجماً وأُخرّج عنه حديثاً منهما، أو غير ذلك ما لحُسن أن يُروى ويُقرأ، ومن لم أقف له على حال أثبت له ذكراً وأُبيض له لكي أظفر بترجمته مرة أخرى، ثم آتي بفصل مستقل بعد ذلك في ذكر مسموعاته كما تراه هنالك مرتباً لشيوخه وأسماء مصنفي ما سمعه من الكتب والأجزاء على الحروف، ومن الله سبحانه وتعالى أسأل الإعانة فهو جواد بر رؤوف.</w:t>
      </w:r>
    </w:p>
    <w:p w14:paraId="08CEED2B" w14:textId="77777777" w:rsidR="00B21E27" w:rsidRPr="00B21E27" w:rsidRDefault="00B21E27" w:rsidP="00B21E27">
      <w:pPr>
        <w:numPr>
          <w:ilvl w:val="0"/>
          <w:numId w:val="1"/>
        </w:numPr>
        <w:spacing w:line="259" w:lineRule="auto"/>
        <w:contextualSpacing/>
        <w:jc w:val="both"/>
        <w:rPr>
          <w:rFonts w:ascii="Traditional Arabic" w:eastAsia="Calibri" w:hAnsi="Traditional Arabic" w:cs="Traditional Arabic"/>
          <w:sz w:val="36"/>
          <w:szCs w:val="36"/>
          <w:lang w:bidi="ar-BH"/>
        </w:rPr>
      </w:pPr>
      <w:r w:rsidRPr="00B21E27">
        <w:rPr>
          <w:rFonts w:ascii="Traditional Arabic" w:eastAsia="Calibri" w:hAnsi="Traditional Arabic" w:cs="Traditional Arabic"/>
          <w:color w:val="C00000"/>
          <w:sz w:val="36"/>
          <w:szCs w:val="36"/>
          <w:rtl/>
          <w:lang w:bidi="ar-BH"/>
        </w:rPr>
        <w:t>الشيخ الأول</w:t>
      </w:r>
      <w:r w:rsidRPr="00B21E27">
        <w:rPr>
          <w:rFonts w:ascii="Traditional Arabic" w:eastAsia="Calibri" w:hAnsi="Traditional Arabic" w:cs="Traditional Arabic"/>
          <w:sz w:val="36"/>
          <w:szCs w:val="36"/>
          <w:rtl/>
          <w:lang w:bidi="ar-BH"/>
        </w:rPr>
        <w:t xml:space="preserve"> </w:t>
      </w:r>
      <w:r w:rsidRPr="00B21E27">
        <w:rPr>
          <w:rFonts w:ascii="Traditional Arabic" w:eastAsia="Calibri" w:hAnsi="Traditional Arabic" w:cs="Traditional Arabic"/>
          <w:color w:val="C00000"/>
          <w:sz w:val="36"/>
          <w:szCs w:val="36"/>
          <w:rtl/>
          <w:lang w:bidi="ar-BH"/>
        </w:rPr>
        <w:t>وهو الأول من شيوخ السماع</w:t>
      </w:r>
      <w:r w:rsidRPr="00B21E27">
        <w:rPr>
          <w:rFonts w:ascii="Traditional Arabic" w:eastAsia="Calibri" w:hAnsi="Traditional Arabic" w:cs="Traditional Arabic"/>
          <w:sz w:val="36"/>
          <w:szCs w:val="36"/>
          <w:rtl/>
          <w:lang w:bidi="ar-BH"/>
        </w:rPr>
        <w:t>:</w:t>
      </w:r>
    </w:p>
    <w:p w14:paraId="056D30EA" w14:textId="77777777" w:rsidR="00B21E27" w:rsidRPr="00B21E27" w:rsidRDefault="00B21E27" w:rsidP="00B21E27">
      <w:pPr>
        <w:spacing w:line="259" w:lineRule="auto"/>
        <w:ind w:left="360"/>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lastRenderedPageBreak/>
        <w:t>إبراهيم بن أحمد بن عبد الواحد بن عبد المؤمن بن كليل بن سعيد بن علوان التنوخي البعلي الأصل ثم الدمشقي نزيل القاهرة المعروف بالبرهان الشامي المقرئ المجود برهان الدين أبو إسحاق.</w:t>
      </w:r>
    </w:p>
    <w:p w14:paraId="48FA2D84" w14:textId="77777777" w:rsidR="00B21E27" w:rsidRPr="00B21E27" w:rsidRDefault="00B21E27" w:rsidP="00B21E27">
      <w:pPr>
        <w:spacing w:line="259" w:lineRule="auto"/>
        <w:ind w:left="360"/>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t xml:space="preserve"> ولد ببعلبك في سنة تسع وسبعمائة أو في أوائل سنة عشر، وسمع بدمشق في سنة ست وعشرين وما بعدها، فسمع من الحجار صحيح البخاري ومسندي عبد والدارمي، وجزء أبي الجهم، وجزء بيبي، وجزء أبي مجلة، ومسند عمر النجاد وغير ذلك، ومن أيوب الكحال </w:t>
      </w:r>
      <w:proofErr w:type="spellStart"/>
      <w:r w:rsidRPr="00B21E27">
        <w:rPr>
          <w:rFonts w:ascii="Traditional Arabic" w:eastAsia="Calibri" w:hAnsi="Traditional Arabic" w:cs="Traditional Arabic"/>
          <w:sz w:val="36"/>
          <w:szCs w:val="36"/>
          <w:rtl/>
          <w:lang w:bidi="ar-BH"/>
        </w:rPr>
        <w:t>مسموعه</w:t>
      </w:r>
      <w:proofErr w:type="spellEnd"/>
      <w:r w:rsidRPr="00B21E27">
        <w:rPr>
          <w:rFonts w:ascii="Traditional Arabic" w:eastAsia="Calibri" w:hAnsi="Traditional Arabic" w:cs="Traditional Arabic"/>
          <w:sz w:val="36"/>
          <w:szCs w:val="36"/>
          <w:rtl/>
          <w:lang w:bidi="ar-BH"/>
        </w:rPr>
        <w:t xml:space="preserve"> من السنن الصغرى للنسائي، ومن الحفاظ المزي، </w:t>
      </w:r>
      <w:proofErr w:type="spellStart"/>
      <w:r w:rsidRPr="00B21E27">
        <w:rPr>
          <w:rFonts w:ascii="Traditional Arabic" w:eastAsia="Calibri" w:hAnsi="Traditional Arabic" w:cs="Traditional Arabic"/>
          <w:sz w:val="36"/>
          <w:szCs w:val="36"/>
          <w:rtl/>
          <w:lang w:bidi="ar-BH"/>
        </w:rPr>
        <w:t>والبرزالي</w:t>
      </w:r>
      <w:proofErr w:type="spellEnd"/>
      <w:r w:rsidRPr="00B21E27">
        <w:rPr>
          <w:rFonts w:ascii="Traditional Arabic" w:eastAsia="Calibri" w:hAnsi="Traditional Arabic" w:cs="Traditional Arabic"/>
          <w:sz w:val="36"/>
          <w:szCs w:val="36"/>
          <w:rtl/>
          <w:lang w:bidi="ar-BH"/>
        </w:rPr>
        <w:t xml:space="preserve">، وابن تيمية، وأبي المعالي، وابن أبي التائب، وأبي الحسن </w:t>
      </w:r>
      <w:proofErr w:type="spellStart"/>
      <w:r w:rsidRPr="00B21E27">
        <w:rPr>
          <w:rFonts w:ascii="Traditional Arabic" w:eastAsia="Calibri" w:hAnsi="Traditional Arabic" w:cs="Traditional Arabic"/>
          <w:sz w:val="36"/>
          <w:szCs w:val="36"/>
          <w:rtl/>
          <w:lang w:bidi="ar-BH"/>
        </w:rPr>
        <w:t>البندنيجي</w:t>
      </w:r>
      <w:proofErr w:type="spellEnd"/>
      <w:r w:rsidRPr="00B21E27">
        <w:rPr>
          <w:rFonts w:ascii="Traditional Arabic" w:eastAsia="Calibri" w:hAnsi="Traditional Arabic" w:cs="Traditional Arabic"/>
          <w:sz w:val="36"/>
          <w:szCs w:val="36"/>
          <w:rtl/>
          <w:lang w:bidi="ar-BH"/>
        </w:rPr>
        <w:t>، وإسحاق الآمدي، وزينب ابنة الكمال وآخرين.</w:t>
      </w:r>
    </w:p>
    <w:p w14:paraId="40B0F6BF" w14:textId="77777777" w:rsidR="00B21E27" w:rsidRPr="00B21E27" w:rsidRDefault="00B21E27" w:rsidP="00B21E27">
      <w:pPr>
        <w:spacing w:line="259" w:lineRule="auto"/>
        <w:ind w:left="360"/>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t>وبمصر من أحمد بن علي الجزري مشيخته، وكتاب مساوئ الأخلاق للخرائطي وغير ذلك، ومن الشرف بن المصري كتاب اختلاف الحديث للشافعي، ومعجم الإسماعيلي، ومن القاضي بدر الدين بن جماعة وغير واحد.</w:t>
      </w:r>
    </w:p>
    <w:p w14:paraId="5FF6D666" w14:textId="77777777" w:rsidR="00B21E27" w:rsidRPr="00B21E27" w:rsidRDefault="00B21E27" w:rsidP="00B21E27">
      <w:pPr>
        <w:spacing w:line="259" w:lineRule="auto"/>
        <w:ind w:left="360"/>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t>وصحب العز بن جماعة وسمع معه وعليه، وأجاز له في سنة ست عشرة من دمشق جماعة تفرد بالرواية عن أكثرهم، منهم: عيسى المطعم، وإسماعيل بن مكتوم، وأبو نصر بن الشيرازي، ويحيى بن سعد، وأبو بكر بن عبد الدائم، والقاسم بن المظفر بن عساكر، وأبو الفتح بن النشو، وأحمد بن أبي بكر القرافي، وعلي بن إبراهيم العطار صاحب النووي، وخلق يطول ذكرهم.</w:t>
      </w:r>
    </w:p>
    <w:p w14:paraId="1B8BFF2B" w14:textId="77777777" w:rsidR="00B21E27" w:rsidRPr="00B21E27" w:rsidRDefault="00B21E27" w:rsidP="00B21E27">
      <w:pPr>
        <w:spacing w:line="259" w:lineRule="auto"/>
        <w:ind w:left="360"/>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t xml:space="preserve">وتفقه بدمشق على شيوخها إذ ذاك، ثم رحل إلى حماة فتفقه على القاضي شرف الدين </w:t>
      </w:r>
      <w:proofErr w:type="spellStart"/>
      <w:r w:rsidRPr="00B21E27">
        <w:rPr>
          <w:rFonts w:ascii="Traditional Arabic" w:eastAsia="Calibri" w:hAnsi="Traditional Arabic" w:cs="Traditional Arabic"/>
          <w:sz w:val="36"/>
          <w:szCs w:val="36"/>
          <w:rtl/>
          <w:lang w:bidi="ar-BH"/>
        </w:rPr>
        <w:t>البارزي</w:t>
      </w:r>
      <w:proofErr w:type="spellEnd"/>
      <w:r w:rsidRPr="00B21E27">
        <w:rPr>
          <w:rFonts w:ascii="Traditional Arabic" w:eastAsia="Calibri" w:hAnsi="Traditional Arabic" w:cs="Traditional Arabic"/>
          <w:sz w:val="36"/>
          <w:szCs w:val="36"/>
          <w:rtl/>
          <w:lang w:bidi="ar-BH"/>
        </w:rPr>
        <w:t xml:space="preserve"> ولازمه وأذن له بالإفتاء والتدريس، ثم رحل إلى حلب فتفقه على شمس الدين بن النقيب صاحب النووي وأذن له بالإفتاء، ثم رحل إلى القاهرة فتفقه على شمس الدين بن القماح بحث عليه المنهاج وأذن له، واعتنى بعلم القراءات فجمع بالسبع على الوادي </w:t>
      </w:r>
      <w:proofErr w:type="spellStart"/>
      <w:r w:rsidRPr="00B21E27">
        <w:rPr>
          <w:rFonts w:ascii="Traditional Arabic" w:eastAsia="Calibri" w:hAnsi="Traditional Arabic" w:cs="Traditional Arabic"/>
          <w:sz w:val="36"/>
          <w:szCs w:val="36"/>
          <w:rtl/>
          <w:lang w:bidi="ar-BH"/>
        </w:rPr>
        <w:t>آشي</w:t>
      </w:r>
      <w:proofErr w:type="spellEnd"/>
      <w:r w:rsidRPr="00B21E27">
        <w:rPr>
          <w:rFonts w:ascii="Traditional Arabic" w:eastAsia="Calibri" w:hAnsi="Traditional Arabic" w:cs="Traditional Arabic"/>
          <w:sz w:val="36"/>
          <w:szCs w:val="36"/>
          <w:rtl/>
          <w:lang w:bidi="ar-BH"/>
        </w:rPr>
        <w:t xml:space="preserve">، وأبي حيان، والبرهان الحكري وغيرهم، وأجازه بالقراءات الوادي </w:t>
      </w:r>
      <w:proofErr w:type="spellStart"/>
      <w:r w:rsidRPr="00B21E27">
        <w:rPr>
          <w:rFonts w:ascii="Traditional Arabic" w:eastAsia="Calibri" w:hAnsi="Traditional Arabic" w:cs="Traditional Arabic"/>
          <w:sz w:val="36"/>
          <w:szCs w:val="36"/>
          <w:rtl/>
          <w:lang w:bidi="ar-BH"/>
        </w:rPr>
        <w:t>آشي</w:t>
      </w:r>
      <w:proofErr w:type="spellEnd"/>
      <w:r w:rsidRPr="00B21E27">
        <w:rPr>
          <w:rFonts w:ascii="Traditional Arabic" w:eastAsia="Calibri" w:hAnsi="Traditional Arabic" w:cs="Traditional Arabic"/>
          <w:sz w:val="36"/>
          <w:szCs w:val="36"/>
          <w:rtl/>
          <w:lang w:bidi="ar-BH"/>
        </w:rPr>
        <w:t xml:space="preserve"> وأبو حيان.</w:t>
      </w:r>
    </w:p>
    <w:p w14:paraId="64C8CE9D" w14:textId="77777777" w:rsidR="00B21E27" w:rsidRPr="00B21E27" w:rsidRDefault="00B21E27" w:rsidP="00B21E27">
      <w:pPr>
        <w:spacing w:line="259" w:lineRule="auto"/>
        <w:ind w:left="360"/>
        <w:jc w:val="both"/>
        <w:rPr>
          <w:rFonts w:ascii="Traditional Arabic" w:eastAsia="Calibri" w:hAnsi="Traditional Arabic" w:cs="Traditional Arabic"/>
          <w:sz w:val="36"/>
          <w:szCs w:val="36"/>
          <w:rtl/>
          <w:lang w:bidi="ar-BH"/>
        </w:rPr>
      </w:pPr>
      <w:r w:rsidRPr="00B21E27">
        <w:rPr>
          <w:rFonts w:ascii="Traditional Arabic" w:eastAsia="Calibri" w:hAnsi="Traditional Arabic" w:cs="Traditional Arabic"/>
          <w:sz w:val="36"/>
          <w:szCs w:val="36"/>
          <w:rtl/>
          <w:lang w:bidi="ar-BH"/>
        </w:rPr>
        <w:lastRenderedPageBreak/>
        <w:t xml:space="preserve">وارتحل إلى الإسكندرية فأخذ بها عن أبي العباس </w:t>
      </w:r>
      <w:proofErr w:type="spellStart"/>
      <w:r w:rsidRPr="00B21E27">
        <w:rPr>
          <w:rFonts w:ascii="Traditional Arabic" w:eastAsia="Calibri" w:hAnsi="Traditional Arabic" w:cs="Traditional Arabic"/>
          <w:sz w:val="36"/>
          <w:szCs w:val="36"/>
          <w:rtl/>
          <w:lang w:bidi="ar-BH"/>
        </w:rPr>
        <w:t>المرداوي</w:t>
      </w:r>
      <w:proofErr w:type="spellEnd"/>
      <w:r w:rsidRPr="00B21E27">
        <w:rPr>
          <w:rFonts w:ascii="Traditional Arabic" w:eastAsia="Calibri" w:hAnsi="Traditional Arabic" w:cs="Traditional Arabic"/>
          <w:sz w:val="36"/>
          <w:szCs w:val="36"/>
          <w:rtl/>
          <w:lang w:bidi="ar-BH"/>
        </w:rPr>
        <w:t xml:space="preserve"> وأجاز له بالقراءات السبع، وسمع الكثير في غضون ذلك، وذكر أنه قرأ تلخيص المفتاح على مصنفه ثم عاد إلى دمشق واشتهرت فضائله، ولازم الحافظ أبا عبد الله الذهبي وسمع عليه كثيراً من تصانيفه، وسمع منه الحافظ الذهبي وغيره الأربعين المتباينات من مرويات العز بن جماعة تخريج محمد بن علي بن أيبك.</w:t>
      </w:r>
    </w:p>
    <w:p w14:paraId="76B38612" w14:textId="06AB4D82" w:rsidR="00F04314" w:rsidRDefault="00B21E27" w:rsidP="00B21E27">
      <w:pPr>
        <w:rPr>
          <w:lang w:bidi="ar-BH"/>
        </w:rPr>
      </w:pPr>
      <w:r w:rsidRPr="00B21E27">
        <w:rPr>
          <w:rFonts w:ascii="Traditional Arabic" w:eastAsia="Calibri" w:hAnsi="Traditional Arabic" w:cs="Traditional Arabic"/>
          <w:sz w:val="36"/>
          <w:szCs w:val="36"/>
          <w:rtl/>
          <w:lang w:bidi="ar-BH"/>
        </w:rPr>
        <w:t>ثم ارتحل إلى القاهرة بعد سنة احدى وأربعين فسكنها</w:t>
      </w:r>
      <w:r w:rsidRPr="00B21E27">
        <w:rPr>
          <w:rFonts w:ascii="Traditional Arabic" w:eastAsia="Calibri" w:hAnsi="Traditional Arabic" w:cs="Traditional Arabic"/>
          <w:sz w:val="36"/>
          <w:szCs w:val="36"/>
          <w:lang w:bidi="ar-BH"/>
        </w:rPr>
        <w:t xml:space="preserve"> </w:t>
      </w:r>
      <w:r w:rsidRPr="00B21E27">
        <w:rPr>
          <w:rFonts w:ascii="Traditional Arabic" w:eastAsia="Calibri" w:hAnsi="Traditional Arabic" w:cs="Traditional Arabic"/>
          <w:sz w:val="36"/>
          <w:szCs w:val="36"/>
          <w:rtl/>
          <w:lang w:bidi="ar-BH"/>
        </w:rPr>
        <w:t xml:space="preserve"> إلى أن مات وولي بها عدة مدارس في القراءات والفقه وتفرد بها بعلو الإسناد</w:t>
      </w:r>
    </w:p>
    <w:sectPr w:rsidR="00F04314" w:rsidSect="005D4F5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214"/>
    <w:multiLevelType w:val="hybridMultilevel"/>
    <w:tmpl w:val="AFE8F672"/>
    <w:lvl w:ilvl="0" w:tplc="06DEE840">
      <w:numFmt w:val="bullet"/>
      <w:lvlText w:val=""/>
      <w:lvlJc w:val="left"/>
      <w:pPr>
        <w:ind w:left="720" w:hanging="360"/>
      </w:pPr>
      <w:rPr>
        <w:rFonts w:ascii="Symbol" w:eastAsiaTheme="minorHAnsi" w:hAnsi="Symbol" w:cs="Traditional Arabi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6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314"/>
    <w:rsid w:val="005D4F5F"/>
    <w:rsid w:val="00B21E27"/>
    <w:rsid w:val="00BB1911"/>
    <w:rsid w:val="00F043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17FD"/>
  <w15:chartTrackingRefBased/>
  <w15:docId w15:val="{56B4AC9D-FE7C-46E4-89D8-0F330C4C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04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04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043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043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043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43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43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43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43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0431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0431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0431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0431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04314"/>
    <w:rPr>
      <w:rFonts w:eastAsiaTheme="majorEastAsia" w:cstheme="majorBidi"/>
      <w:color w:val="0F4761" w:themeColor="accent1" w:themeShade="BF"/>
    </w:rPr>
  </w:style>
  <w:style w:type="character" w:customStyle="1" w:styleId="6Char">
    <w:name w:val="عنوان 6 Char"/>
    <w:basedOn w:val="a0"/>
    <w:link w:val="6"/>
    <w:uiPriority w:val="9"/>
    <w:semiHidden/>
    <w:rsid w:val="00F04314"/>
    <w:rPr>
      <w:rFonts w:eastAsiaTheme="majorEastAsia" w:cstheme="majorBidi"/>
      <w:i/>
      <w:iCs/>
      <w:color w:val="595959" w:themeColor="text1" w:themeTint="A6"/>
    </w:rPr>
  </w:style>
  <w:style w:type="character" w:customStyle="1" w:styleId="7Char">
    <w:name w:val="عنوان 7 Char"/>
    <w:basedOn w:val="a0"/>
    <w:link w:val="7"/>
    <w:uiPriority w:val="9"/>
    <w:semiHidden/>
    <w:rsid w:val="00F04314"/>
    <w:rPr>
      <w:rFonts w:eastAsiaTheme="majorEastAsia" w:cstheme="majorBidi"/>
      <w:color w:val="595959" w:themeColor="text1" w:themeTint="A6"/>
    </w:rPr>
  </w:style>
  <w:style w:type="character" w:customStyle="1" w:styleId="8Char">
    <w:name w:val="عنوان 8 Char"/>
    <w:basedOn w:val="a0"/>
    <w:link w:val="8"/>
    <w:uiPriority w:val="9"/>
    <w:semiHidden/>
    <w:rsid w:val="00F04314"/>
    <w:rPr>
      <w:rFonts w:eastAsiaTheme="majorEastAsia" w:cstheme="majorBidi"/>
      <w:i/>
      <w:iCs/>
      <w:color w:val="272727" w:themeColor="text1" w:themeTint="D8"/>
    </w:rPr>
  </w:style>
  <w:style w:type="character" w:customStyle="1" w:styleId="9Char">
    <w:name w:val="عنوان 9 Char"/>
    <w:basedOn w:val="a0"/>
    <w:link w:val="9"/>
    <w:uiPriority w:val="9"/>
    <w:semiHidden/>
    <w:rsid w:val="00F04314"/>
    <w:rPr>
      <w:rFonts w:eastAsiaTheme="majorEastAsia" w:cstheme="majorBidi"/>
      <w:color w:val="272727" w:themeColor="text1" w:themeTint="D8"/>
    </w:rPr>
  </w:style>
  <w:style w:type="paragraph" w:styleId="a3">
    <w:name w:val="Title"/>
    <w:basedOn w:val="a"/>
    <w:next w:val="a"/>
    <w:link w:val="Char"/>
    <w:uiPriority w:val="10"/>
    <w:qFormat/>
    <w:rsid w:val="00F04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043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431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043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4314"/>
    <w:pPr>
      <w:spacing w:before="160"/>
      <w:jc w:val="center"/>
    </w:pPr>
    <w:rPr>
      <w:i/>
      <w:iCs/>
      <w:color w:val="404040" w:themeColor="text1" w:themeTint="BF"/>
    </w:rPr>
  </w:style>
  <w:style w:type="character" w:customStyle="1" w:styleId="Char1">
    <w:name w:val="اقتباس Char"/>
    <w:basedOn w:val="a0"/>
    <w:link w:val="a5"/>
    <w:uiPriority w:val="29"/>
    <w:rsid w:val="00F04314"/>
    <w:rPr>
      <w:i/>
      <w:iCs/>
      <w:color w:val="404040" w:themeColor="text1" w:themeTint="BF"/>
    </w:rPr>
  </w:style>
  <w:style w:type="paragraph" w:styleId="a6">
    <w:name w:val="List Paragraph"/>
    <w:basedOn w:val="a"/>
    <w:uiPriority w:val="34"/>
    <w:qFormat/>
    <w:rsid w:val="00F04314"/>
    <w:pPr>
      <w:ind w:left="720"/>
      <w:contextualSpacing/>
    </w:pPr>
  </w:style>
  <w:style w:type="character" w:styleId="a7">
    <w:name w:val="Intense Emphasis"/>
    <w:basedOn w:val="a0"/>
    <w:uiPriority w:val="21"/>
    <w:qFormat/>
    <w:rsid w:val="00F04314"/>
    <w:rPr>
      <w:i/>
      <w:iCs/>
      <w:color w:val="0F4761" w:themeColor="accent1" w:themeShade="BF"/>
    </w:rPr>
  </w:style>
  <w:style w:type="paragraph" w:styleId="a8">
    <w:name w:val="Intense Quote"/>
    <w:basedOn w:val="a"/>
    <w:next w:val="a"/>
    <w:link w:val="Char2"/>
    <w:uiPriority w:val="30"/>
    <w:qFormat/>
    <w:rsid w:val="00F04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04314"/>
    <w:rPr>
      <w:i/>
      <w:iCs/>
      <w:color w:val="0F4761" w:themeColor="accent1" w:themeShade="BF"/>
    </w:rPr>
  </w:style>
  <w:style w:type="character" w:styleId="a9">
    <w:name w:val="Intense Reference"/>
    <w:basedOn w:val="a0"/>
    <w:uiPriority w:val="32"/>
    <w:qFormat/>
    <w:rsid w:val="00F04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Sabri</dc:creator>
  <cp:keywords/>
  <dc:description/>
  <cp:lastModifiedBy>Aamer Sabri</cp:lastModifiedBy>
  <cp:revision>2</cp:revision>
  <dcterms:created xsi:type="dcterms:W3CDTF">2026-07-07T06:14:00Z</dcterms:created>
  <dcterms:modified xsi:type="dcterms:W3CDTF">2026-07-07T06:17:00Z</dcterms:modified>
</cp:coreProperties>
</file>