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t>
      </w:r>
    </w:p>
    <w:p>
      <w:pPr>
        <w:spacing w:after="200" w:before="200"/>
        <w:jc w:val="center"/>
      </w:pPr>
      <w:r>
        <w:rPr>
          <w:rFonts w:ascii="Arial" w:cs="Arial" w:eastAsia="Arial" w:hAnsi="Arial"/>
          <w:b/>
          <w:bCs/>
          <w:color w:val="0B2A4A"/>
          <w:sz w:val="64"/>
          <w:szCs w:val="64"/>
        </w:rPr>
        <w:t xml:space="preserve">AquaSync Pro</w:t>
      </w:r>
    </w:p>
    <w:p>
      <w:pPr>
        <w:spacing w:after="600" w:before="120"/>
        <w:jc w:val="center"/>
      </w:pPr>
      <w:r>
        <w:rPr>
          <w:rFonts w:ascii="Arial" w:cs="Arial" w:eastAsia="Arial" w:hAnsi="Arial"/>
          <w:i/>
          <w:iCs/>
          <w:color w:val="0E7C86"/>
          <w:sz w:val="28"/>
          <w:szCs w:val="28"/>
        </w:rPr>
        <w:t xml:space="preserve">Plataforma IoT/SCADA para servicios sanitarios rurales</w:t>
      </w:r>
    </w:p>
    <w:p>
      <w:pPr>
        <w:pBdr>
          <w:top w:val="single" w:color="0E7C86" w:sz="12" w:space="8"/>
          <w:bottom w:val="single" w:color="0E7C86" w:sz="12" w:space="8"/>
        </w:pBdr>
        <w:spacing w:after="200" w:before="200"/>
        <w:jc w:val="center"/>
      </w:pPr>
      <w:r>
        <w:rPr>
          <w:rFonts w:ascii="Arial" w:cs="Arial" w:eastAsia="Arial" w:hAnsi="Arial"/>
          <w:b/>
          <w:bCs/>
          <w:color w:val="0B2A4A"/>
          <w:sz w:val="32"/>
          <w:szCs w:val="32"/>
        </w:rPr>
        <w:t xml:space="preserve">Propuesta Azure v4.0 — Arquitectura, Datos, Seguridad e Identidad</w:t>
      </w:r>
    </w:p>
    <w:p>
      <w:pPr>
        <w:spacing w:before="800"/>
      </w:pPr>
      <w:r>
        <w:t xml:space="preserve"> </w:t>
      </w:r>
    </w:p>
    <w:p>
      <w:pPr>
        <w:spacing w:after="100" w:before="200"/>
        <w:jc w:val="center"/>
      </w:pPr>
      <w:r>
        <w:rPr>
          <w:rFonts w:ascii="Arial" w:cs="Arial" w:eastAsia="Arial" w:hAnsi="Arial"/>
          <w:b/>
          <w:bCs/>
          <w:color w:val="6B7280"/>
          <w:sz w:val="20"/>
          <w:szCs w:val="20"/>
        </w:rPr>
        <w:t xml:space="preserve">Cliente / Plataforma</w:t>
      </w:r>
    </w:p>
    <w:p>
      <w:pPr>
        <w:spacing w:after="400" w:before="0"/>
        <w:jc w:val="center"/>
      </w:pPr>
      <w:r>
        <w:rPr>
          <w:rFonts w:ascii="Arial" w:cs="Arial" w:eastAsia="Arial" w:hAnsi="Arial"/>
          <w:color w:val="1F6FB2"/>
          <w:sz w:val="24"/>
          <w:szCs w:val="24"/>
        </w:rPr>
        <w:t xml:space="preserve">telemetrias.com  •  aquasyncpro.com</w:t>
      </w:r>
    </w:p>
    <w:p>
      <w:pPr>
        <w:spacing w:after="100" w:before="100"/>
        <w:jc w:val="center"/>
      </w:pPr>
      <w:r>
        <w:rPr>
          <w:rFonts w:ascii="Arial" w:cs="Arial" w:eastAsia="Arial" w:hAnsi="Arial"/>
          <w:b/>
          <w:bCs/>
          <w:color w:val="6B7280"/>
          <w:sz w:val="20"/>
          <w:szCs w:val="20"/>
        </w:rPr>
        <w:t xml:space="preserve">Preparado por</w:t>
      </w:r>
    </w:p>
    <w:p>
      <w:pPr>
        <w:spacing w:after="200" w:before="0"/>
        <w:jc w:val="center"/>
      </w:pPr>
      <w:r>
        <w:rPr>
          <w:rFonts w:ascii="Arial" w:cs="Arial" w:eastAsia="Arial" w:hAnsi="Arial"/>
          <w:b/>
          <w:bCs/>
          <w:color w:val="0B2A4A"/>
          <w:sz w:val="24"/>
          <w:szCs w:val="24"/>
        </w:rPr>
        <w:t xml:space="preserve">CYB Chile SPA — Ingeniería Eléctrica, Automatización y Telemetría</w:t>
      </w:r>
    </w:p>
    <w:p>
      <w:pPr>
        <w:spacing w:after="100" w:before="600"/>
        <w:jc w:val="center"/>
      </w:pPr>
      <w:r>
        <w:rPr>
          <w:rFonts w:ascii="Arial" w:cs="Arial" w:eastAsia="Arial" w:hAnsi="Arial"/>
          <w:i/>
          <w:iCs/>
          <w:color w:val="6B7280"/>
          <w:sz w:val="20"/>
          <w:szCs w:val="20"/>
        </w:rPr>
        <w:t xml:space="preserve">Versión 4.0  •  Mayo 2026  •  Go-live previsto: 1 agosto 2026</w:t>
      </w:r>
    </w:p>
    <w:p>
      <w:r>
        <w:br w:type="page"/>
      </w:r>
    </w:p>
    <w:p>
      <w:pPr>
        <w:pStyle w:val="Heading1"/>
        <w:pBdr>
          <w:bottom w:val="single" w:color="0B2A4A" w:sz="12" w:space="4"/>
        </w:pBdr>
        <w:spacing w:after="180" w:before="360"/>
      </w:pPr>
      <w:r>
        <w:rPr>
          <w:rFonts w:ascii="Arial" w:cs="Arial" w:eastAsia="Arial" w:hAnsi="Arial"/>
          <w:b/>
          <w:bCs/>
          <w:color w:val="0B2A4A"/>
          <w:sz w:val="32"/>
          <w:szCs w:val="32"/>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B2A4A" w:sz="12" w:space="4"/>
        </w:pBdr>
        <w:spacing w:after="180" w:before="360"/>
      </w:pPr>
      <w:r>
        <w:rPr>
          <w:rFonts w:ascii="Arial" w:cs="Arial" w:eastAsia="Arial" w:hAnsi="Arial"/>
          <w:b/>
          <w:bCs/>
          <w:color w:val="0B2A4A"/>
          <w:sz w:val="32"/>
          <w:szCs w:val="32"/>
        </w:rPr>
        <w:t xml:space="preserve">1. Resumen ejecutivo</w:t>
      </w:r>
    </w:p>
    <w:p>
      <w:pPr>
        <w:spacing w:after="60" w:before="60" w:line="300"/>
        <w:jc w:val="both"/>
      </w:pPr>
      <w:r>
        <w:rPr>
          <w:rFonts w:ascii="Arial" w:cs="Arial" w:eastAsia="Arial" w:hAnsi="Arial"/>
          <w:b w:val="false"/>
          <w:bCs w:val="false"/>
          <w:i w:val="false"/>
          <w:iCs w:val="false"/>
          <w:color w:val="1F1F1F"/>
          <w:sz w:val="22"/>
          <w:szCs w:val="22"/>
        </w:rPr>
        <w:t xml:space="preserve">Esta versión 4.0 de la propuesta Azure de AquaSync Pro consolida y profundiza el trabajo previo (v3.6) sobre la base de cuatro objetivos concretos: (a) precisar el dimensionamiento Azure por etapa de adopción del producto, (b) entregar el modelo de datos completo con detalle de contenedores, particiones, índices y políticas de retención, (c) describir paso a paso la operación de certificados X.509 en los gateways IoT y (d) documentar el servicio de autenticación con Google para clientes que accedan al portal web y a la futura aplicación móvil.</w:t>
      </w:r>
    </w:p>
    <w:p>
      <w:pPr>
        <w:spacing w:after="60" w:before="60" w:line="300"/>
        <w:jc w:val="both"/>
      </w:pPr>
      <w:r>
        <w:rPr>
          <w:rFonts w:ascii="Arial" w:cs="Arial" w:eastAsia="Arial" w:hAnsi="Arial"/>
          <w:b w:val="false"/>
          <w:bCs w:val="false"/>
          <w:i w:val="false"/>
          <w:iCs w:val="false"/>
          <w:color w:val="1F1F1F"/>
          <w:sz w:val="22"/>
          <w:szCs w:val="22"/>
        </w:rPr>
        <w:t xml:space="preserve">AquaSync Pro se mantiene como una plataforma multi-tenant cloud-first sobre Azure, alineada con los requerimientos técnicos de servicios sanitarios rurales (SSR/APR), normativa eléctrica chilena (NCh 4/2003, ETE), ciberseguridad industrial (ISA/IEC-62443 SL-2), Ley 21.663 de Marco de Ciberseguridad y obligaciones DGA cuando exista extracción regulada (Resolución DGA 1238 Exenta).</w:t>
      </w:r>
    </w:p>
    <w:p>
      <w:pPr>
        <w:spacing w:after="60" w:before="60" w:line="300"/>
        <w:jc w:val="both"/>
      </w:pPr>
      <w:r>
        <w:rPr>
          <w:rFonts w:ascii="Arial" w:cs="Arial" w:eastAsia="Arial" w:hAnsi="Arial"/>
          <w:b w:val="false"/>
          <w:bCs w:val="false"/>
          <w:i w:val="false"/>
          <w:iCs w:val="false"/>
          <w:color w:val="1F1F1F"/>
          <w:sz w:val="22"/>
          <w:szCs w:val="22"/>
        </w:rPr>
        <w:t xml:space="preserve">La arquitectura recomendada para el go-live del 1 de agosto de 2026 corresponde al nivel “LOW+ recomendado” (variante B) del proyecto v3.6: Azure IoT Hub + Service Bus Basic + Azure Functions + Cosmos DB + Blob Storage + Static Web Apps, complementada con Azure Key Vault, Microsoft Entra External ID (ex Azure AD B2C) para identidad de clientes y Log Analytics básico. La presente versión documenta también la trayectoria a niveles MID y HIGH.</w:t>
      </w:r>
    </w:p>
    <w:p>
      <w:pPr>
        <w:pStyle w:val="Heading2"/>
        <w:spacing w:after="120" w:before="280"/>
      </w:pPr>
      <w:r>
        <w:rPr>
          <w:rFonts w:ascii="Arial" w:cs="Arial" w:eastAsia="Arial" w:hAnsi="Arial"/>
          <w:b/>
          <w:bCs/>
          <w:color w:val="0E7C86"/>
          <w:sz w:val="28"/>
          <w:szCs w:val="28"/>
        </w:rPr>
        <w:t xml:space="preserve">1.1 Cambios clave respecto a v3.6</w:t>
      </w:r>
    </w:p>
    <w:p>
      <w:pPr>
        <w:pStyle w:val="ListParagraph"/>
        <w:numPr>
          <w:ilvl w:val="0"/>
          <w:numId w:val="2"/>
        </w:numPr>
        <w:spacing w:after="40" w:before="40" w:line="280"/>
      </w:pPr>
      <w:r>
        <w:rPr>
          <w:rFonts w:ascii="Arial" w:cs="Arial" w:eastAsia="Arial" w:hAnsi="Arial"/>
          <w:color w:val="1F1F1F"/>
          <w:sz w:val="22"/>
          <w:szCs w:val="22"/>
        </w:rPr>
        <w:t xml:space="preserve">Se incorpora Microsoft Entra External ID con federación a Google como identidad por defecto para clientes externos, manteniendo Microsoft Entra ID interno para personal CYB.</w:t>
      </w:r>
    </w:p>
    <w:p>
      <w:pPr>
        <w:pStyle w:val="ListParagraph"/>
        <w:numPr>
          <w:ilvl w:val="0"/>
          <w:numId w:val="2"/>
        </w:numPr>
        <w:spacing w:after="40" w:before="40" w:line="280"/>
      </w:pPr>
      <w:r>
        <w:rPr>
          <w:rFonts w:ascii="Arial" w:cs="Arial" w:eastAsia="Arial" w:hAnsi="Arial"/>
          <w:color w:val="1F1F1F"/>
          <w:sz w:val="22"/>
          <w:szCs w:val="22"/>
        </w:rPr>
        <w:t xml:space="preserve">Se agrega Azure Key Vault como custodio único de secretos, conexiones y referencias a certificados X.509.</w:t>
      </w:r>
    </w:p>
    <w:p>
      <w:pPr>
        <w:pStyle w:val="ListParagraph"/>
        <w:numPr>
          <w:ilvl w:val="0"/>
          <w:numId w:val="2"/>
        </w:numPr>
        <w:spacing w:after="40" w:before="40" w:line="280"/>
      </w:pPr>
      <w:r>
        <w:rPr>
          <w:rFonts w:ascii="Arial" w:cs="Arial" w:eastAsia="Arial" w:hAnsi="Arial"/>
          <w:color w:val="1F1F1F"/>
          <w:sz w:val="22"/>
          <w:szCs w:val="22"/>
        </w:rPr>
        <w:t xml:space="preserve">Se detalla Azure IoT Hub Device Provisioning Service (DPS) con grupo de inscripción por X.509 y CA propia, lo cual estandariza la incorporación masiva de gateways.</w:t>
      </w:r>
    </w:p>
    <w:p>
      <w:pPr>
        <w:pStyle w:val="ListParagraph"/>
        <w:numPr>
          <w:ilvl w:val="0"/>
          <w:numId w:val="2"/>
        </w:numPr>
        <w:spacing w:after="40" w:before="40" w:line="280"/>
      </w:pPr>
      <w:r>
        <w:rPr>
          <w:rFonts w:ascii="Arial" w:cs="Arial" w:eastAsia="Arial" w:hAnsi="Arial"/>
          <w:color w:val="1F1F1F"/>
          <w:sz w:val="22"/>
          <w:szCs w:val="22"/>
        </w:rPr>
        <w:t xml:space="preserve">Se publica el modelo de base de datos completo: 7 contenedores en Cosmos DB con clave de partición, políticas de TTL, índices y campos obligatorios.</w:t>
      </w:r>
    </w:p>
    <w:p>
      <w:pPr>
        <w:pStyle w:val="ListParagraph"/>
        <w:numPr>
          <w:ilvl w:val="0"/>
          <w:numId w:val="2"/>
        </w:numPr>
        <w:spacing w:after="40" w:before="40" w:line="280"/>
      </w:pPr>
      <w:r>
        <w:rPr>
          <w:rFonts w:ascii="Arial" w:cs="Arial" w:eastAsia="Arial" w:hAnsi="Arial"/>
          <w:color w:val="1F1F1F"/>
          <w:sz w:val="22"/>
          <w:szCs w:val="22"/>
        </w:rPr>
        <w:t xml:space="preserve">Se agrega política de tiering en Blob Storage (Hot 30 días, Cool 90 días, Cold/Archive hasta 3 años) para reducir costo de retención normativa.</w:t>
      </w:r>
    </w:p>
    <w:p>
      <w:pPr>
        <w:pStyle w:val="ListParagraph"/>
        <w:numPr>
          <w:ilvl w:val="0"/>
          <w:numId w:val="2"/>
        </w:numPr>
        <w:spacing w:after="40" w:before="40" w:line="280"/>
      </w:pPr>
      <w:r>
        <w:rPr>
          <w:rFonts w:ascii="Arial" w:cs="Arial" w:eastAsia="Arial" w:hAnsi="Arial"/>
          <w:color w:val="1F1F1F"/>
          <w:sz w:val="22"/>
          <w:szCs w:val="22"/>
        </w:rPr>
        <w:t xml:space="preserve">Se reemplaza Static Web Apps Free por Standard cuando se habilite identidad federada con dominios personalizados (telemetrias.com / aquasyncpro.com).</w:t>
      </w:r>
    </w:p>
    <w:p>
      <w:pPr>
        <w:pStyle w:val="Heading2"/>
        <w:spacing w:after="120" w:before="280"/>
      </w:pPr>
      <w:r>
        <w:rPr>
          <w:rFonts w:ascii="Arial" w:cs="Arial" w:eastAsia="Arial" w:hAnsi="Arial"/>
          <w:b/>
          <w:bCs/>
          <w:color w:val="0E7C86"/>
          <w:sz w:val="28"/>
          <w:szCs w:val="28"/>
        </w:rPr>
        <w:t xml:space="preserve">1.2 Estimación de costo mensual del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400"/>
        <w:gridCol w:w="1760"/>
      </w:tblGrid>
      <w:tr>
        <w:trPr>
          <w:tblHeader/>
        </w:trPr>
        <w:tc>
          <w:tcPr>
            <w:tcW w:type="dxa" w:w="30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Componente</w:t>
            </w:r>
          </w:p>
        </w:tc>
        <w:tc>
          <w:tcPr>
            <w:tcW w:type="dxa" w:w="22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SKU / Tier</w:t>
            </w:r>
          </w:p>
        </w:tc>
        <w:tc>
          <w:tcPr>
            <w:tcW w:type="dxa" w:w="24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Supuesto de uso</w:t>
            </w:r>
          </w:p>
        </w:tc>
        <w:tc>
          <w:tcPr>
            <w:tcW w:type="dxa" w:w="17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Costo mensual estimado (USD)</w:t>
            </w:r>
          </w:p>
        </w:tc>
      </w:tr>
      <w:tr>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Azure IoT Hub</w:t>
            </w:r>
          </w:p>
        </w:tc>
        <w:tc>
          <w:tcPr>
            <w:tcW w:type="dxa" w:w="2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S1 (1 unidad)</w:t>
            </w:r>
          </w:p>
        </w:tc>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Hasta 400.000 mensajes/día, 10 sitios y 30 gateways</w:t>
            </w:r>
          </w:p>
        </w:tc>
        <w:tc>
          <w:tcPr>
            <w:tcW w:type="dxa" w:w="17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25 — 30</w:t>
            </w:r>
          </w:p>
        </w:tc>
      </w:tr>
      <w:tr>
        <w:tc>
          <w:tcPr>
            <w:tcW w:type="dxa" w:w="3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Device Provisioning Service</w:t>
            </w:r>
          </w:p>
        </w:tc>
        <w:tc>
          <w:tcPr>
            <w:tcW w:type="dxa" w:w="2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Estándar</w:t>
            </w:r>
          </w:p>
        </w:tc>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Aprovisionamiento puntual</w:t>
            </w:r>
          </w:p>
        </w:tc>
        <w:tc>
          <w:tcPr>
            <w:tcW w:type="dxa" w:w="17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0,1 / 1.000 ops</w:t>
            </w:r>
          </w:p>
        </w:tc>
      </w:tr>
      <w:tr>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Service Bus</w:t>
            </w:r>
          </w:p>
        </w:tc>
        <w:tc>
          <w:tcPr>
            <w:tcW w:type="dxa" w:w="2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Basic</w:t>
            </w:r>
          </w:p>
        </w:tc>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Cola de comandos con TTL 60 s</w:t>
            </w:r>
          </w:p>
        </w:tc>
        <w:tc>
          <w:tcPr>
            <w:tcW w:type="dxa" w:w="17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0,05 por millón de ops</w:t>
            </w:r>
          </w:p>
        </w:tc>
      </w:tr>
      <w:tr>
        <w:tc>
          <w:tcPr>
            <w:tcW w:type="dxa" w:w="3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Azure Functions</w:t>
            </w:r>
          </w:p>
        </w:tc>
        <w:tc>
          <w:tcPr>
            <w:tcW w:type="dxa" w:w="2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Consumption</w:t>
            </w:r>
          </w:p>
        </w:tc>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Ingesta + worker + reportes</w:t>
            </w:r>
          </w:p>
        </w:tc>
        <w:tc>
          <w:tcPr>
            <w:tcW w:type="dxa" w:w="17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5 — 15</w:t>
            </w:r>
          </w:p>
        </w:tc>
      </w:tr>
      <w:tr>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Cosmos DB</w:t>
            </w:r>
          </w:p>
        </w:tc>
        <w:tc>
          <w:tcPr>
            <w:tcW w:type="dxa" w:w="2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Serverless</w:t>
            </w:r>
          </w:p>
        </w:tc>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&lt;100 GB, ráfagas bajas</w:t>
            </w:r>
          </w:p>
        </w:tc>
        <w:tc>
          <w:tcPr>
            <w:tcW w:type="dxa" w:w="17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10 — 25</w:t>
            </w:r>
          </w:p>
        </w:tc>
      </w:tr>
      <w:tr>
        <w:tc>
          <w:tcPr>
            <w:tcW w:type="dxa" w:w="3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Blob Storage</w:t>
            </w:r>
          </w:p>
        </w:tc>
        <w:tc>
          <w:tcPr>
            <w:tcW w:type="dxa" w:w="2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RA-GRS estándar + tiering</w:t>
            </w:r>
          </w:p>
        </w:tc>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Histórico JSONL + crudos</w:t>
            </w:r>
          </w:p>
        </w:tc>
        <w:tc>
          <w:tcPr>
            <w:tcW w:type="dxa" w:w="17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5 — 12</w:t>
            </w:r>
          </w:p>
        </w:tc>
      </w:tr>
      <w:tr>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Static Web Apps</w:t>
            </w:r>
          </w:p>
        </w:tc>
        <w:tc>
          <w:tcPr>
            <w:tcW w:type="dxa" w:w="2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Standard</w:t>
            </w:r>
          </w:p>
        </w:tc>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Identidad federada + dominio propio</w:t>
            </w:r>
          </w:p>
        </w:tc>
        <w:tc>
          <w:tcPr>
            <w:tcW w:type="dxa" w:w="17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9</w:t>
            </w:r>
          </w:p>
        </w:tc>
      </w:tr>
      <w:tr>
        <w:tc>
          <w:tcPr>
            <w:tcW w:type="dxa" w:w="3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Key Vault</w:t>
            </w:r>
          </w:p>
        </w:tc>
        <w:tc>
          <w:tcPr>
            <w:tcW w:type="dxa" w:w="2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Estándar</w:t>
            </w:r>
          </w:p>
        </w:tc>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Secretos + referencias a certificados</w:t>
            </w:r>
          </w:p>
        </w:tc>
        <w:tc>
          <w:tcPr>
            <w:tcW w:type="dxa" w:w="17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0,03 / 10.000 ops</w:t>
            </w:r>
          </w:p>
        </w:tc>
      </w:tr>
      <w:tr>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Entra External ID</w:t>
            </w:r>
          </w:p>
        </w:tc>
        <w:tc>
          <w:tcPr>
            <w:tcW w:type="dxa" w:w="2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MAU pricing</w:t>
            </w:r>
          </w:p>
        </w:tc>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&lt;50.000 MAU primer año (gratis hasta 50K)</w:t>
            </w:r>
          </w:p>
        </w:tc>
        <w:tc>
          <w:tcPr>
            <w:tcW w:type="dxa" w:w="17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0</w:t>
            </w:r>
          </w:p>
        </w:tc>
      </w:tr>
      <w:tr>
        <w:tc>
          <w:tcPr>
            <w:tcW w:type="dxa" w:w="3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Log Analytics</w:t>
            </w:r>
          </w:p>
        </w:tc>
        <w:tc>
          <w:tcPr>
            <w:tcW w:type="dxa" w:w="2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Pay-as-you-go</w:t>
            </w:r>
          </w:p>
        </w:tc>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Retención 30 días, ~1 GB/día</w:t>
            </w:r>
          </w:p>
        </w:tc>
        <w:tc>
          <w:tcPr>
            <w:tcW w:type="dxa" w:w="17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5 — 8</w:t>
            </w:r>
          </w:p>
        </w:tc>
      </w:tr>
      <w:tr>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Total estimado</w:t>
            </w:r>
          </w:p>
        </w:tc>
        <w:tc>
          <w:tcPr>
            <w:tcW w:type="dxa" w:w="2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w:t>
            </w:r>
          </w:p>
        </w:tc>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Operación normal go-live</w:t>
            </w:r>
          </w:p>
        </w:tc>
        <w:tc>
          <w:tcPr>
            <w:tcW w:type="dxa" w:w="17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60 — 105</w:t>
            </w:r>
          </w:p>
        </w:tc>
      </w:tr>
    </w:tbl>
    <w:p>
      <w:pPr>
        <w:spacing w:after="60" w:before="60" w:line="300"/>
        <w:jc w:val="both"/>
      </w:pPr>
      <w:r>
        <w:rPr>
          <w:rFonts w:ascii="Arial" w:cs="Arial" w:eastAsia="Arial" w:hAnsi="Arial"/>
          <w:b w:val="false"/>
          <w:bCs w:val="false"/>
          <w:i w:val="false"/>
          <w:iCs w:val="false"/>
          <w:color w:val="1F1F1F"/>
          <w:sz w:val="22"/>
          <w:szCs w:val="22"/>
        </w:rPr>
        <w:t xml:space="preserve">Los valores anteriores corresponden a precios de lista de la región East US 2 (zona de menor latencia desde Chile en Azure pública), sin descuentos por compromiso ni Azure Hybrid Benefit. La conversión a CLP se calcula al tipo de cambio de referencia 1 USD = 1.000 CLP utilizado por CYB para presupuestos. El costo no incluye Starlink Business (a contratar directamente por el cliente final), licencias Schneider, ni la energía/comunicaciones del sitio.</w:t>
      </w:r>
    </w:p>
    <w:p>
      <w:r>
        <w:br w:type="page"/>
      </w:r>
    </w:p>
    <w:p>
      <w:pPr>
        <w:pStyle w:val="Heading1"/>
        <w:pBdr>
          <w:bottom w:val="single" w:color="0B2A4A" w:sz="12" w:space="4"/>
        </w:pBdr>
        <w:spacing w:after="180" w:before="360"/>
      </w:pPr>
      <w:r>
        <w:rPr>
          <w:rFonts w:ascii="Arial" w:cs="Arial" w:eastAsia="Arial" w:hAnsi="Arial"/>
          <w:b/>
          <w:bCs/>
          <w:color w:val="0B2A4A"/>
          <w:sz w:val="32"/>
          <w:szCs w:val="32"/>
        </w:rPr>
        <w:t xml:space="preserve">2. Arquitectura Azure mejorada</w:t>
      </w:r>
    </w:p>
    <w:p>
      <w:pPr>
        <w:spacing w:after="60" w:before="60" w:line="300"/>
        <w:jc w:val="both"/>
      </w:pPr>
      <w:r>
        <w:rPr>
          <w:rFonts w:ascii="Arial" w:cs="Arial" w:eastAsia="Arial" w:hAnsi="Arial"/>
          <w:b w:val="false"/>
          <w:bCs w:val="false"/>
          <w:i w:val="false"/>
          <w:iCs w:val="false"/>
          <w:color w:val="1F1F1F"/>
          <w:sz w:val="22"/>
          <w:szCs w:val="22"/>
        </w:rPr>
        <w:t xml:space="preserve">La arquitectura Azure de AquaSync Pro se organiza en cinco planos: ingesta IoT, procesamiento e integración, datos y retención, presentación y APIs, y plano de seguridad e identidad. Cada plano se dimensiona para soportar el despliegue inicial (10 sitios SSR) y para escalar de manera incremental sin reescritura del código de aplicación.</w:t>
      </w:r>
    </w:p>
    <w:p>
      <w:pPr>
        <w:pStyle w:val="Heading2"/>
        <w:spacing w:after="120" w:before="280"/>
      </w:pPr>
      <w:r>
        <w:rPr>
          <w:rFonts w:ascii="Arial" w:cs="Arial" w:eastAsia="Arial" w:hAnsi="Arial"/>
          <w:b/>
          <w:bCs/>
          <w:color w:val="0E7C86"/>
          <w:sz w:val="28"/>
          <w:szCs w:val="28"/>
        </w:rPr>
        <w:t xml:space="preserve">2.1 Vista de plano por plano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Plano</w:t>
            </w:r>
          </w:p>
        </w:tc>
        <w:tc>
          <w:tcPr>
            <w:tcW w:type="dxa" w:w="32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Servicios Azure</w:t>
            </w:r>
          </w:p>
        </w:tc>
        <w:tc>
          <w:tcPr>
            <w:tcW w:type="dxa" w:w="42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Responsabilidad principal</w:t>
            </w:r>
          </w:p>
        </w:tc>
      </w:tr>
      <w:tr>
        <w:tc>
          <w:tcPr>
            <w:tcW w:type="dxa" w:w="1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Ingesta IoT</w:t>
            </w:r>
          </w:p>
        </w:tc>
        <w:tc>
          <w:tcPr>
            <w:tcW w:type="dxa" w:w="3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IoT Hub S1, Device Provisioning Service, IoT Edge (opcional fase 2)</w:t>
            </w:r>
          </w:p>
        </w:tc>
        <w:tc>
          <w:tcPr>
            <w:tcW w:type="dxa" w:w="42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Recepción autenticada de telemetría desde gateways en sitios SSR; aprovisionamiento masivo por X.509 y enrutamiento por tipo de mensaje.</w:t>
            </w:r>
          </w:p>
        </w:tc>
      </w:tr>
      <w:tr>
        <w:tc>
          <w:tcPr>
            <w:tcW w:type="dxa" w:w="19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Procesamiento</w:t>
            </w:r>
          </w:p>
        </w:tc>
        <w:tc>
          <w:tcPr>
            <w:tcW w:type="dxa" w:w="3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Azure Functions (Consumption), Service Bus Basic, Event Grid</w:t>
            </w:r>
          </w:p>
        </w:tc>
        <w:tc>
          <w:tcPr>
            <w:tcW w:type="dxa" w:w="42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Transformación, normalización a JSONL, motor de reglas de alarmas, ejecución de comandos remotos con TTL y auditoría.</w:t>
            </w:r>
          </w:p>
        </w:tc>
      </w:tr>
      <w:tr>
        <w:tc>
          <w:tcPr>
            <w:tcW w:type="dxa" w:w="1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Datos y retención</w:t>
            </w:r>
          </w:p>
        </w:tc>
        <w:tc>
          <w:tcPr>
            <w:tcW w:type="dxa" w:w="3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Cosmos DB (serverless), Blob Storage RA-GRS, Azure Data Explorer (fase 3)</w:t>
            </w:r>
          </w:p>
        </w:tc>
        <w:tc>
          <w:tcPr>
            <w:tcW w:type="dxa" w:w="42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Persistencia de telemetría reciente, estado actual, comandos, auditoría, configuración, calidad y energía; histórico normalizado y crudo en Blob.</w:t>
            </w:r>
          </w:p>
        </w:tc>
      </w:tr>
      <w:tr>
        <w:tc>
          <w:tcPr>
            <w:tcW w:type="dxa" w:w="19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Presentación</w:t>
            </w:r>
          </w:p>
        </w:tc>
        <w:tc>
          <w:tcPr>
            <w:tcW w:type="dxa" w:w="3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Static Web Apps Standard, Azure Functions HTTP API, Azure Maps (fase 2)</w:t>
            </w:r>
          </w:p>
        </w:tc>
        <w:tc>
          <w:tcPr>
            <w:tcW w:type="dxa" w:w="42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Portal web responsivo (telemetrias.com, aquasyncpro.com), API REST autenticada y mapas geoespaciales de sitios.</w:t>
            </w:r>
          </w:p>
        </w:tc>
      </w:tr>
      <w:tr>
        <w:tc>
          <w:tcPr>
            <w:tcW w:type="dxa" w:w="1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Identidad y seguridad</w:t>
            </w:r>
          </w:p>
        </w:tc>
        <w:tc>
          <w:tcPr>
            <w:tcW w:type="dxa" w:w="3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Microsoft Entra External ID, Microsoft Entra ID, Key Vault, Defender for IoT</w:t>
            </w:r>
          </w:p>
        </w:tc>
        <w:tc>
          <w:tcPr>
            <w:tcW w:type="dxa" w:w="42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Identidad de clientes (Google/Microsoft), identidad de personal CYB, custodia de secretos, monitoreo de amenazas IoT.</w:t>
            </w:r>
          </w:p>
        </w:tc>
      </w:tr>
    </w:tbl>
    <w:p>
      <w:pPr>
        <w:pStyle w:val="Heading2"/>
        <w:spacing w:after="120" w:before="280"/>
      </w:pPr>
      <w:r>
        <w:rPr>
          <w:rFonts w:ascii="Arial" w:cs="Arial" w:eastAsia="Arial" w:hAnsi="Arial"/>
          <w:b/>
          <w:bCs/>
          <w:color w:val="0E7C86"/>
          <w:sz w:val="28"/>
          <w:szCs w:val="28"/>
        </w:rPr>
        <w:t xml:space="preserve">2.2 Recursos Azure detallados (PoC y producción temprana)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500"/>
        <w:gridCol w:w="2860"/>
      </w:tblGrid>
      <w:tr>
        <w:trPr>
          <w:tblHeader/>
        </w:trPr>
        <w:tc>
          <w:tcPr>
            <w:tcW w:type="dxa" w:w="24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Recurso</w:t>
            </w:r>
          </w:p>
        </w:tc>
        <w:tc>
          <w:tcPr>
            <w:tcW w:type="dxa" w:w="26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Nombre lógico</w:t>
            </w:r>
          </w:p>
        </w:tc>
        <w:tc>
          <w:tcPr>
            <w:tcW w:type="dxa" w:w="15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SKU</w:t>
            </w:r>
          </w:p>
        </w:tc>
        <w:tc>
          <w:tcPr>
            <w:tcW w:type="dxa" w:w="28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Notas de dimensionamiento</w:t>
            </w:r>
          </w:p>
        </w:tc>
      </w:tr>
      <w:tr>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Resource Group</w:t>
            </w:r>
          </w:p>
        </w:tc>
        <w:tc>
          <w:tcPr>
            <w:tcW w:type="dxa" w:w="26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rg-aquasyncpro-prod-cl</w:t>
            </w:r>
          </w:p>
        </w:tc>
        <w:tc>
          <w:tcPr>
            <w:tcW w:type="dxa" w:w="1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w:t>
            </w:r>
          </w:p>
        </w:tc>
        <w:tc>
          <w:tcPr>
            <w:tcW w:type="dxa" w:w="28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Tags: env=prod, owner=cyb-chile, costcenter=aquasyncpro.</w:t>
            </w:r>
          </w:p>
        </w:tc>
      </w:tr>
      <w:tr>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IoT Hub</w:t>
            </w:r>
          </w:p>
        </w:tc>
        <w:tc>
          <w:tcPr>
            <w:tcW w:type="dxa" w:w="26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iot-aquasyncpro-prod</w:t>
            </w:r>
          </w:p>
        </w:tc>
        <w:tc>
          <w:tcPr>
            <w:tcW w:type="dxa" w:w="1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S1 x 1</w:t>
            </w:r>
          </w:p>
        </w:tc>
        <w:tc>
          <w:tcPr>
            <w:tcW w:type="dxa" w:w="28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Hasta 400 K mensajes/día. Suficiente para 30 gateways a 30 s.</w:t>
            </w:r>
          </w:p>
        </w:tc>
      </w:tr>
      <w:tr>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DPS</w:t>
            </w:r>
          </w:p>
        </w:tc>
        <w:tc>
          <w:tcPr>
            <w:tcW w:type="dxa" w:w="26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dps-aquasyncpro-prod</w:t>
            </w:r>
          </w:p>
        </w:tc>
        <w:tc>
          <w:tcPr>
            <w:tcW w:type="dxa" w:w="1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Estándar</w:t>
            </w:r>
          </w:p>
        </w:tc>
        <w:tc>
          <w:tcPr>
            <w:tcW w:type="dxa" w:w="28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Grupo de inscripción por X.509 con CA raíz CYB.</w:t>
            </w:r>
          </w:p>
        </w:tc>
      </w:tr>
      <w:tr>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Service Bus</w:t>
            </w:r>
          </w:p>
        </w:tc>
        <w:tc>
          <w:tcPr>
            <w:tcW w:type="dxa" w:w="26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sb-aquasyncpro-prod</w:t>
            </w:r>
          </w:p>
        </w:tc>
        <w:tc>
          <w:tcPr>
            <w:tcW w:type="dxa" w:w="1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Basic</w:t>
            </w:r>
          </w:p>
        </w:tc>
        <w:tc>
          <w:tcPr>
            <w:tcW w:type="dxa" w:w="28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Cola commands con TTL 60 s y dead-letter.</w:t>
            </w:r>
          </w:p>
        </w:tc>
      </w:tr>
      <w:tr>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Function App</w:t>
            </w:r>
          </w:p>
        </w:tc>
        <w:tc>
          <w:tcPr>
            <w:tcW w:type="dxa" w:w="26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func-aquasyncpro-api</w:t>
            </w:r>
          </w:p>
        </w:tc>
        <w:tc>
          <w:tcPr>
            <w:tcW w:type="dxa" w:w="1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Consumption Y1</w:t>
            </w:r>
          </w:p>
        </w:tc>
        <w:tc>
          <w:tcPr>
            <w:tcW w:type="dxa" w:w="28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API HTTP, ingesta de IoT Hub trigger, worker comandos.</w:t>
            </w:r>
          </w:p>
        </w:tc>
      </w:tr>
      <w:tr>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Cosmos DB</w:t>
            </w:r>
          </w:p>
        </w:tc>
        <w:tc>
          <w:tcPr>
            <w:tcW w:type="dxa" w:w="26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cosmos-aquasyncpro-prod</w:t>
            </w:r>
          </w:p>
        </w:tc>
        <w:tc>
          <w:tcPr>
            <w:tcW w:type="dxa" w:w="1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Serverless</w:t>
            </w:r>
          </w:p>
        </w:tc>
        <w:tc>
          <w:tcPr>
            <w:tcW w:type="dxa" w:w="28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Database aquasyncpro, 7 contenedores (sección 3).</w:t>
            </w:r>
          </w:p>
        </w:tc>
      </w:tr>
      <w:tr>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Storage Account</w:t>
            </w:r>
          </w:p>
        </w:tc>
        <w:tc>
          <w:tcPr>
            <w:tcW w:type="dxa" w:w="26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staquasyncpropro</w:t>
            </w:r>
          </w:p>
        </w:tc>
        <w:tc>
          <w:tcPr>
            <w:tcW w:type="dxa" w:w="1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RA-GRS</w:t>
            </w:r>
          </w:p>
        </w:tc>
        <w:tc>
          <w:tcPr>
            <w:tcW w:type="dxa" w:w="28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Containers: jsonl-history, raw-telemetry, reports, backups.</w:t>
            </w:r>
          </w:p>
        </w:tc>
      </w:tr>
      <w:tr>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Static Web App</w:t>
            </w:r>
          </w:p>
        </w:tc>
        <w:tc>
          <w:tcPr>
            <w:tcW w:type="dxa" w:w="26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swa-aquasyncpro-portal</w:t>
            </w:r>
          </w:p>
        </w:tc>
        <w:tc>
          <w:tcPr>
            <w:tcW w:type="dxa" w:w="1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Standard</w:t>
            </w:r>
          </w:p>
        </w:tc>
        <w:tc>
          <w:tcPr>
            <w:tcW w:type="dxa" w:w="28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Dominios telemetrias.com y aquasyncpro.com.</w:t>
            </w:r>
          </w:p>
        </w:tc>
      </w:tr>
      <w:tr>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Key Vault</w:t>
            </w:r>
          </w:p>
        </w:tc>
        <w:tc>
          <w:tcPr>
            <w:tcW w:type="dxa" w:w="26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kv-aquasyncpro-prod</w:t>
            </w:r>
          </w:p>
        </w:tc>
        <w:tc>
          <w:tcPr>
            <w:tcW w:type="dxa" w:w="1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Estándar</w:t>
            </w:r>
          </w:p>
        </w:tc>
        <w:tc>
          <w:tcPr>
            <w:tcW w:type="dxa" w:w="28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Secrets y references; soft-delete + purge protection ON.</w:t>
            </w:r>
          </w:p>
        </w:tc>
      </w:tr>
      <w:tr>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Entra External ID</w:t>
            </w:r>
          </w:p>
        </w:tc>
        <w:tc>
          <w:tcPr>
            <w:tcW w:type="dxa" w:w="26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tenant aquasyncpro.onmicrosoft.com</w:t>
            </w:r>
          </w:p>
        </w:tc>
        <w:tc>
          <w:tcPr>
            <w:tcW w:type="dxa" w:w="1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w:t>
            </w:r>
          </w:p>
        </w:tc>
        <w:tc>
          <w:tcPr>
            <w:tcW w:type="dxa" w:w="28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Para identidad de clientes con Google y Microsoft.</w:t>
            </w:r>
          </w:p>
        </w:tc>
      </w:tr>
      <w:tr>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Log Analytics WS</w:t>
            </w:r>
          </w:p>
        </w:tc>
        <w:tc>
          <w:tcPr>
            <w:tcW w:type="dxa" w:w="26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log-aquasyncpro-prod</w:t>
            </w:r>
          </w:p>
        </w:tc>
        <w:tc>
          <w:tcPr>
            <w:tcW w:type="dxa" w:w="1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Pay-as-you-go</w:t>
            </w:r>
          </w:p>
        </w:tc>
        <w:tc>
          <w:tcPr>
            <w:tcW w:type="dxa" w:w="28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Retención 30 días; export selectivo a Blob.</w:t>
            </w:r>
          </w:p>
        </w:tc>
      </w:tr>
      <w:tr>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App Insights</w:t>
            </w:r>
          </w:p>
        </w:tc>
        <w:tc>
          <w:tcPr>
            <w:tcW w:type="dxa" w:w="26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appi-aquasyncpro-prod</w:t>
            </w:r>
          </w:p>
        </w:tc>
        <w:tc>
          <w:tcPr>
            <w:tcW w:type="dxa" w:w="1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Workspace-based</w:t>
            </w:r>
          </w:p>
        </w:tc>
        <w:tc>
          <w:tcPr>
            <w:tcW w:type="dxa" w:w="28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Habilitar solo en producción, no en PoC.</w:t>
            </w:r>
          </w:p>
        </w:tc>
      </w:tr>
    </w:tbl>
    <w:p>
      <w:pPr>
        <w:pStyle w:val="Heading2"/>
        <w:spacing w:after="120" w:before="280"/>
      </w:pPr>
      <w:r>
        <w:rPr>
          <w:rFonts w:ascii="Arial" w:cs="Arial" w:eastAsia="Arial" w:hAnsi="Arial"/>
          <w:b/>
          <w:bCs/>
          <w:color w:val="0E7C86"/>
          <w:sz w:val="28"/>
          <w:szCs w:val="28"/>
        </w:rPr>
        <w:t xml:space="preserve">2.3 Convenciones de nombrado y etiquetas</w:t>
      </w:r>
    </w:p>
    <w:p>
      <w:pPr>
        <w:spacing w:after="60" w:before="60" w:line="300"/>
        <w:jc w:val="both"/>
      </w:pPr>
      <w:r>
        <w:rPr>
          <w:rFonts w:ascii="Arial" w:cs="Arial" w:eastAsia="Arial" w:hAnsi="Arial"/>
          <w:b w:val="false"/>
          <w:bCs w:val="false"/>
          <w:i w:val="false"/>
          <w:iCs w:val="false"/>
          <w:color w:val="1F1F1F"/>
          <w:sz w:val="22"/>
          <w:szCs w:val="22"/>
        </w:rPr>
        <w:t xml:space="preserve">Se aplica el patrón &lt;tipo&gt;-&lt;producto&gt;-&lt;entorno&gt;[-&lt;sufijo&gt;] usando minúsculas, sin tildes y sin caracteres especiales. Los entornos definidos son dev, qa y prod. Las etiquetas obligatorias en todo recurso son: env, owner, costcenter, app, criticality. Esta convención permite filtrar costos en Cost Management y aplicar políticas por etiqueta.</w:t>
      </w:r>
    </w:p>
    <w:p>
      <w:pPr>
        <w:pStyle w:val="Heading2"/>
        <w:spacing w:after="120" w:before="280"/>
      </w:pPr>
      <w:r>
        <w:rPr>
          <w:rFonts w:ascii="Arial" w:cs="Arial" w:eastAsia="Arial" w:hAnsi="Arial"/>
          <w:b/>
          <w:bCs/>
          <w:color w:val="0E7C86"/>
          <w:sz w:val="28"/>
          <w:szCs w:val="28"/>
        </w:rPr>
        <w:t xml:space="preserve">2.4 Roadmap de niveles Azure (LOW → MID →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Nivel</w:t>
            </w:r>
          </w:p>
        </w:tc>
        <w:tc>
          <w:tcPr>
            <w:tcW w:type="dxa" w:w="30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Cuándo aplicar</w:t>
            </w:r>
          </w:p>
        </w:tc>
        <w:tc>
          <w:tcPr>
            <w:tcW w:type="dxa" w:w="46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Cambios sobre el nivel anterior</w:t>
            </w:r>
          </w:p>
        </w:tc>
      </w:tr>
      <w:tr>
        <w:tc>
          <w:tcPr>
            <w:tcW w:type="dxa" w:w="17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LOW+ (go-live)</w:t>
            </w:r>
          </w:p>
        </w:tc>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1 a 30 gateways, 1 a 5 tenants iniciales</w:t>
            </w:r>
          </w:p>
        </w:tc>
        <w:tc>
          <w:tcPr>
            <w:tcW w:type="dxa" w:w="46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IoT Hub S1, Service Bus Basic, Functions Consumption, Cosmos serverless, Blob estándar, SWA Standard, Entra External ID, Key Vault, Log Analytics.</w:t>
            </w:r>
          </w:p>
        </w:tc>
      </w:tr>
      <w:tr>
        <w:tc>
          <w:tcPr>
            <w:tcW w:type="dxa" w:w="17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MID (producción temprana)</w:t>
            </w:r>
          </w:p>
        </w:tc>
        <w:tc>
          <w:tcPr>
            <w:tcW w:type="dxa" w:w="3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30 a 200 gateways, 6 a 20 tenants, primeros contratos</w:t>
            </w:r>
          </w:p>
        </w:tc>
        <w:tc>
          <w:tcPr>
            <w:tcW w:type="dxa" w:w="46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Subir IoT Hub a S2, migrar Functions a Container Apps con escalado por KEDA, Service Bus a Standard con tópicos y suscripciones por tenant, App Insights ON, Azure Maps habilitado, alertas operacionales.</w:t>
            </w:r>
          </w:p>
        </w:tc>
      </w:tr>
      <w:tr>
        <w:tc>
          <w:tcPr>
            <w:tcW w:type="dxa" w:w="17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HIGH (industrial)</w:t>
            </w:r>
          </w:p>
        </w:tc>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+200 gateways, requisitos de HA y compliance estricto</w:t>
            </w:r>
          </w:p>
        </w:tc>
        <w:tc>
          <w:tcPr>
            <w:tcW w:type="dxa" w:w="46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IoT Hub S2/S3 con DPS multi-región, Service Bus Premium, Cosmos provisionado con réplicas regionales, Azure Data Explorer para analítica histórica, Front Door + WAF, API Management, Defender for IoT, retención Log Analytics 12 meses.</w:t>
            </w:r>
          </w:p>
        </w:tc>
      </w:tr>
    </w:tbl>
    <w:p>
      <w:pPr>
        <w:pStyle w:val="Heading2"/>
        <w:spacing w:after="120" w:before="280"/>
      </w:pPr>
      <w:r>
        <w:rPr>
          <w:rFonts w:ascii="Arial" w:cs="Arial" w:eastAsia="Arial" w:hAnsi="Arial"/>
          <w:b/>
          <w:bCs/>
          <w:color w:val="0E7C86"/>
          <w:sz w:val="28"/>
          <w:szCs w:val="28"/>
        </w:rPr>
        <w:t xml:space="preserve">2.5 Decisiones de arquitectura registradas (ADR)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ID</w:t>
            </w:r>
          </w:p>
        </w:tc>
        <w:tc>
          <w:tcPr>
            <w:tcW w:type="dxa" w:w="35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Decisión</w:t>
            </w:r>
          </w:p>
        </w:tc>
        <w:tc>
          <w:tcPr>
            <w:tcW w:type="dxa" w:w="49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Justificación</w:t>
            </w:r>
          </w:p>
        </w:tc>
      </w:tr>
      <w:tr>
        <w:tc>
          <w:tcPr>
            <w:tcW w:type="dxa" w:w="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ADR-01</w:t>
            </w:r>
          </w:p>
        </w:tc>
        <w:tc>
          <w:tcPr>
            <w:tcW w:type="dxa" w:w="3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Cosmos DB en modo serverless para PoC y go-live</w:t>
            </w:r>
          </w:p>
        </w:tc>
        <w:tc>
          <w:tcPr>
            <w:tcW w:type="dxa" w:w="49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Tráfico bajo y en ráfagas, costo proporcional al uso, sin compromisos de RU. Migrar a provisionado solo si el consumo supera 1 millón de RU diarios sostenidos.</w:t>
            </w:r>
          </w:p>
        </w:tc>
      </w:tr>
      <w:tr>
        <w:tc>
          <w:tcPr>
            <w:tcW w:type="dxa" w:w="9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ADR-02</w:t>
            </w:r>
          </w:p>
        </w:tc>
        <w:tc>
          <w:tcPr>
            <w:tcW w:type="dxa" w:w="3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Service Bus Basic en lugar de Standard para PoC</w:t>
            </w:r>
          </w:p>
        </w:tc>
        <w:tc>
          <w:tcPr>
            <w:tcW w:type="dxa" w:w="49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Solo se requiere una cola para comandos con TTL 60 s y dead-letter. Standard se justifica al introducir tópicos por tenant en MID.</w:t>
            </w:r>
          </w:p>
        </w:tc>
      </w:tr>
      <w:tr>
        <w:tc>
          <w:tcPr>
            <w:tcW w:type="dxa" w:w="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ADR-03</w:t>
            </w:r>
          </w:p>
        </w:tc>
        <w:tc>
          <w:tcPr>
            <w:tcW w:type="dxa" w:w="3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Static Web Apps Standard en lugar de App Service</w:t>
            </w:r>
          </w:p>
        </w:tc>
        <w:tc>
          <w:tcPr>
            <w:tcW w:type="dxa" w:w="49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Frontend SPA puro consume API por HTTPS; SWA entrega CDN, dominios personalizados, certificados gratuitos y Easy Auth integrado con Entra External ID.</w:t>
            </w:r>
          </w:p>
        </w:tc>
      </w:tr>
      <w:tr>
        <w:tc>
          <w:tcPr>
            <w:tcW w:type="dxa" w:w="9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ADR-04</w:t>
            </w:r>
          </w:p>
        </w:tc>
        <w:tc>
          <w:tcPr>
            <w:tcW w:type="dxa" w:w="3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Microsoft Entra External ID en lugar de Auth0/Firebase</w:t>
            </w:r>
          </w:p>
        </w:tc>
        <w:tc>
          <w:tcPr>
            <w:tcW w:type="dxa" w:w="49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Mantener identidad dentro del tenant Azure, integrar con Key Vault y políticas condicionales, federar Google sin coste adicional hasta 50.000 MAU mensuales.</w:t>
            </w:r>
          </w:p>
        </w:tc>
      </w:tr>
      <w:tr>
        <w:tc>
          <w:tcPr>
            <w:tcW w:type="dxa" w:w="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ADR-05</w:t>
            </w:r>
          </w:p>
        </w:tc>
        <w:tc>
          <w:tcPr>
            <w:tcW w:type="dxa" w:w="3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X.509 con CA propia, no claves simétricas</w:t>
            </w:r>
          </w:p>
        </w:tc>
        <w:tc>
          <w:tcPr>
            <w:tcW w:type="dxa" w:w="49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Cumplimiento ISA/IEC-62443 SL-2, rotación independiente por gateway, revocación granular sin reaprovisionar el dispositivo.</w:t>
            </w:r>
          </w:p>
        </w:tc>
      </w:tr>
      <w:tr>
        <w:tc>
          <w:tcPr>
            <w:tcW w:type="dxa" w:w="9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ADR-06</w:t>
            </w:r>
          </w:p>
        </w:tc>
        <w:tc>
          <w:tcPr>
            <w:tcW w:type="dxa" w:w="3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Blob Storage con tiering automático Hot/Cool/Archive</w:t>
            </w:r>
          </w:p>
        </w:tc>
        <w:tc>
          <w:tcPr>
            <w:tcW w:type="dxa" w:w="49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Histórico normativo de 3 años manteniendo costo bajo. Hot para 30 días, Cool 30–90, Archive 90+ con rehidratación bajo demanda para auditorías.</w:t>
            </w:r>
          </w:p>
        </w:tc>
      </w:tr>
    </w:tbl>
    <w:p>
      <w:r>
        <w:br w:type="page"/>
      </w:r>
    </w:p>
    <w:p>
      <w:pPr>
        <w:pStyle w:val="Heading1"/>
        <w:pBdr>
          <w:bottom w:val="single" w:color="0B2A4A" w:sz="12" w:space="4"/>
        </w:pBdr>
        <w:spacing w:after="180" w:before="360"/>
      </w:pPr>
      <w:r>
        <w:rPr>
          <w:rFonts w:ascii="Arial" w:cs="Arial" w:eastAsia="Arial" w:hAnsi="Arial"/>
          <w:b/>
          <w:bCs/>
          <w:color w:val="0B2A4A"/>
          <w:sz w:val="32"/>
          <w:szCs w:val="32"/>
        </w:rPr>
        <w:t xml:space="preserve">3. Modelo de base de datos</w:t>
      </w:r>
    </w:p>
    <w:p>
      <w:pPr>
        <w:spacing w:after="60" w:before="60" w:line="300"/>
        <w:jc w:val="both"/>
      </w:pPr>
      <w:r>
        <w:rPr>
          <w:rFonts w:ascii="Arial" w:cs="Arial" w:eastAsia="Arial" w:hAnsi="Arial"/>
          <w:b w:val="false"/>
          <w:bCs w:val="false"/>
          <w:i w:val="false"/>
          <w:iCs w:val="false"/>
          <w:color w:val="1F1F1F"/>
          <w:sz w:val="22"/>
          <w:szCs w:val="22"/>
        </w:rPr>
        <w:t xml:space="preserve">La capa de datos de AquaSync Pro combina Cosmos DB para datos calientes (estado actual, telemetría reciente, comandos, configuración y auditoría) con Blob Storage para histórico normalizado de bajo costo y crudos diagnósticos. La elección obedece a tres criterios: la mayoría de las consultas operativas miran el último valor o las últimas horas (Cosmos), el volumen masivo está en histórico de tres años (Blob JSONL) y la auditoría exige integridad por evento (Cosmos con TTL deshabilitado).</w:t>
      </w:r>
    </w:p>
    <w:p>
      <w:pPr>
        <w:pStyle w:val="Heading2"/>
        <w:spacing w:after="120" w:before="280"/>
      </w:pPr>
      <w:r>
        <w:rPr>
          <w:rFonts w:ascii="Arial" w:cs="Arial" w:eastAsia="Arial" w:hAnsi="Arial"/>
          <w:b/>
          <w:bCs/>
          <w:color w:val="0E7C86"/>
          <w:sz w:val="28"/>
          <w:szCs w:val="28"/>
        </w:rPr>
        <w:t xml:space="preserve">3.1 Convenciones generales</w:t>
      </w:r>
    </w:p>
    <w:p>
      <w:pPr>
        <w:pStyle w:val="ListParagraph"/>
        <w:numPr>
          <w:ilvl w:val="0"/>
          <w:numId w:val="2"/>
        </w:numPr>
        <w:spacing w:after="40" w:before="40" w:line="280"/>
      </w:pPr>
      <w:r>
        <w:rPr>
          <w:rFonts w:ascii="Arial" w:cs="Arial" w:eastAsia="Arial" w:hAnsi="Arial"/>
          <w:color w:val="1F1F1F"/>
          <w:sz w:val="22"/>
          <w:szCs w:val="22"/>
        </w:rPr>
        <w:t xml:space="preserve">Cuenta de Cosmos DB: cosmos-aquasyncpro-prod en modo serverless. Una sola base de datos llamada aquasyncpro.</w:t>
      </w:r>
    </w:p>
    <w:p>
      <w:pPr>
        <w:pStyle w:val="ListParagraph"/>
        <w:numPr>
          <w:ilvl w:val="0"/>
          <w:numId w:val="2"/>
        </w:numPr>
        <w:spacing w:after="40" w:before="40" w:line="280"/>
      </w:pPr>
      <w:r>
        <w:rPr>
          <w:rFonts w:ascii="Arial" w:cs="Arial" w:eastAsia="Arial" w:hAnsi="Arial"/>
          <w:color w:val="1F1F1F"/>
          <w:sz w:val="22"/>
          <w:szCs w:val="22"/>
        </w:rPr>
        <w:t xml:space="preserve">Identificadores: tenantId, siteId, equipmentId y deviceId siguen el formato kebab-case con prefijo de tenant. Ejemplo: ssr-pupuya-navidad/site-001/eq-bomba-01/gw-001.</w:t>
      </w:r>
    </w:p>
    <w:p>
      <w:pPr>
        <w:pStyle w:val="ListParagraph"/>
        <w:numPr>
          <w:ilvl w:val="0"/>
          <w:numId w:val="2"/>
        </w:numPr>
        <w:spacing w:after="40" w:before="40" w:line="280"/>
      </w:pPr>
      <w:r>
        <w:rPr>
          <w:rFonts w:ascii="Arial" w:cs="Arial" w:eastAsia="Arial" w:hAnsi="Arial"/>
          <w:color w:val="1F1F1F"/>
          <w:sz w:val="22"/>
          <w:szCs w:val="22"/>
        </w:rPr>
        <w:t xml:space="preserve">Todos los documentos incluyen los campos obligatorios id, _ts (epoch del servidor), tenantId, schemaVersion.</w:t>
      </w:r>
    </w:p>
    <w:p>
      <w:pPr>
        <w:pStyle w:val="ListParagraph"/>
        <w:numPr>
          <w:ilvl w:val="0"/>
          <w:numId w:val="2"/>
        </w:numPr>
        <w:spacing w:after="40" w:before="40" w:line="280"/>
      </w:pPr>
      <w:r>
        <w:rPr>
          <w:rFonts w:ascii="Arial" w:cs="Arial" w:eastAsia="Arial" w:hAnsi="Arial"/>
          <w:color w:val="1F1F1F"/>
          <w:sz w:val="22"/>
          <w:szCs w:val="22"/>
        </w:rPr>
        <w:t xml:space="preserve">Las marcas de tiempo de aplicación se almacenan como UTC en formato ISO-8601 con sufijo Z (timestamp).</w:t>
      </w:r>
    </w:p>
    <w:p>
      <w:pPr>
        <w:pStyle w:val="ListParagraph"/>
        <w:numPr>
          <w:ilvl w:val="0"/>
          <w:numId w:val="2"/>
        </w:numPr>
        <w:spacing w:after="40" w:before="40" w:line="280"/>
      </w:pPr>
      <w:r>
        <w:rPr>
          <w:rFonts w:ascii="Arial" w:cs="Arial" w:eastAsia="Arial" w:hAnsi="Arial"/>
          <w:color w:val="1F1F1F"/>
          <w:sz w:val="22"/>
          <w:szCs w:val="22"/>
        </w:rPr>
        <w:t xml:space="preserve">La clave de partición se elige para distribuir cargas y mantener consultas frecuentes dentro de una sola partición lógica.</w:t>
      </w:r>
    </w:p>
    <w:p>
      <w:pPr>
        <w:pStyle w:val="ListParagraph"/>
        <w:numPr>
          <w:ilvl w:val="0"/>
          <w:numId w:val="2"/>
        </w:numPr>
        <w:spacing w:after="40" w:before="40" w:line="280"/>
      </w:pPr>
      <w:r>
        <w:rPr>
          <w:rFonts w:ascii="Arial" w:cs="Arial" w:eastAsia="Arial" w:hAnsi="Arial"/>
          <w:color w:val="1F1F1F"/>
          <w:sz w:val="22"/>
          <w:szCs w:val="22"/>
        </w:rPr>
        <w:t xml:space="preserve">La política de indexado por contenedor solo incluye los campos efectivamente consultados, para reducir el RU/s consumido.</w:t>
      </w:r>
    </w:p>
    <w:p>
      <w:pPr>
        <w:pStyle w:val="Heading2"/>
        <w:spacing w:after="120" w:before="280"/>
      </w:pPr>
      <w:r>
        <w:rPr>
          <w:rFonts w:ascii="Arial" w:cs="Arial" w:eastAsia="Arial" w:hAnsi="Arial"/>
          <w:b/>
          <w:bCs/>
          <w:color w:val="0E7C86"/>
          <w:sz w:val="28"/>
          <w:szCs w:val="28"/>
        </w:rPr>
        <w:t xml:space="preserve">3.2 Contenedores Cosmos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100"/>
        <w:gridCol w:w="4360"/>
      </w:tblGrid>
      <w:tr>
        <w:trPr>
          <w:tblHeader/>
        </w:trPr>
        <w:tc>
          <w:tcPr>
            <w:tcW w:type="dxa" w:w="19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Contenedor</w:t>
            </w:r>
          </w:p>
        </w:tc>
        <w:tc>
          <w:tcPr>
            <w:tcW w:type="dxa" w:w="20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Clave de partición</w:t>
            </w:r>
          </w:p>
        </w:tc>
        <w:tc>
          <w:tcPr>
            <w:tcW w:type="dxa" w:w="11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TTL</w:t>
            </w:r>
          </w:p>
        </w:tc>
        <w:tc>
          <w:tcPr>
            <w:tcW w:type="dxa" w:w="43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Propósito</w:t>
            </w:r>
          </w:p>
        </w:tc>
      </w:tr>
      <w:tr>
        <w:tc>
          <w:tcPr>
            <w:tcW w:type="dxa" w:w="1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telemetry</w:t>
            </w:r>
          </w:p>
        </w:tc>
        <w:tc>
          <w:tcPr>
            <w:tcW w:type="dxa" w:w="2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/tenantId</w:t>
            </w:r>
          </w:p>
        </w:tc>
        <w:tc>
          <w:tcPr>
            <w:tcW w:type="dxa" w:w="11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90 días</w:t>
            </w:r>
          </w:p>
        </w:tc>
        <w:tc>
          <w:tcPr>
            <w:tcW w:type="dxa" w:w="43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Telemetría reciente para dashboard y motor de reglas. Se descarga a Blob JSONL antes del vencimiento.</w:t>
            </w:r>
          </w:p>
        </w:tc>
      </w:tr>
      <w:tr>
        <w:tc>
          <w:tcPr>
            <w:tcW w:type="dxa" w:w="19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equipmentState</w:t>
            </w:r>
          </w:p>
        </w:tc>
        <w:tc>
          <w:tcPr>
            <w:tcW w:type="dxa" w:w="2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/tenantId</w:t>
            </w:r>
          </w:p>
        </w:tc>
        <w:tc>
          <w:tcPr>
            <w:tcW w:type="dxa" w:w="11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Sin TTL</w:t>
            </w:r>
          </w:p>
        </w:tc>
        <w:tc>
          <w:tcPr>
            <w:tcW w:type="dxa" w:w="43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Documento vivo por equipo: último valor de cada variable, modo PLC, alarmas activas, estado del gateway.</w:t>
            </w:r>
          </w:p>
        </w:tc>
      </w:tr>
      <w:tr>
        <w:tc>
          <w:tcPr>
            <w:tcW w:type="dxa" w:w="1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commands</w:t>
            </w:r>
          </w:p>
        </w:tc>
        <w:tc>
          <w:tcPr>
            <w:tcW w:type="dxa" w:w="2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/tenantId</w:t>
            </w:r>
          </w:p>
        </w:tc>
        <w:tc>
          <w:tcPr>
            <w:tcW w:type="dxa" w:w="11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3 años</w:t>
            </w:r>
          </w:p>
        </w:tc>
        <w:tc>
          <w:tcPr>
            <w:tcW w:type="dxa" w:w="43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Comandos remotos con TTL de ejecución 60 s, idempotencyKey, resultado y auditoría completa.</w:t>
            </w:r>
          </w:p>
        </w:tc>
      </w:tr>
      <w:tr>
        <w:tc>
          <w:tcPr>
            <w:tcW w:type="dxa" w:w="19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alarms</w:t>
            </w:r>
          </w:p>
        </w:tc>
        <w:tc>
          <w:tcPr>
            <w:tcW w:type="dxa" w:w="2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/tenantId</w:t>
            </w:r>
          </w:p>
        </w:tc>
        <w:tc>
          <w:tcPr>
            <w:tcW w:type="dxa" w:w="11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3 años</w:t>
            </w:r>
          </w:p>
        </w:tc>
        <w:tc>
          <w:tcPr>
            <w:tcW w:type="dxa" w:w="43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Eventos de alarma generados por reglas o sensor offline &gt;10 min. Estado abierto/reconocido/cerrado.</w:t>
            </w:r>
          </w:p>
        </w:tc>
      </w:tr>
      <w:tr>
        <w:tc>
          <w:tcPr>
            <w:tcW w:type="dxa" w:w="1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audit</w:t>
            </w:r>
          </w:p>
        </w:tc>
        <w:tc>
          <w:tcPr>
            <w:tcW w:type="dxa" w:w="2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/tenantId</w:t>
            </w:r>
          </w:p>
        </w:tc>
        <w:tc>
          <w:tcPr>
            <w:tcW w:type="dxa" w:w="11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Sin TTL</w:t>
            </w:r>
          </w:p>
        </w:tc>
        <w:tc>
          <w:tcPr>
            <w:tcW w:type="dxa" w:w="43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Trazabilidad de acciones de usuario, login, cambios de configuración, descargas y respuestas DGA.</w:t>
            </w:r>
          </w:p>
        </w:tc>
      </w:tr>
      <w:tr>
        <w:tc>
          <w:tcPr>
            <w:tcW w:type="dxa" w:w="19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config</w:t>
            </w:r>
          </w:p>
        </w:tc>
        <w:tc>
          <w:tcPr>
            <w:tcW w:type="dxa" w:w="2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/tenantId</w:t>
            </w:r>
          </w:p>
        </w:tc>
        <w:tc>
          <w:tcPr>
            <w:tcW w:type="dxa" w:w="11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Sin TTL</w:t>
            </w:r>
          </w:p>
        </w:tc>
        <w:tc>
          <w:tcPr>
            <w:tcW w:type="dxa" w:w="43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Configuración por tenant, sitio, equipo, gateway, sensor, umbrales, mapeo PLC y políticas de control.</w:t>
            </w:r>
          </w:p>
        </w:tc>
      </w:tr>
      <w:tr>
        <w:tc>
          <w:tcPr>
            <w:tcW w:type="dxa" w:w="1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dgaTransactions</w:t>
            </w:r>
          </w:p>
        </w:tc>
        <w:tc>
          <w:tcPr>
            <w:tcW w:type="dxa" w:w="2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/tenantId</w:t>
            </w:r>
          </w:p>
        </w:tc>
        <w:tc>
          <w:tcPr>
            <w:tcW w:type="dxa" w:w="11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5 años</w:t>
            </w:r>
          </w:p>
        </w:tc>
        <w:tc>
          <w:tcPr>
            <w:tcW w:type="dxa" w:w="43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Aplica solo si el tenant tiene extracción regulada. Guarda XML enviado, respuesta, comprobante y reintentos.</w:t>
            </w:r>
          </w:p>
        </w:tc>
      </w:tr>
    </w:tbl>
    <w:p>
      <w:pPr>
        <w:pStyle w:val="Heading3"/>
        <w:spacing w:after="100" w:before="220"/>
      </w:pPr>
      <w:r>
        <w:rPr>
          <w:rFonts w:ascii="Arial" w:cs="Arial" w:eastAsia="Arial" w:hAnsi="Arial"/>
          <w:b/>
          <w:bCs/>
          <w:color w:val="1F6FB2"/>
          <w:sz w:val="24"/>
          <w:szCs w:val="24"/>
        </w:rPr>
        <w:t xml:space="preserve">3.2.1 Esquema del contenedor telemetry</w:t>
      </w:r>
    </w:p>
    <w:p>
      <w:pPr>
        <w:spacing w:after="60" w:before="60" w:line="300"/>
        <w:jc w:val="both"/>
      </w:pPr>
      <w:r>
        <w:rPr>
          <w:rFonts w:ascii="Arial" w:cs="Arial" w:eastAsia="Arial" w:hAnsi="Arial"/>
          <w:b w:val="false"/>
          <w:bCs w:val="false"/>
          <w:i w:val="false"/>
          <w:iCs w:val="false"/>
          <w:color w:val="1F1F1F"/>
          <w:sz w:val="22"/>
          <w:szCs w:val="22"/>
        </w:rPr>
        <w:t xml:space="preserve">Cada documento representa una medición de una variable instantánea para un equipo en un sitio.</w:t>
      </w:r>
    </w:p>
    <w:p>
      <w:pPr>
        <w:shd w:fill="F2F4F7" w:val="clear"/>
        <w:spacing w:after="0" w:before="0" w:line="240"/>
      </w:pPr>
      <w:r>
        <w:rPr>
          <w:rFonts w:ascii="Consolas" w:cs="Consolas" w:eastAsia="Consolas" w:hAnsi="Consolas"/>
          <w:color w:val="1F1F1F"/>
          <w:sz w:val="18"/>
          <w:szCs w:val="18"/>
        </w:rPr>
        <w:t xml:space="preserve">{</w:t>
      </w:r>
    </w:p>
    <w:p>
      <w:pPr>
        <w:shd w:fill="F2F4F7" w:val="clear"/>
        <w:spacing w:after="0" w:before="0" w:line="240"/>
      </w:pPr>
      <w:r>
        <w:rPr>
          <w:rFonts w:ascii="Consolas" w:cs="Consolas" w:eastAsia="Consolas" w:hAnsi="Consolas"/>
          <w:color w:val="1F1F1F"/>
          <w:sz w:val="18"/>
          <w:szCs w:val="18"/>
        </w:rPr>
        <w:t xml:space="preserve">  "id": "&lt;uuid v4&gt;",</w:t>
      </w:r>
    </w:p>
    <w:p>
      <w:pPr>
        <w:shd w:fill="F2F4F7" w:val="clear"/>
        <w:spacing w:after="0" w:before="0" w:line="240"/>
      </w:pPr>
      <w:r>
        <w:rPr>
          <w:rFonts w:ascii="Consolas" w:cs="Consolas" w:eastAsia="Consolas" w:hAnsi="Consolas"/>
          <w:color w:val="1F1F1F"/>
          <w:sz w:val="18"/>
          <w:szCs w:val="18"/>
        </w:rPr>
        <w:t xml:space="preserve">  "tenantId": "ssr-pupuya-navidad",</w:t>
      </w:r>
    </w:p>
    <w:p>
      <w:pPr>
        <w:shd w:fill="F2F4F7" w:val="clear"/>
        <w:spacing w:after="0" w:before="0" w:line="240"/>
      </w:pPr>
      <w:r>
        <w:rPr>
          <w:rFonts w:ascii="Consolas" w:cs="Consolas" w:eastAsia="Consolas" w:hAnsi="Consolas"/>
          <w:color w:val="1F1F1F"/>
          <w:sz w:val="18"/>
          <w:szCs w:val="18"/>
        </w:rPr>
        <w:t xml:space="preserve">  "siteId": "site-001",</w:t>
      </w:r>
    </w:p>
    <w:p>
      <w:pPr>
        <w:shd w:fill="F2F4F7" w:val="clear"/>
        <w:spacing w:after="0" w:before="0" w:line="240"/>
      </w:pPr>
      <w:r>
        <w:rPr>
          <w:rFonts w:ascii="Consolas" w:cs="Consolas" w:eastAsia="Consolas" w:hAnsi="Consolas"/>
          <w:color w:val="1F1F1F"/>
          <w:sz w:val="18"/>
          <w:szCs w:val="18"/>
        </w:rPr>
        <w:t xml:space="preserve">  "equipmentId": "eq-bomba-01",</w:t>
      </w:r>
    </w:p>
    <w:p>
      <w:pPr>
        <w:shd w:fill="F2F4F7" w:val="clear"/>
        <w:spacing w:after="0" w:before="0" w:line="240"/>
      </w:pPr>
      <w:r>
        <w:rPr>
          <w:rFonts w:ascii="Consolas" w:cs="Consolas" w:eastAsia="Consolas" w:hAnsi="Consolas"/>
          <w:color w:val="1F1F1F"/>
          <w:sz w:val="18"/>
          <w:szCs w:val="18"/>
        </w:rPr>
        <w:t xml:space="preserve">  "deviceId": "gw-001",</w:t>
      </w:r>
    </w:p>
    <w:p>
      <w:pPr>
        <w:shd w:fill="F2F4F7" w:val="clear"/>
        <w:spacing w:after="0" w:before="0" w:line="240"/>
      </w:pPr>
      <w:r>
        <w:rPr>
          <w:rFonts w:ascii="Consolas" w:cs="Consolas" w:eastAsia="Consolas" w:hAnsi="Consolas"/>
          <w:color w:val="1F1F1F"/>
          <w:sz w:val="18"/>
          <w:szCs w:val="18"/>
        </w:rPr>
        <w:t xml:space="preserve">  "variable": "flow_lps",            // catálogo: level_m, flow_lps, pressure_bar, ph, chlorine_mgL, voltage_v, ...</w:t>
      </w:r>
    </w:p>
    <w:p>
      <w:pPr>
        <w:shd w:fill="F2F4F7" w:val="clear"/>
        <w:spacing w:after="0" w:before="0" w:line="240"/>
      </w:pPr>
      <w:r>
        <w:rPr>
          <w:rFonts w:ascii="Consolas" w:cs="Consolas" w:eastAsia="Consolas" w:hAnsi="Consolas"/>
          <w:color w:val="1F1F1F"/>
          <w:sz w:val="18"/>
          <w:szCs w:val="18"/>
        </w:rPr>
        <w:t xml:space="preserve">  "value": 12.4,</w:t>
      </w:r>
    </w:p>
    <w:p>
      <w:pPr>
        <w:shd w:fill="F2F4F7" w:val="clear"/>
        <w:spacing w:after="0" w:before="0" w:line="240"/>
      </w:pPr>
      <w:r>
        <w:rPr>
          <w:rFonts w:ascii="Consolas" w:cs="Consolas" w:eastAsia="Consolas" w:hAnsi="Consolas"/>
          <w:color w:val="1F1F1F"/>
          <w:sz w:val="18"/>
          <w:szCs w:val="18"/>
        </w:rPr>
        <w:t xml:space="preserve">  "unit": "L/s",</w:t>
      </w:r>
    </w:p>
    <w:p>
      <w:pPr>
        <w:shd w:fill="F2F4F7" w:val="clear"/>
        <w:spacing w:after="0" w:before="0" w:line="240"/>
      </w:pPr>
      <w:r>
        <w:rPr>
          <w:rFonts w:ascii="Consolas" w:cs="Consolas" w:eastAsia="Consolas" w:hAnsi="Consolas"/>
          <w:color w:val="1F1F1F"/>
          <w:sz w:val="18"/>
          <w:szCs w:val="18"/>
        </w:rPr>
        <w:t xml:space="preserve">  "quality": "good",                // good | uncertain | bad</w:t>
      </w:r>
    </w:p>
    <w:p>
      <w:pPr>
        <w:shd w:fill="F2F4F7" w:val="clear"/>
        <w:spacing w:after="0" w:before="0" w:line="240"/>
      </w:pPr>
      <w:r>
        <w:rPr>
          <w:rFonts w:ascii="Consolas" w:cs="Consolas" w:eastAsia="Consolas" w:hAnsi="Consolas"/>
          <w:color w:val="1F1F1F"/>
          <w:sz w:val="18"/>
          <w:szCs w:val="18"/>
        </w:rPr>
        <w:t xml:space="preserve">  "timestamp": "2026-08-01T14:23:45Z",</w:t>
      </w:r>
    </w:p>
    <w:p>
      <w:pPr>
        <w:shd w:fill="F2F4F7" w:val="clear"/>
        <w:spacing w:after="0" w:before="0" w:line="240"/>
      </w:pPr>
      <w:r>
        <w:rPr>
          <w:rFonts w:ascii="Consolas" w:cs="Consolas" w:eastAsia="Consolas" w:hAnsi="Consolas"/>
          <w:color w:val="1F1F1F"/>
          <w:sz w:val="18"/>
          <w:szCs w:val="18"/>
        </w:rPr>
        <w:t xml:space="preserve">  "ingestedAt": "2026-08-01T14:23:46Z",</w:t>
      </w:r>
    </w:p>
    <w:p>
      <w:pPr>
        <w:shd w:fill="F2F4F7" w:val="clear"/>
        <w:spacing w:after="0" w:before="0" w:line="240"/>
      </w:pPr>
      <w:r>
        <w:rPr>
          <w:rFonts w:ascii="Consolas" w:cs="Consolas" w:eastAsia="Consolas" w:hAnsi="Consolas"/>
          <w:color w:val="1F1F1F"/>
          <w:sz w:val="18"/>
          <w:szCs w:val="18"/>
        </w:rPr>
        <w:t xml:space="preserve">  "_ts": 1754059426,</w:t>
      </w:r>
    </w:p>
    <w:p>
      <w:pPr>
        <w:shd w:fill="F2F4F7" w:val="clear"/>
        <w:spacing w:after="0" w:before="0" w:line="240"/>
      </w:pPr>
      <w:r>
        <w:rPr>
          <w:rFonts w:ascii="Consolas" w:cs="Consolas" w:eastAsia="Consolas" w:hAnsi="Consolas"/>
          <w:color w:val="1F1F1F"/>
          <w:sz w:val="18"/>
          <w:szCs w:val="18"/>
        </w:rPr>
        <w:t xml:space="preserve">  "schemaVersion": "1.0",</w:t>
      </w:r>
    </w:p>
    <w:p>
      <w:pPr>
        <w:shd w:fill="F2F4F7" w:val="clear"/>
        <w:spacing w:after="0" w:before="0" w:line="240"/>
      </w:pPr>
      <w:r>
        <w:rPr>
          <w:rFonts w:ascii="Consolas" w:cs="Consolas" w:eastAsia="Consolas" w:hAnsi="Consolas"/>
          <w:color w:val="1F1F1F"/>
          <w:sz w:val="18"/>
          <w:szCs w:val="18"/>
        </w:rPr>
        <w:t xml:space="preserve">  "ttl": 7776000                      // 90 días en segundos</w:t>
      </w:r>
    </w:p>
    <w:p>
      <w:pPr>
        <w:shd w:fill="F2F4F7" w:val="clear"/>
        <w:spacing w:after="0" w:before="0" w:line="240"/>
      </w:pPr>
      <w:r>
        <w:rPr>
          <w:rFonts w:ascii="Consolas" w:cs="Consolas" w:eastAsia="Consolas" w:hAnsi="Consolas"/>
          <w:color w:val="1F1F1F"/>
          <w:sz w:val="18"/>
          <w:szCs w:val="18"/>
        </w:rPr>
        <w:t xml:space="preserve">}</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Política de índice: </w:t>
      </w:r>
      <w:r>
        <w:rPr>
          <w:rFonts w:ascii="Arial" w:cs="Arial" w:eastAsia="Arial" w:hAnsi="Arial"/>
          <w:b w:val="false"/>
          <w:bCs w:val="false"/>
          <w:i w:val="false"/>
          <w:iCs w:val="false"/>
          <w:color w:val="1F1F1F"/>
          <w:sz w:val="22"/>
          <w:szCs w:val="22"/>
        </w:rPr>
        <w:t xml:space="preserve">incluir /tenantId/?, /siteId/?, /equipmentId/?, /variable/?, /timestamp/?. Excluir /value, /unit y /quality del índice si no se filtran.</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Patrón de consulta típico: </w:t>
      </w:r>
      <w:r>
        <w:rPr>
          <w:rFonts w:ascii="Arial" w:cs="Arial" w:eastAsia="Arial" w:hAnsi="Arial"/>
          <w:b w:val="false"/>
          <w:bCs w:val="false"/>
          <w:i w:val="false"/>
          <w:iCs w:val="false"/>
          <w:color w:val="1F1F1F"/>
          <w:sz w:val="22"/>
          <w:szCs w:val="22"/>
        </w:rPr>
        <w:t xml:space="preserve">WHERE tenantId = @t AND equipmentId = @eq AND variable = @v AND timestamp &gt;= @from ORDER BY timestamp DESC OFFSET 0 LIMIT 200.</w:t>
      </w:r>
    </w:p>
    <w:p>
      <w:pPr>
        <w:pStyle w:val="Heading3"/>
        <w:spacing w:after="100" w:before="220"/>
      </w:pPr>
      <w:r>
        <w:rPr>
          <w:rFonts w:ascii="Arial" w:cs="Arial" w:eastAsia="Arial" w:hAnsi="Arial"/>
          <w:b/>
          <w:bCs/>
          <w:color w:val="1F6FB2"/>
          <w:sz w:val="24"/>
          <w:szCs w:val="24"/>
        </w:rPr>
        <w:t xml:space="preserve">3.2.2 Esquema del contenedor equipmentState</w:t>
      </w:r>
    </w:p>
    <w:p>
      <w:pPr>
        <w:spacing w:after="60" w:before="60" w:line="300"/>
        <w:jc w:val="both"/>
      </w:pPr>
      <w:r>
        <w:rPr>
          <w:rFonts w:ascii="Arial" w:cs="Arial" w:eastAsia="Arial" w:hAnsi="Arial"/>
          <w:b w:val="false"/>
          <w:bCs w:val="false"/>
          <w:i w:val="false"/>
          <w:iCs w:val="false"/>
          <w:color w:val="1F1F1F"/>
          <w:sz w:val="22"/>
          <w:szCs w:val="22"/>
        </w:rPr>
        <w:t xml:space="preserve">Documento vivo por equipo. Se actualiza por upsert con cada llegada relevante de telemetría.</w:t>
      </w:r>
    </w:p>
    <w:p>
      <w:pPr>
        <w:shd w:fill="F2F4F7" w:val="clear"/>
        <w:spacing w:after="0" w:before="0" w:line="240"/>
      </w:pPr>
      <w:r>
        <w:rPr>
          <w:rFonts w:ascii="Consolas" w:cs="Consolas" w:eastAsia="Consolas" w:hAnsi="Consolas"/>
          <w:color w:val="1F1F1F"/>
          <w:sz w:val="18"/>
          <w:szCs w:val="18"/>
        </w:rPr>
        <w:t xml:space="preserve">{</w:t>
      </w:r>
    </w:p>
    <w:p>
      <w:pPr>
        <w:shd w:fill="F2F4F7" w:val="clear"/>
        <w:spacing w:after="0" w:before="0" w:line="240"/>
      </w:pPr>
      <w:r>
        <w:rPr>
          <w:rFonts w:ascii="Consolas" w:cs="Consolas" w:eastAsia="Consolas" w:hAnsi="Consolas"/>
          <w:color w:val="1F1F1F"/>
          <w:sz w:val="18"/>
          <w:szCs w:val="18"/>
        </w:rPr>
        <w:t xml:space="preserve">  "id": "eq-bomba-01",            // un documento por equipo</w:t>
      </w:r>
    </w:p>
    <w:p>
      <w:pPr>
        <w:shd w:fill="F2F4F7" w:val="clear"/>
        <w:spacing w:after="0" w:before="0" w:line="240"/>
      </w:pPr>
      <w:r>
        <w:rPr>
          <w:rFonts w:ascii="Consolas" w:cs="Consolas" w:eastAsia="Consolas" w:hAnsi="Consolas"/>
          <w:color w:val="1F1F1F"/>
          <w:sz w:val="18"/>
          <w:szCs w:val="18"/>
        </w:rPr>
        <w:t xml:space="preserve">  "tenantId": "ssr-pupuya-navidad",</w:t>
      </w:r>
    </w:p>
    <w:p>
      <w:pPr>
        <w:shd w:fill="F2F4F7" w:val="clear"/>
        <w:spacing w:after="0" w:before="0" w:line="240"/>
      </w:pPr>
      <w:r>
        <w:rPr>
          <w:rFonts w:ascii="Consolas" w:cs="Consolas" w:eastAsia="Consolas" w:hAnsi="Consolas"/>
          <w:color w:val="1F1F1F"/>
          <w:sz w:val="18"/>
          <w:szCs w:val="18"/>
        </w:rPr>
        <w:t xml:space="preserve">  "siteId": "site-001",</w:t>
      </w:r>
    </w:p>
    <w:p>
      <w:pPr>
        <w:shd w:fill="F2F4F7" w:val="clear"/>
        <w:spacing w:after="0" w:before="0" w:line="240"/>
      </w:pPr>
      <w:r>
        <w:rPr>
          <w:rFonts w:ascii="Consolas" w:cs="Consolas" w:eastAsia="Consolas" w:hAnsi="Consolas"/>
          <w:color w:val="1F1F1F"/>
          <w:sz w:val="18"/>
          <w:szCs w:val="18"/>
        </w:rPr>
        <w:t xml:space="preserve">  "equipmentId": "eq-bomba-01",</w:t>
      </w:r>
    </w:p>
    <w:p>
      <w:pPr>
        <w:shd w:fill="F2F4F7" w:val="clear"/>
        <w:spacing w:after="0" w:before="0" w:line="240"/>
      </w:pPr>
      <w:r>
        <w:rPr>
          <w:rFonts w:ascii="Consolas" w:cs="Consolas" w:eastAsia="Consolas" w:hAnsi="Consolas"/>
          <w:color w:val="1F1F1F"/>
          <w:sz w:val="18"/>
          <w:szCs w:val="18"/>
        </w:rPr>
        <w:t xml:space="preserve">  "deviceId": "gw-001",</w:t>
      </w:r>
    </w:p>
    <w:p>
      <w:pPr>
        <w:shd w:fill="F2F4F7" w:val="clear"/>
        <w:spacing w:after="0" w:before="0" w:line="240"/>
      </w:pPr>
      <w:r>
        <w:rPr>
          <w:rFonts w:ascii="Consolas" w:cs="Consolas" w:eastAsia="Consolas" w:hAnsi="Consolas"/>
          <w:color w:val="1F1F1F"/>
          <w:sz w:val="18"/>
          <w:szCs w:val="18"/>
        </w:rPr>
        <w:t xml:space="preserve">  "plcState": "auto_control",      // idle | auto_control | manual_control | fault | lockout | offline_mode</w:t>
      </w:r>
    </w:p>
    <w:p>
      <w:pPr>
        <w:shd w:fill="F2F4F7" w:val="clear"/>
        <w:spacing w:after="0" w:before="0" w:line="240"/>
      </w:pPr>
      <w:r>
        <w:rPr>
          <w:rFonts w:ascii="Consolas" w:cs="Consolas" w:eastAsia="Consolas" w:hAnsi="Consolas"/>
          <w:color w:val="1F1F1F"/>
          <w:sz w:val="18"/>
          <w:szCs w:val="18"/>
        </w:rPr>
        <w:t xml:space="preserve">  "lastSeenAt": "2026-08-01T14:23:46Z",</w:t>
      </w:r>
    </w:p>
    <w:p>
      <w:pPr>
        <w:shd w:fill="F2F4F7" w:val="clear"/>
        <w:spacing w:after="0" w:before="0" w:line="240"/>
      </w:pPr>
      <w:r>
        <w:rPr>
          <w:rFonts w:ascii="Consolas" w:cs="Consolas" w:eastAsia="Consolas" w:hAnsi="Consolas"/>
          <w:color w:val="1F1F1F"/>
          <w:sz w:val="18"/>
          <w:szCs w:val="18"/>
        </w:rPr>
        <w:t xml:space="preserve">  "variables": {</w:t>
      </w:r>
    </w:p>
    <w:p>
      <w:pPr>
        <w:shd w:fill="F2F4F7" w:val="clear"/>
        <w:spacing w:after="0" w:before="0" w:line="240"/>
      </w:pPr>
      <w:r>
        <w:rPr>
          <w:rFonts w:ascii="Consolas" w:cs="Consolas" w:eastAsia="Consolas" w:hAnsi="Consolas"/>
          <w:color w:val="1F1F1F"/>
          <w:sz w:val="18"/>
          <w:szCs w:val="18"/>
        </w:rPr>
        <w:t xml:space="preserve">    "level_m": { "value": 4.85, "unit": "m", "quality": "good", "ts": "2026-08-01T14:23:45Z" },</w:t>
      </w:r>
    </w:p>
    <w:p>
      <w:pPr>
        <w:shd w:fill="F2F4F7" w:val="clear"/>
        <w:spacing w:after="0" w:before="0" w:line="240"/>
      </w:pPr>
      <w:r>
        <w:rPr>
          <w:rFonts w:ascii="Consolas" w:cs="Consolas" w:eastAsia="Consolas" w:hAnsi="Consolas"/>
          <w:color w:val="1F1F1F"/>
          <w:sz w:val="18"/>
          <w:szCs w:val="18"/>
        </w:rPr>
        <w:t xml:space="preserve">    "flow_lps": { "value": 12.4, "unit": "L/s", "quality": "good", "ts": "2026-08-01T14:23:45Z" },</w:t>
      </w:r>
    </w:p>
    <w:p>
      <w:pPr>
        <w:shd w:fill="F2F4F7" w:val="clear"/>
        <w:spacing w:after="0" w:before="0" w:line="240"/>
      </w:pPr>
      <w:r>
        <w:rPr>
          <w:rFonts w:ascii="Consolas" w:cs="Consolas" w:eastAsia="Consolas" w:hAnsi="Consolas"/>
          <w:color w:val="1F1F1F"/>
          <w:sz w:val="18"/>
          <w:szCs w:val="18"/>
        </w:rPr>
        <w:t xml:space="preserve">    "pump_run": { "value": true, "unit": "bool", "quality": "good", "ts": "2026-08-01T14:23:45Z" }</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  "activeAlarms": ["AL-LOW-LEVEL"],</w:t>
      </w:r>
    </w:p>
    <w:p>
      <w:pPr>
        <w:shd w:fill="F2F4F7" w:val="clear"/>
        <w:spacing w:after="0" w:before="0" w:line="240"/>
      </w:pPr>
      <w:r>
        <w:rPr>
          <w:rFonts w:ascii="Consolas" w:cs="Consolas" w:eastAsia="Consolas" w:hAnsi="Consolas"/>
          <w:color w:val="1F1F1F"/>
          <w:sz w:val="18"/>
          <w:szCs w:val="18"/>
        </w:rPr>
        <w:t xml:space="preserve">  "connectivity": { "status": "online", "rssi_dbm": -68, "link": "starlink" },</w:t>
      </w:r>
    </w:p>
    <w:p>
      <w:pPr>
        <w:shd w:fill="F2F4F7" w:val="clear"/>
        <w:spacing w:after="0" w:before="0" w:line="240"/>
      </w:pPr>
      <w:r>
        <w:rPr>
          <w:rFonts w:ascii="Consolas" w:cs="Consolas" w:eastAsia="Consolas" w:hAnsi="Consolas"/>
          <w:color w:val="1F1F1F"/>
          <w:sz w:val="18"/>
          <w:szCs w:val="18"/>
        </w:rPr>
        <w:t xml:space="preserve">  "_ts": 1754059426,</w:t>
      </w:r>
    </w:p>
    <w:p>
      <w:pPr>
        <w:shd w:fill="F2F4F7" w:val="clear"/>
        <w:spacing w:after="0" w:before="0" w:line="240"/>
      </w:pPr>
      <w:r>
        <w:rPr>
          <w:rFonts w:ascii="Consolas" w:cs="Consolas" w:eastAsia="Consolas" w:hAnsi="Consolas"/>
          <w:color w:val="1F1F1F"/>
          <w:sz w:val="18"/>
          <w:szCs w:val="18"/>
        </w:rPr>
        <w:t xml:space="preserve">  "schemaVersion": "1.0"</w:t>
      </w:r>
    </w:p>
    <w:p>
      <w:pPr>
        <w:shd w:fill="F2F4F7" w:val="clear"/>
        <w:spacing w:after="0" w:before="0" w:line="240"/>
      </w:pPr>
      <w:r>
        <w:rPr>
          <w:rFonts w:ascii="Consolas" w:cs="Consolas" w:eastAsia="Consolas" w:hAnsi="Consolas"/>
          <w:color w:val="1F1F1F"/>
          <w:sz w:val="18"/>
          <w:szCs w:val="18"/>
        </w:rPr>
        <w:t xml:space="preserve">}</w:t>
      </w:r>
    </w:p>
    <w:p>
      <w:pPr>
        <w:pStyle w:val="Heading3"/>
        <w:spacing w:after="100" w:before="220"/>
      </w:pPr>
      <w:r>
        <w:rPr>
          <w:rFonts w:ascii="Arial" w:cs="Arial" w:eastAsia="Arial" w:hAnsi="Arial"/>
          <w:b/>
          <w:bCs/>
          <w:color w:val="1F6FB2"/>
          <w:sz w:val="24"/>
          <w:szCs w:val="24"/>
        </w:rPr>
        <w:t xml:space="preserve">3.2.3 Esquema del contenedor commands</w:t>
      </w:r>
    </w:p>
    <w:p>
      <w:pPr>
        <w:shd w:fill="F2F4F7" w:val="clear"/>
        <w:spacing w:after="0" w:before="0" w:line="240"/>
      </w:pPr>
      <w:r>
        <w:rPr>
          <w:rFonts w:ascii="Consolas" w:cs="Consolas" w:eastAsia="Consolas" w:hAnsi="Consolas"/>
          <w:color w:val="1F1F1F"/>
          <w:sz w:val="18"/>
          <w:szCs w:val="18"/>
        </w:rPr>
        <w:t xml:space="preserve">{</w:t>
      </w:r>
    </w:p>
    <w:p>
      <w:pPr>
        <w:shd w:fill="F2F4F7" w:val="clear"/>
        <w:spacing w:after="0" w:before="0" w:line="240"/>
      </w:pPr>
      <w:r>
        <w:rPr>
          <w:rFonts w:ascii="Consolas" w:cs="Consolas" w:eastAsia="Consolas" w:hAnsi="Consolas"/>
          <w:color w:val="1F1F1F"/>
          <w:sz w:val="18"/>
          <w:szCs w:val="18"/>
        </w:rPr>
        <w:t xml:space="preserve">  "id": "&lt;commandId uuid v4&gt;",</w:t>
      </w:r>
    </w:p>
    <w:p>
      <w:pPr>
        <w:shd w:fill="F2F4F7" w:val="clear"/>
        <w:spacing w:after="0" w:before="0" w:line="240"/>
      </w:pPr>
      <w:r>
        <w:rPr>
          <w:rFonts w:ascii="Consolas" w:cs="Consolas" w:eastAsia="Consolas" w:hAnsi="Consolas"/>
          <w:color w:val="1F1F1F"/>
          <w:sz w:val="18"/>
          <w:szCs w:val="18"/>
        </w:rPr>
        <w:t xml:space="preserve">  "tenantId": "ssr-pupuya-navidad",</w:t>
      </w:r>
    </w:p>
    <w:p>
      <w:pPr>
        <w:shd w:fill="F2F4F7" w:val="clear"/>
        <w:spacing w:after="0" w:before="0" w:line="240"/>
      </w:pPr>
      <w:r>
        <w:rPr>
          <w:rFonts w:ascii="Consolas" w:cs="Consolas" w:eastAsia="Consolas" w:hAnsi="Consolas"/>
          <w:color w:val="1F1F1F"/>
          <w:sz w:val="18"/>
          <w:szCs w:val="18"/>
        </w:rPr>
        <w:t xml:space="preserve">  "siteId": "site-001",</w:t>
      </w:r>
    </w:p>
    <w:p>
      <w:pPr>
        <w:shd w:fill="F2F4F7" w:val="clear"/>
        <w:spacing w:after="0" w:before="0" w:line="240"/>
      </w:pPr>
      <w:r>
        <w:rPr>
          <w:rFonts w:ascii="Consolas" w:cs="Consolas" w:eastAsia="Consolas" w:hAnsi="Consolas"/>
          <w:color w:val="1F1F1F"/>
          <w:sz w:val="18"/>
          <w:szCs w:val="18"/>
        </w:rPr>
        <w:t xml:space="preserve">  "equipmentId": "eq-bomba-01",</w:t>
      </w:r>
    </w:p>
    <w:p>
      <w:pPr>
        <w:shd w:fill="F2F4F7" w:val="clear"/>
        <w:spacing w:after="0" w:before="0" w:line="240"/>
      </w:pPr>
      <w:r>
        <w:rPr>
          <w:rFonts w:ascii="Consolas" w:cs="Consolas" w:eastAsia="Consolas" w:hAnsi="Consolas"/>
          <w:color w:val="1F1F1F"/>
          <w:sz w:val="18"/>
          <w:szCs w:val="18"/>
        </w:rPr>
        <w:t xml:space="preserve">  "deviceId": "gw-001",</w:t>
      </w:r>
    </w:p>
    <w:p>
      <w:pPr>
        <w:shd w:fill="F2F4F7" w:val="clear"/>
        <w:spacing w:after="0" w:before="0" w:line="240"/>
      </w:pPr>
      <w:r>
        <w:rPr>
          <w:rFonts w:ascii="Consolas" w:cs="Consolas" w:eastAsia="Consolas" w:hAnsi="Consolas"/>
          <w:color w:val="1F1F1F"/>
          <w:sz w:val="18"/>
          <w:szCs w:val="18"/>
        </w:rPr>
        <w:t xml:space="preserve">  "action": "pump_start",          // catálogo: pump_start | pump_stop | reset_alarm | set_setpoint | ...</w:t>
      </w:r>
    </w:p>
    <w:p>
      <w:pPr>
        <w:shd w:fill="F2F4F7" w:val="clear"/>
        <w:spacing w:after="0" w:before="0" w:line="240"/>
      </w:pPr>
      <w:r>
        <w:rPr>
          <w:rFonts w:ascii="Consolas" w:cs="Consolas" w:eastAsia="Consolas" w:hAnsi="Consolas"/>
          <w:color w:val="1F1F1F"/>
          <w:sz w:val="18"/>
          <w:szCs w:val="18"/>
        </w:rPr>
        <w:t xml:space="preserve">  "parameters": { "durationSec": 0 },</w:t>
      </w:r>
    </w:p>
    <w:p>
      <w:pPr>
        <w:shd w:fill="F2F4F7" w:val="clear"/>
        <w:spacing w:after="0" w:before="0" w:line="240"/>
      </w:pPr>
      <w:r>
        <w:rPr>
          <w:rFonts w:ascii="Consolas" w:cs="Consolas" w:eastAsia="Consolas" w:hAnsi="Consolas"/>
          <w:color w:val="1F1F1F"/>
          <w:sz w:val="18"/>
          <w:szCs w:val="18"/>
        </w:rPr>
        <w:t xml:space="preserve">  "requestedBy": "user@cliente.cl",</w:t>
      </w:r>
    </w:p>
    <w:p>
      <w:pPr>
        <w:shd w:fill="F2F4F7" w:val="clear"/>
        <w:spacing w:after="0" w:before="0" w:line="240"/>
      </w:pPr>
      <w:r>
        <w:rPr>
          <w:rFonts w:ascii="Consolas" w:cs="Consolas" w:eastAsia="Consolas" w:hAnsi="Consolas"/>
          <w:color w:val="1F1F1F"/>
          <w:sz w:val="18"/>
          <w:szCs w:val="18"/>
        </w:rPr>
        <w:t xml:space="preserve">  "requestedByType": "user",       // user | system | support</w:t>
      </w:r>
    </w:p>
    <w:p>
      <w:pPr>
        <w:shd w:fill="F2F4F7" w:val="clear"/>
        <w:spacing w:after="0" w:before="0" w:line="240"/>
      </w:pPr>
      <w:r>
        <w:rPr>
          <w:rFonts w:ascii="Consolas" w:cs="Consolas" w:eastAsia="Consolas" w:hAnsi="Consolas"/>
          <w:color w:val="1F1F1F"/>
          <w:sz w:val="18"/>
          <w:szCs w:val="18"/>
        </w:rPr>
        <w:t xml:space="preserve">  "idempotencyKey": "&lt;uuid&gt;",</w:t>
      </w:r>
    </w:p>
    <w:p>
      <w:pPr>
        <w:shd w:fill="F2F4F7" w:val="clear"/>
        <w:spacing w:after="0" w:before="0" w:line="240"/>
      </w:pPr>
      <w:r>
        <w:rPr>
          <w:rFonts w:ascii="Consolas" w:cs="Consolas" w:eastAsia="Consolas" w:hAnsi="Consolas"/>
          <w:color w:val="1F1F1F"/>
          <w:sz w:val="18"/>
          <w:szCs w:val="18"/>
        </w:rPr>
        <w:t xml:space="preserve">  "ttlSec": 60,</w:t>
      </w:r>
    </w:p>
    <w:p>
      <w:pPr>
        <w:shd w:fill="F2F4F7" w:val="clear"/>
        <w:spacing w:after="0" w:before="0" w:line="240"/>
      </w:pPr>
      <w:r>
        <w:rPr>
          <w:rFonts w:ascii="Consolas" w:cs="Consolas" w:eastAsia="Consolas" w:hAnsi="Consolas"/>
          <w:color w:val="1F1F1F"/>
          <w:sz w:val="18"/>
          <w:szCs w:val="18"/>
        </w:rPr>
        <w:t xml:space="preserve">  "requestedAt": "2026-08-01T14:24:00Z",</w:t>
      </w:r>
    </w:p>
    <w:p>
      <w:pPr>
        <w:shd w:fill="F2F4F7" w:val="clear"/>
        <w:spacing w:after="0" w:before="0" w:line="240"/>
      </w:pPr>
      <w:r>
        <w:rPr>
          <w:rFonts w:ascii="Consolas" w:cs="Consolas" w:eastAsia="Consolas" w:hAnsi="Consolas"/>
          <w:color w:val="1F1F1F"/>
          <w:sz w:val="18"/>
          <w:szCs w:val="18"/>
        </w:rPr>
        <w:t xml:space="preserve">  "dispatchedAt": "2026-08-01T14:24:01Z",</w:t>
      </w:r>
    </w:p>
    <w:p>
      <w:pPr>
        <w:shd w:fill="F2F4F7" w:val="clear"/>
        <w:spacing w:after="0" w:before="0" w:line="240"/>
      </w:pPr>
      <w:r>
        <w:rPr>
          <w:rFonts w:ascii="Consolas" w:cs="Consolas" w:eastAsia="Consolas" w:hAnsi="Consolas"/>
          <w:color w:val="1F1F1F"/>
          <w:sz w:val="18"/>
          <w:szCs w:val="18"/>
        </w:rPr>
        <w:t xml:space="preserve">  "completedAt": "2026-08-01T14:24:03Z",</w:t>
      </w:r>
    </w:p>
    <w:p>
      <w:pPr>
        <w:shd w:fill="F2F4F7" w:val="clear"/>
        <w:spacing w:after="0" w:before="0" w:line="240"/>
      </w:pPr>
      <w:r>
        <w:rPr>
          <w:rFonts w:ascii="Consolas" w:cs="Consolas" w:eastAsia="Consolas" w:hAnsi="Consolas"/>
          <w:color w:val="1F1F1F"/>
          <w:sz w:val="18"/>
          <w:szCs w:val="18"/>
        </w:rPr>
        <w:t xml:space="preserve">  "status": "completed",           // pending | dispatched | completed | failed | expired</w:t>
      </w:r>
    </w:p>
    <w:p>
      <w:pPr>
        <w:shd w:fill="F2F4F7" w:val="clear"/>
        <w:spacing w:after="0" w:before="0" w:line="240"/>
      </w:pPr>
      <w:r>
        <w:rPr>
          <w:rFonts w:ascii="Consolas" w:cs="Consolas" w:eastAsia="Consolas" w:hAnsi="Consolas"/>
          <w:color w:val="1F1F1F"/>
          <w:sz w:val="18"/>
          <w:szCs w:val="18"/>
        </w:rPr>
        <w:t xml:space="preserve">  "resultCode": "OK",</w:t>
      </w:r>
    </w:p>
    <w:p>
      <w:pPr>
        <w:shd w:fill="F2F4F7" w:val="clear"/>
        <w:spacing w:after="0" w:before="0" w:line="240"/>
      </w:pPr>
      <w:r>
        <w:rPr>
          <w:rFonts w:ascii="Consolas" w:cs="Consolas" w:eastAsia="Consolas" w:hAnsi="Consolas"/>
          <w:color w:val="1F1F1F"/>
          <w:sz w:val="18"/>
          <w:szCs w:val="18"/>
        </w:rPr>
        <w:t xml:space="preserve">  "errorMessage": null,</w:t>
      </w:r>
    </w:p>
    <w:p>
      <w:pPr>
        <w:shd w:fill="F2F4F7" w:val="clear"/>
        <w:spacing w:after="0" w:before="0" w:line="240"/>
      </w:pPr>
      <w:r>
        <w:rPr>
          <w:rFonts w:ascii="Consolas" w:cs="Consolas" w:eastAsia="Consolas" w:hAnsi="Consolas"/>
          <w:color w:val="1F1F1F"/>
          <w:sz w:val="18"/>
          <w:szCs w:val="18"/>
        </w:rPr>
        <w:t xml:space="preserve">  "_ts": 1754059443,</w:t>
      </w:r>
    </w:p>
    <w:p>
      <w:pPr>
        <w:shd w:fill="F2F4F7" w:val="clear"/>
        <w:spacing w:after="0" w:before="0" w:line="240"/>
      </w:pPr>
      <w:r>
        <w:rPr>
          <w:rFonts w:ascii="Consolas" w:cs="Consolas" w:eastAsia="Consolas" w:hAnsi="Consolas"/>
          <w:color w:val="1F1F1F"/>
          <w:sz w:val="18"/>
          <w:szCs w:val="18"/>
        </w:rPr>
        <w:t xml:space="preserve">  "schemaVersion": "1.0"</w:t>
      </w:r>
    </w:p>
    <w:p>
      <w:pPr>
        <w:shd w:fill="F2F4F7" w:val="clear"/>
        <w:spacing w:after="0" w:before="0" w:line="240"/>
      </w:pPr>
      <w:r>
        <w:rPr>
          <w:rFonts w:ascii="Consolas" w:cs="Consolas" w:eastAsia="Consolas" w:hAnsi="Consolas"/>
          <w:color w:val="1F1F1F"/>
          <w:sz w:val="18"/>
          <w:szCs w:val="18"/>
        </w:rPr>
        <w:t xml:space="preserve">}</w:t>
      </w:r>
    </w:p>
    <w:p>
      <w:pPr>
        <w:pStyle w:val="Heading3"/>
        <w:spacing w:after="100" w:before="220"/>
      </w:pPr>
      <w:r>
        <w:rPr>
          <w:rFonts w:ascii="Arial" w:cs="Arial" w:eastAsia="Arial" w:hAnsi="Arial"/>
          <w:b/>
          <w:bCs/>
          <w:color w:val="1F6FB2"/>
          <w:sz w:val="24"/>
          <w:szCs w:val="24"/>
        </w:rPr>
        <w:t xml:space="preserve">3.2.4 Esquema del contenedor alarms</w:t>
      </w:r>
    </w:p>
    <w:p>
      <w:pPr>
        <w:shd w:fill="F2F4F7" w:val="clear"/>
        <w:spacing w:after="0" w:before="0" w:line="240"/>
      </w:pPr>
      <w:r>
        <w:rPr>
          <w:rFonts w:ascii="Consolas" w:cs="Consolas" w:eastAsia="Consolas" w:hAnsi="Consolas"/>
          <w:color w:val="1F1F1F"/>
          <w:sz w:val="18"/>
          <w:szCs w:val="18"/>
        </w:rPr>
        <w:t xml:space="preserve">{</w:t>
      </w:r>
    </w:p>
    <w:p>
      <w:pPr>
        <w:shd w:fill="F2F4F7" w:val="clear"/>
        <w:spacing w:after="0" w:before="0" w:line="240"/>
      </w:pPr>
      <w:r>
        <w:rPr>
          <w:rFonts w:ascii="Consolas" w:cs="Consolas" w:eastAsia="Consolas" w:hAnsi="Consolas"/>
          <w:color w:val="1F1F1F"/>
          <w:sz w:val="18"/>
          <w:szCs w:val="18"/>
        </w:rPr>
        <w:t xml:space="preserve">  "id": "&lt;uuid&gt;",</w:t>
      </w:r>
    </w:p>
    <w:p>
      <w:pPr>
        <w:shd w:fill="F2F4F7" w:val="clear"/>
        <w:spacing w:after="0" w:before="0" w:line="240"/>
      </w:pPr>
      <w:r>
        <w:rPr>
          <w:rFonts w:ascii="Consolas" w:cs="Consolas" w:eastAsia="Consolas" w:hAnsi="Consolas"/>
          <w:color w:val="1F1F1F"/>
          <w:sz w:val="18"/>
          <w:szCs w:val="18"/>
        </w:rPr>
        <w:t xml:space="preserve">  "tenantId": "ssr-pupuya-navidad",</w:t>
      </w:r>
    </w:p>
    <w:p>
      <w:pPr>
        <w:shd w:fill="F2F4F7" w:val="clear"/>
        <w:spacing w:after="0" w:before="0" w:line="240"/>
      </w:pPr>
      <w:r>
        <w:rPr>
          <w:rFonts w:ascii="Consolas" w:cs="Consolas" w:eastAsia="Consolas" w:hAnsi="Consolas"/>
          <w:color w:val="1F1F1F"/>
          <w:sz w:val="18"/>
          <w:szCs w:val="18"/>
        </w:rPr>
        <w:t xml:space="preserve">  "siteId": "site-001",</w:t>
      </w:r>
    </w:p>
    <w:p>
      <w:pPr>
        <w:shd w:fill="F2F4F7" w:val="clear"/>
        <w:spacing w:after="0" w:before="0" w:line="240"/>
      </w:pPr>
      <w:r>
        <w:rPr>
          <w:rFonts w:ascii="Consolas" w:cs="Consolas" w:eastAsia="Consolas" w:hAnsi="Consolas"/>
          <w:color w:val="1F1F1F"/>
          <w:sz w:val="18"/>
          <w:szCs w:val="18"/>
        </w:rPr>
        <w:t xml:space="preserve">  "equipmentId": "eq-bomba-01",</w:t>
      </w:r>
    </w:p>
    <w:p>
      <w:pPr>
        <w:shd w:fill="F2F4F7" w:val="clear"/>
        <w:spacing w:after="0" w:before="0" w:line="240"/>
      </w:pPr>
      <w:r>
        <w:rPr>
          <w:rFonts w:ascii="Consolas" w:cs="Consolas" w:eastAsia="Consolas" w:hAnsi="Consolas"/>
          <w:color w:val="1F1F1F"/>
          <w:sz w:val="18"/>
          <w:szCs w:val="18"/>
        </w:rPr>
        <w:t xml:space="preserve">  "alarmCode": "AL-LOW-LEVEL",</w:t>
      </w:r>
    </w:p>
    <w:p>
      <w:pPr>
        <w:shd w:fill="F2F4F7" w:val="clear"/>
        <w:spacing w:after="0" w:before="0" w:line="240"/>
      </w:pPr>
      <w:r>
        <w:rPr>
          <w:rFonts w:ascii="Consolas" w:cs="Consolas" w:eastAsia="Consolas" w:hAnsi="Consolas"/>
          <w:color w:val="1F1F1F"/>
          <w:sz w:val="18"/>
          <w:szCs w:val="18"/>
        </w:rPr>
        <w:t xml:space="preserve">  "severity": "high",              // low | medium | high | critical</w:t>
      </w:r>
    </w:p>
    <w:p>
      <w:pPr>
        <w:shd w:fill="F2F4F7" w:val="clear"/>
        <w:spacing w:after="0" w:before="0" w:line="240"/>
      </w:pPr>
      <w:r>
        <w:rPr>
          <w:rFonts w:ascii="Consolas" w:cs="Consolas" w:eastAsia="Consolas" w:hAnsi="Consolas"/>
          <w:color w:val="1F1F1F"/>
          <w:sz w:val="18"/>
          <w:szCs w:val="18"/>
        </w:rPr>
        <w:t xml:space="preserve">  "openedAt": "2026-08-01T14:23:45Z",</w:t>
      </w:r>
    </w:p>
    <w:p>
      <w:pPr>
        <w:shd w:fill="F2F4F7" w:val="clear"/>
        <w:spacing w:after="0" w:before="0" w:line="240"/>
      </w:pPr>
      <w:r>
        <w:rPr>
          <w:rFonts w:ascii="Consolas" w:cs="Consolas" w:eastAsia="Consolas" w:hAnsi="Consolas"/>
          <w:color w:val="1F1F1F"/>
          <w:sz w:val="18"/>
          <w:szCs w:val="18"/>
        </w:rPr>
        <w:t xml:space="preserve">  "acknowledgedAt": null,</w:t>
      </w:r>
    </w:p>
    <w:p>
      <w:pPr>
        <w:shd w:fill="F2F4F7" w:val="clear"/>
        <w:spacing w:after="0" w:before="0" w:line="240"/>
      </w:pPr>
      <w:r>
        <w:rPr>
          <w:rFonts w:ascii="Consolas" w:cs="Consolas" w:eastAsia="Consolas" w:hAnsi="Consolas"/>
          <w:color w:val="1F1F1F"/>
          <w:sz w:val="18"/>
          <w:szCs w:val="18"/>
        </w:rPr>
        <w:t xml:space="preserve">  "acknowledgedBy": null,</w:t>
      </w:r>
    </w:p>
    <w:p>
      <w:pPr>
        <w:shd w:fill="F2F4F7" w:val="clear"/>
        <w:spacing w:after="0" w:before="0" w:line="240"/>
      </w:pPr>
      <w:r>
        <w:rPr>
          <w:rFonts w:ascii="Consolas" w:cs="Consolas" w:eastAsia="Consolas" w:hAnsi="Consolas"/>
          <w:color w:val="1F1F1F"/>
          <w:sz w:val="18"/>
          <w:szCs w:val="18"/>
        </w:rPr>
        <w:t xml:space="preserve">  "closedAt": null,</w:t>
      </w:r>
    </w:p>
    <w:p>
      <w:pPr>
        <w:shd w:fill="F2F4F7" w:val="clear"/>
        <w:spacing w:after="0" w:before="0" w:line="240"/>
      </w:pPr>
      <w:r>
        <w:rPr>
          <w:rFonts w:ascii="Consolas" w:cs="Consolas" w:eastAsia="Consolas" w:hAnsi="Consolas"/>
          <w:color w:val="1F1F1F"/>
          <w:sz w:val="18"/>
          <w:szCs w:val="18"/>
        </w:rPr>
        <w:t xml:space="preserve">  "variable": "level_m",</w:t>
      </w:r>
    </w:p>
    <w:p>
      <w:pPr>
        <w:shd w:fill="F2F4F7" w:val="clear"/>
        <w:spacing w:after="0" w:before="0" w:line="240"/>
      </w:pPr>
      <w:r>
        <w:rPr>
          <w:rFonts w:ascii="Consolas" w:cs="Consolas" w:eastAsia="Consolas" w:hAnsi="Consolas"/>
          <w:color w:val="1F1F1F"/>
          <w:sz w:val="18"/>
          <w:szCs w:val="18"/>
        </w:rPr>
        <w:t xml:space="preserve">  "thresholdValue": 1.5,</w:t>
      </w:r>
    </w:p>
    <w:p>
      <w:pPr>
        <w:shd w:fill="F2F4F7" w:val="clear"/>
        <w:spacing w:after="0" w:before="0" w:line="240"/>
      </w:pPr>
      <w:r>
        <w:rPr>
          <w:rFonts w:ascii="Consolas" w:cs="Consolas" w:eastAsia="Consolas" w:hAnsi="Consolas"/>
          <w:color w:val="1F1F1F"/>
          <w:sz w:val="18"/>
          <w:szCs w:val="18"/>
        </w:rPr>
        <w:t xml:space="preserve">  "observedValue": 1.2,</w:t>
      </w:r>
    </w:p>
    <w:p>
      <w:pPr>
        <w:shd w:fill="F2F4F7" w:val="clear"/>
        <w:spacing w:after="0" w:before="0" w:line="240"/>
      </w:pPr>
      <w:r>
        <w:rPr>
          <w:rFonts w:ascii="Consolas" w:cs="Consolas" w:eastAsia="Consolas" w:hAnsi="Consolas"/>
          <w:color w:val="1F1F1F"/>
          <w:sz w:val="18"/>
          <w:szCs w:val="18"/>
        </w:rPr>
        <w:t xml:space="preserve">  "status": "open",                // open | acknowledged | closed</w:t>
      </w:r>
    </w:p>
    <w:p>
      <w:pPr>
        <w:shd w:fill="F2F4F7" w:val="clear"/>
        <w:spacing w:after="0" w:before="0" w:line="240"/>
      </w:pPr>
      <w:r>
        <w:rPr>
          <w:rFonts w:ascii="Consolas" w:cs="Consolas" w:eastAsia="Consolas" w:hAnsi="Consolas"/>
          <w:color w:val="1F1F1F"/>
          <w:sz w:val="18"/>
          <w:szCs w:val="18"/>
        </w:rPr>
        <w:t xml:space="preserve">  "notifications": [</w:t>
      </w:r>
    </w:p>
    <w:p>
      <w:pPr>
        <w:shd w:fill="F2F4F7" w:val="clear"/>
        <w:spacing w:after="0" w:before="0" w:line="240"/>
      </w:pPr>
      <w:r>
        <w:rPr>
          <w:rFonts w:ascii="Consolas" w:cs="Consolas" w:eastAsia="Consolas" w:hAnsi="Consolas"/>
          <w:color w:val="1F1F1F"/>
          <w:sz w:val="18"/>
          <w:szCs w:val="18"/>
        </w:rPr>
        <w:t xml:space="preserve">    { "channel": "email", "sentAt": "2026-08-01T14:24:00Z", "to": "operador@cliente.cl" }</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  "_ts": 1754059425,</w:t>
      </w:r>
    </w:p>
    <w:p>
      <w:pPr>
        <w:shd w:fill="F2F4F7" w:val="clear"/>
        <w:spacing w:after="0" w:before="0" w:line="240"/>
      </w:pPr>
      <w:r>
        <w:rPr>
          <w:rFonts w:ascii="Consolas" w:cs="Consolas" w:eastAsia="Consolas" w:hAnsi="Consolas"/>
          <w:color w:val="1F1F1F"/>
          <w:sz w:val="18"/>
          <w:szCs w:val="18"/>
        </w:rPr>
        <w:t xml:space="preserve">  "schemaVersion": "1.0"</w:t>
      </w:r>
    </w:p>
    <w:p>
      <w:pPr>
        <w:shd w:fill="F2F4F7" w:val="clear"/>
        <w:spacing w:after="0" w:before="0" w:line="240"/>
      </w:pPr>
      <w:r>
        <w:rPr>
          <w:rFonts w:ascii="Consolas" w:cs="Consolas" w:eastAsia="Consolas" w:hAnsi="Consolas"/>
          <w:color w:val="1F1F1F"/>
          <w:sz w:val="18"/>
          <w:szCs w:val="18"/>
        </w:rPr>
        <w:t xml:space="preserve">}</w:t>
      </w:r>
    </w:p>
    <w:p>
      <w:pPr>
        <w:pStyle w:val="Heading3"/>
        <w:spacing w:after="100" w:before="220"/>
      </w:pPr>
      <w:r>
        <w:rPr>
          <w:rFonts w:ascii="Arial" w:cs="Arial" w:eastAsia="Arial" w:hAnsi="Arial"/>
          <w:b/>
          <w:bCs/>
          <w:color w:val="1F6FB2"/>
          <w:sz w:val="24"/>
          <w:szCs w:val="24"/>
        </w:rPr>
        <w:t xml:space="preserve">3.2.5 Esquema del contenedor audit</w:t>
      </w:r>
    </w:p>
    <w:p>
      <w:pPr>
        <w:shd w:fill="F2F4F7" w:val="clear"/>
        <w:spacing w:after="0" w:before="0" w:line="240"/>
      </w:pPr>
      <w:r>
        <w:rPr>
          <w:rFonts w:ascii="Consolas" w:cs="Consolas" w:eastAsia="Consolas" w:hAnsi="Consolas"/>
          <w:color w:val="1F1F1F"/>
          <w:sz w:val="18"/>
          <w:szCs w:val="18"/>
        </w:rPr>
        <w:t xml:space="preserve">{</w:t>
      </w:r>
    </w:p>
    <w:p>
      <w:pPr>
        <w:shd w:fill="F2F4F7" w:val="clear"/>
        <w:spacing w:after="0" w:before="0" w:line="240"/>
      </w:pPr>
      <w:r>
        <w:rPr>
          <w:rFonts w:ascii="Consolas" w:cs="Consolas" w:eastAsia="Consolas" w:hAnsi="Consolas"/>
          <w:color w:val="1F1F1F"/>
          <w:sz w:val="18"/>
          <w:szCs w:val="18"/>
        </w:rPr>
        <w:t xml:space="preserve">  "id": "&lt;uuid&gt;",</w:t>
      </w:r>
    </w:p>
    <w:p>
      <w:pPr>
        <w:shd w:fill="F2F4F7" w:val="clear"/>
        <w:spacing w:after="0" w:before="0" w:line="240"/>
      </w:pPr>
      <w:r>
        <w:rPr>
          <w:rFonts w:ascii="Consolas" w:cs="Consolas" w:eastAsia="Consolas" w:hAnsi="Consolas"/>
          <w:color w:val="1F1F1F"/>
          <w:sz w:val="18"/>
          <w:szCs w:val="18"/>
        </w:rPr>
        <w:t xml:space="preserve">  "tenantId": "ssr-pupuya-navidad",</w:t>
      </w:r>
    </w:p>
    <w:p>
      <w:pPr>
        <w:shd w:fill="F2F4F7" w:val="clear"/>
        <w:spacing w:after="0" w:before="0" w:line="240"/>
      </w:pPr>
      <w:r>
        <w:rPr>
          <w:rFonts w:ascii="Consolas" w:cs="Consolas" w:eastAsia="Consolas" w:hAnsi="Consolas"/>
          <w:color w:val="1F1F1F"/>
          <w:sz w:val="18"/>
          <w:szCs w:val="18"/>
        </w:rPr>
        <w:t xml:space="preserve">  "timestamp": "2026-08-01T14:24:00Z",</w:t>
      </w:r>
    </w:p>
    <w:p>
      <w:pPr>
        <w:shd w:fill="F2F4F7" w:val="clear"/>
        <w:spacing w:after="0" w:before="0" w:line="240"/>
      </w:pPr>
      <w:r>
        <w:rPr>
          <w:rFonts w:ascii="Consolas" w:cs="Consolas" w:eastAsia="Consolas" w:hAnsi="Consolas"/>
          <w:color w:val="1F1F1F"/>
          <w:sz w:val="18"/>
          <w:szCs w:val="18"/>
        </w:rPr>
        <w:t xml:space="preserve">  "actorId": "user@cliente.cl",</w:t>
      </w:r>
    </w:p>
    <w:p>
      <w:pPr>
        <w:shd w:fill="F2F4F7" w:val="clear"/>
        <w:spacing w:after="0" w:before="0" w:line="240"/>
      </w:pPr>
      <w:r>
        <w:rPr>
          <w:rFonts w:ascii="Consolas" w:cs="Consolas" w:eastAsia="Consolas" w:hAnsi="Consolas"/>
          <w:color w:val="1F1F1F"/>
          <w:sz w:val="18"/>
          <w:szCs w:val="18"/>
        </w:rPr>
        <w:t xml:space="preserve">  "actorType": "user",            // user | system | support | service-principal</w:t>
      </w:r>
    </w:p>
    <w:p>
      <w:pPr>
        <w:shd w:fill="F2F4F7" w:val="clear"/>
        <w:spacing w:after="0" w:before="0" w:line="240"/>
      </w:pPr>
      <w:r>
        <w:rPr>
          <w:rFonts w:ascii="Consolas" w:cs="Consolas" w:eastAsia="Consolas" w:hAnsi="Consolas"/>
          <w:color w:val="1F1F1F"/>
          <w:sz w:val="18"/>
          <w:szCs w:val="18"/>
        </w:rPr>
        <w:t xml:space="preserve">  "action": "command.request",    // login | command.request | config.update | report.download | dga.transmit</w:t>
      </w:r>
    </w:p>
    <w:p>
      <w:pPr>
        <w:shd w:fill="F2F4F7" w:val="clear"/>
        <w:spacing w:after="0" w:before="0" w:line="240"/>
      </w:pPr>
      <w:r>
        <w:rPr>
          <w:rFonts w:ascii="Consolas" w:cs="Consolas" w:eastAsia="Consolas" w:hAnsi="Consolas"/>
          <w:color w:val="1F1F1F"/>
          <w:sz w:val="18"/>
          <w:szCs w:val="18"/>
        </w:rPr>
        <w:t xml:space="preserve">  "target": { "resource": "equipment", "id": "eq-bomba-01" },</w:t>
      </w:r>
    </w:p>
    <w:p>
      <w:pPr>
        <w:shd w:fill="F2F4F7" w:val="clear"/>
        <w:spacing w:after="0" w:before="0" w:line="240"/>
      </w:pPr>
      <w:r>
        <w:rPr>
          <w:rFonts w:ascii="Consolas" w:cs="Consolas" w:eastAsia="Consolas" w:hAnsi="Consolas"/>
          <w:color w:val="1F1F1F"/>
          <w:sz w:val="18"/>
          <w:szCs w:val="18"/>
        </w:rPr>
        <w:t xml:space="preserve">  "sourceIp": "190.x.x.x",</w:t>
      </w:r>
    </w:p>
    <w:p>
      <w:pPr>
        <w:shd w:fill="F2F4F7" w:val="clear"/>
        <w:spacing w:after="0" w:before="0" w:line="240"/>
      </w:pPr>
      <w:r>
        <w:rPr>
          <w:rFonts w:ascii="Consolas" w:cs="Consolas" w:eastAsia="Consolas" w:hAnsi="Consolas"/>
          <w:color w:val="1F1F1F"/>
          <w:sz w:val="18"/>
          <w:szCs w:val="18"/>
        </w:rPr>
        <w:t xml:space="preserve">  "userAgent": "Mozilla/5.0 ...",</w:t>
      </w:r>
    </w:p>
    <w:p>
      <w:pPr>
        <w:shd w:fill="F2F4F7" w:val="clear"/>
        <w:spacing w:after="0" w:before="0" w:line="240"/>
      </w:pPr>
      <w:r>
        <w:rPr>
          <w:rFonts w:ascii="Consolas" w:cs="Consolas" w:eastAsia="Consolas" w:hAnsi="Consolas"/>
          <w:color w:val="1F1F1F"/>
          <w:sz w:val="18"/>
          <w:szCs w:val="18"/>
        </w:rPr>
        <w:t xml:space="preserve">  "result": "success",            // success | failure</w:t>
      </w:r>
    </w:p>
    <w:p>
      <w:pPr>
        <w:shd w:fill="F2F4F7" w:val="clear"/>
        <w:spacing w:after="0" w:before="0" w:line="240"/>
      </w:pPr>
      <w:r>
        <w:rPr>
          <w:rFonts w:ascii="Consolas" w:cs="Consolas" w:eastAsia="Consolas" w:hAnsi="Consolas"/>
          <w:color w:val="1F1F1F"/>
          <w:sz w:val="18"/>
          <w:szCs w:val="18"/>
        </w:rPr>
        <w:t xml:space="preserve">  "detail": { "commandId": "&lt;uuid&gt;" },</w:t>
      </w:r>
    </w:p>
    <w:p>
      <w:pPr>
        <w:shd w:fill="F2F4F7" w:val="clear"/>
        <w:spacing w:after="0" w:before="0" w:line="240"/>
      </w:pPr>
      <w:r>
        <w:rPr>
          <w:rFonts w:ascii="Consolas" w:cs="Consolas" w:eastAsia="Consolas" w:hAnsi="Consolas"/>
          <w:color w:val="1F1F1F"/>
          <w:sz w:val="18"/>
          <w:szCs w:val="18"/>
        </w:rPr>
        <w:t xml:space="preserve">  "_ts": 1754059440,</w:t>
      </w:r>
    </w:p>
    <w:p>
      <w:pPr>
        <w:shd w:fill="F2F4F7" w:val="clear"/>
        <w:spacing w:after="0" w:before="0" w:line="240"/>
      </w:pPr>
      <w:r>
        <w:rPr>
          <w:rFonts w:ascii="Consolas" w:cs="Consolas" w:eastAsia="Consolas" w:hAnsi="Consolas"/>
          <w:color w:val="1F1F1F"/>
          <w:sz w:val="18"/>
          <w:szCs w:val="18"/>
        </w:rPr>
        <w:t xml:space="preserve">  "schemaVersion": "1.0"</w:t>
      </w:r>
    </w:p>
    <w:p>
      <w:pPr>
        <w:shd w:fill="F2F4F7" w:val="clear"/>
        <w:spacing w:after="0" w:before="0" w:line="240"/>
      </w:pPr>
      <w:r>
        <w:rPr>
          <w:rFonts w:ascii="Consolas" w:cs="Consolas" w:eastAsia="Consolas" w:hAnsi="Consolas"/>
          <w:color w:val="1F1F1F"/>
          <w:sz w:val="18"/>
          <w:szCs w:val="18"/>
        </w:rPr>
        <w:t xml:space="preserve">}</w:t>
      </w:r>
    </w:p>
    <w:p>
      <w:pPr>
        <w:pStyle w:val="Heading3"/>
        <w:spacing w:after="100" w:before="220"/>
      </w:pPr>
      <w:r>
        <w:rPr>
          <w:rFonts w:ascii="Arial" w:cs="Arial" w:eastAsia="Arial" w:hAnsi="Arial"/>
          <w:b/>
          <w:bCs/>
          <w:color w:val="1F6FB2"/>
          <w:sz w:val="24"/>
          <w:szCs w:val="24"/>
        </w:rPr>
        <w:t xml:space="preserve">3.2.6 Esquema del contenedor config</w:t>
      </w:r>
    </w:p>
    <w:p>
      <w:pPr>
        <w:shd w:fill="F2F4F7" w:val="clear"/>
        <w:spacing w:after="0" w:before="0" w:line="240"/>
      </w:pPr>
      <w:r>
        <w:rPr>
          <w:rFonts w:ascii="Consolas" w:cs="Consolas" w:eastAsia="Consolas" w:hAnsi="Consolas"/>
          <w:color w:val="1F1F1F"/>
          <w:sz w:val="18"/>
          <w:szCs w:val="18"/>
        </w:rPr>
        <w:t xml:space="preserve">{</w:t>
      </w:r>
    </w:p>
    <w:p>
      <w:pPr>
        <w:shd w:fill="F2F4F7" w:val="clear"/>
        <w:spacing w:after="0" w:before="0" w:line="240"/>
      </w:pPr>
      <w:r>
        <w:rPr>
          <w:rFonts w:ascii="Consolas" w:cs="Consolas" w:eastAsia="Consolas" w:hAnsi="Consolas"/>
          <w:color w:val="1F1F1F"/>
          <w:sz w:val="18"/>
          <w:szCs w:val="18"/>
        </w:rPr>
        <w:t xml:space="preserve">  "id": "eq-bomba-01",</w:t>
      </w:r>
    </w:p>
    <w:p>
      <w:pPr>
        <w:shd w:fill="F2F4F7" w:val="clear"/>
        <w:spacing w:after="0" w:before="0" w:line="240"/>
      </w:pPr>
      <w:r>
        <w:rPr>
          <w:rFonts w:ascii="Consolas" w:cs="Consolas" w:eastAsia="Consolas" w:hAnsi="Consolas"/>
          <w:color w:val="1F1F1F"/>
          <w:sz w:val="18"/>
          <w:szCs w:val="18"/>
        </w:rPr>
        <w:t xml:space="preserve">  "tenantId": "ssr-pupuya-navidad",</w:t>
      </w:r>
    </w:p>
    <w:p>
      <w:pPr>
        <w:shd w:fill="F2F4F7" w:val="clear"/>
        <w:spacing w:after="0" w:before="0" w:line="240"/>
      </w:pPr>
      <w:r>
        <w:rPr>
          <w:rFonts w:ascii="Consolas" w:cs="Consolas" w:eastAsia="Consolas" w:hAnsi="Consolas"/>
          <w:color w:val="1F1F1F"/>
          <w:sz w:val="18"/>
          <w:szCs w:val="18"/>
        </w:rPr>
        <w:t xml:space="preserve">  "docType": "equipment",         // tenant | site | equipment | sensor | gateway</w:t>
      </w:r>
    </w:p>
    <w:p>
      <w:pPr>
        <w:shd w:fill="F2F4F7" w:val="clear"/>
        <w:spacing w:after="0" w:before="0" w:line="240"/>
      </w:pPr>
      <w:r>
        <w:rPr>
          <w:rFonts w:ascii="Consolas" w:cs="Consolas" w:eastAsia="Consolas" w:hAnsi="Consolas"/>
          <w:color w:val="1F1F1F"/>
          <w:sz w:val="18"/>
          <w:szCs w:val="18"/>
        </w:rPr>
        <w:t xml:space="preserve">  "siteId": "site-001",</w:t>
      </w:r>
    </w:p>
    <w:p>
      <w:pPr>
        <w:shd w:fill="F2F4F7" w:val="clear"/>
        <w:spacing w:after="0" w:before="0" w:line="240"/>
      </w:pPr>
      <w:r>
        <w:rPr>
          <w:rFonts w:ascii="Consolas" w:cs="Consolas" w:eastAsia="Consolas" w:hAnsi="Consolas"/>
          <w:color w:val="1F1F1F"/>
          <w:sz w:val="18"/>
          <w:szCs w:val="18"/>
        </w:rPr>
        <w:t xml:space="preserve">  "equipmentId": "eq-bomba-01",</w:t>
      </w:r>
    </w:p>
    <w:p>
      <w:pPr>
        <w:shd w:fill="F2F4F7" w:val="clear"/>
        <w:spacing w:after="0" w:before="0" w:line="240"/>
      </w:pPr>
      <w:r>
        <w:rPr>
          <w:rFonts w:ascii="Consolas" w:cs="Consolas" w:eastAsia="Consolas" w:hAnsi="Consolas"/>
          <w:color w:val="1F1F1F"/>
          <w:sz w:val="18"/>
          <w:szCs w:val="18"/>
        </w:rPr>
        <w:t xml:space="preserve">  "name": "Bomba pozo 1",</w:t>
      </w:r>
    </w:p>
    <w:p>
      <w:pPr>
        <w:shd w:fill="F2F4F7" w:val="clear"/>
        <w:spacing w:after="0" w:before="0" w:line="240"/>
      </w:pPr>
      <w:r>
        <w:rPr>
          <w:rFonts w:ascii="Consolas" w:cs="Consolas" w:eastAsia="Consolas" w:hAnsi="Consolas"/>
          <w:color w:val="1F1F1F"/>
          <w:sz w:val="18"/>
          <w:szCs w:val="18"/>
        </w:rPr>
        <w:t xml:space="preserve">  "plcModel": "Schneider TM221CE16R",</w:t>
      </w:r>
    </w:p>
    <w:p>
      <w:pPr>
        <w:shd w:fill="F2F4F7" w:val="clear"/>
        <w:spacing w:after="0" w:before="0" w:line="240"/>
      </w:pPr>
      <w:r>
        <w:rPr>
          <w:rFonts w:ascii="Consolas" w:cs="Consolas" w:eastAsia="Consolas" w:hAnsi="Consolas"/>
          <w:color w:val="1F1F1F"/>
          <w:sz w:val="18"/>
          <w:szCs w:val="18"/>
        </w:rPr>
        <w:t xml:space="preserve">  "plcExpansion": ["TM3AM6"],</w:t>
      </w:r>
    </w:p>
    <w:p>
      <w:pPr>
        <w:shd w:fill="F2F4F7" w:val="clear"/>
        <w:spacing w:after="0" w:before="0" w:line="240"/>
      </w:pPr>
      <w:r>
        <w:rPr>
          <w:rFonts w:ascii="Consolas" w:cs="Consolas" w:eastAsia="Consolas" w:hAnsi="Consolas"/>
          <w:color w:val="1F1F1F"/>
          <w:sz w:val="18"/>
          <w:szCs w:val="18"/>
        </w:rPr>
        <w:t xml:space="preserve">  "sensorMap": [</w:t>
      </w:r>
    </w:p>
    <w:p>
      <w:pPr>
        <w:shd w:fill="F2F4F7" w:val="clear"/>
        <w:spacing w:after="0" w:before="0" w:line="240"/>
      </w:pPr>
      <w:r>
        <w:rPr>
          <w:rFonts w:ascii="Consolas" w:cs="Consolas" w:eastAsia="Consolas" w:hAnsi="Consolas"/>
          <w:color w:val="1F1F1F"/>
          <w:sz w:val="18"/>
          <w:szCs w:val="18"/>
        </w:rPr>
        <w:t xml:space="preserve">    { "variable": "level_m", "register": "%MW100", "scale": 0.01, "unit": "m" },</w:t>
      </w:r>
    </w:p>
    <w:p>
      <w:pPr>
        <w:shd w:fill="F2F4F7" w:val="clear"/>
        <w:spacing w:after="0" w:before="0" w:line="240"/>
      </w:pPr>
      <w:r>
        <w:rPr>
          <w:rFonts w:ascii="Consolas" w:cs="Consolas" w:eastAsia="Consolas" w:hAnsi="Consolas"/>
          <w:color w:val="1F1F1F"/>
          <w:sz w:val="18"/>
          <w:szCs w:val="18"/>
        </w:rPr>
        <w:t xml:space="preserve">    { "variable": "flow_lps", "register": "%MW102", "scale": 0.1, "unit": "L/s" }</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  "thresholds": {</w:t>
      </w:r>
    </w:p>
    <w:p>
      <w:pPr>
        <w:shd w:fill="F2F4F7" w:val="clear"/>
        <w:spacing w:after="0" w:before="0" w:line="240"/>
      </w:pPr>
      <w:r>
        <w:rPr>
          <w:rFonts w:ascii="Consolas" w:cs="Consolas" w:eastAsia="Consolas" w:hAnsi="Consolas"/>
          <w:color w:val="1F1F1F"/>
          <w:sz w:val="18"/>
          <w:szCs w:val="18"/>
        </w:rPr>
        <w:t xml:space="preserve">    "level_m": { "low": 1.5, "high": 5.0, "deadband": 0.1 }</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  "controlPolicy": { "remoteEnabled": true, "requireMfa": false, "interlock": ["manual_mode"] },</w:t>
      </w:r>
    </w:p>
    <w:p>
      <w:pPr>
        <w:shd w:fill="F2F4F7" w:val="clear"/>
        <w:spacing w:after="0" w:before="0" w:line="240"/>
      </w:pPr>
      <w:r>
        <w:rPr>
          <w:rFonts w:ascii="Consolas" w:cs="Consolas" w:eastAsia="Consolas" w:hAnsi="Consolas"/>
          <w:color w:val="1F1F1F"/>
          <w:sz w:val="18"/>
          <w:szCs w:val="18"/>
        </w:rPr>
        <w:t xml:space="preserve">  "updatedAt": "2026-07-15T10:00:00Z",</w:t>
      </w:r>
    </w:p>
    <w:p>
      <w:pPr>
        <w:shd w:fill="F2F4F7" w:val="clear"/>
        <w:spacing w:after="0" w:before="0" w:line="240"/>
      </w:pPr>
      <w:r>
        <w:rPr>
          <w:rFonts w:ascii="Consolas" w:cs="Consolas" w:eastAsia="Consolas" w:hAnsi="Consolas"/>
          <w:color w:val="1F1F1F"/>
          <w:sz w:val="18"/>
          <w:szCs w:val="18"/>
        </w:rPr>
        <w:t xml:space="preserve">  "updatedBy": "admin@cyb.cl",</w:t>
      </w:r>
    </w:p>
    <w:p>
      <w:pPr>
        <w:shd w:fill="F2F4F7" w:val="clear"/>
        <w:spacing w:after="0" w:before="0" w:line="240"/>
      </w:pPr>
      <w:r>
        <w:rPr>
          <w:rFonts w:ascii="Consolas" w:cs="Consolas" w:eastAsia="Consolas" w:hAnsi="Consolas"/>
          <w:color w:val="1F1F1F"/>
          <w:sz w:val="18"/>
          <w:szCs w:val="18"/>
        </w:rPr>
        <w:t xml:space="preserve">  "_ts": 1752573600,</w:t>
      </w:r>
    </w:p>
    <w:p>
      <w:pPr>
        <w:shd w:fill="F2F4F7" w:val="clear"/>
        <w:spacing w:after="0" w:before="0" w:line="240"/>
      </w:pPr>
      <w:r>
        <w:rPr>
          <w:rFonts w:ascii="Consolas" w:cs="Consolas" w:eastAsia="Consolas" w:hAnsi="Consolas"/>
          <w:color w:val="1F1F1F"/>
          <w:sz w:val="18"/>
          <w:szCs w:val="18"/>
        </w:rPr>
        <w:t xml:space="preserve">  "schemaVersion": "1.0"</w:t>
      </w:r>
    </w:p>
    <w:p>
      <w:pPr>
        <w:shd w:fill="F2F4F7" w:val="clear"/>
        <w:spacing w:after="0" w:before="0" w:line="240"/>
      </w:pPr>
      <w:r>
        <w:rPr>
          <w:rFonts w:ascii="Consolas" w:cs="Consolas" w:eastAsia="Consolas" w:hAnsi="Consolas"/>
          <w:color w:val="1F1F1F"/>
          <w:sz w:val="18"/>
          <w:szCs w:val="18"/>
        </w:rPr>
        <w:t xml:space="preserve">}</w:t>
      </w:r>
    </w:p>
    <w:p>
      <w:pPr>
        <w:pStyle w:val="Heading3"/>
        <w:spacing w:after="100" w:before="220"/>
      </w:pPr>
      <w:r>
        <w:rPr>
          <w:rFonts w:ascii="Arial" w:cs="Arial" w:eastAsia="Arial" w:hAnsi="Arial"/>
          <w:b/>
          <w:bCs/>
          <w:color w:val="1F6FB2"/>
          <w:sz w:val="24"/>
          <w:szCs w:val="24"/>
        </w:rPr>
        <w:t xml:space="preserve">3.2.7 Esquema del contenedor dgaTransactions</w:t>
      </w:r>
    </w:p>
    <w:p>
      <w:pPr>
        <w:shd w:fill="F2F4F7" w:val="clear"/>
        <w:spacing w:after="0" w:before="0" w:line="240"/>
      </w:pPr>
      <w:r>
        <w:rPr>
          <w:rFonts w:ascii="Consolas" w:cs="Consolas" w:eastAsia="Consolas" w:hAnsi="Consolas"/>
          <w:color w:val="1F1F1F"/>
          <w:sz w:val="18"/>
          <w:szCs w:val="18"/>
        </w:rPr>
        <w:t xml:space="preserve">{</w:t>
      </w:r>
    </w:p>
    <w:p>
      <w:pPr>
        <w:shd w:fill="F2F4F7" w:val="clear"/>
        <w:spacing w:after="0" w:before="0" w:line="240"/>
      </w:pPr>
      <w:r>
        <w:rPr>
          <w:rFonts w:ascii="Consolas" w:cs="Consolas" w:eastAsia="Consolas" w:hAnsi="Consolas"/>
          <w:color w:val="1F1F1F"/>
          <w:sz w:val="18"/>
          <w:szCs w:val="18"/>
        </w:rPr>
        <w:t xml:space="preserve">  "id": "&lt;uuid&gt;",</w:t>
      </w:r>
    </w:p>
    <w:p>
      <w:pPr>
        <w:shd w:fill="F2F4F7" w:val="clear"/>
        <w:spacing w:after="0" w:before="0" w:line="240"/>
      </w:pPr>
      <w:r>
        <w:rPr>
          <w:rFonts w:ascii="Consolas" w:cs="Consolas" w:eastAsia="Consolas" w:hAnsi="Consolas"/>
          <w:color w:val="1F1F1F"/>
          <w:sz w:val="18"/>
          <w:szCs w:val="18"/>
        </w:rPr>
        <w:t xml:space="preserve">  "tenantId": "ssr-pupuya-navidad",</w:t>
      </w:r>
    </w:p>
    <w:p>
      <w:pPr>
        <w:shd w:fill="F2F4F7" w:val="clear"/>
        <w:spacing w:after="0" w:before="0" w:line="240"/>
      </w:pPr>
      <w:r>
        <w:rPr>
          <w:rFonts w:ascii="Consolas" w:cs="Consolas" w:eastAsia="Consolas" w:hAnsi="Consolas"/>
          <w:color w:val="1F1F1F"/>
          <w:sz w:val="18"/>
          <w:szCs w:val="18"/>
        </w:rPr>
        <w:t xml:space="preserve">  "siteId": "site-001",</w:t>
      </w:r>
    </w:p>
    <w:p>
      <w:pPr>
        <w:shd w:fill="F2F4F7" w:val="clear"/>
        <w:spacing w:after="0" w:before="0" w:line="240"/>
      </w:pPr>
      <w:r>
        <w:rPr>
          <w:rFonts w:ascii="Consolas" w:cs="Consolas" w:eastAsia="Consolas" w:hAnsi="Consolas"/>
          <w:color w:val="1F1F1F"/>
          <w:sz w:val="18"/>
          <w:szCs w:val="18"/>
        </w:rPr>
        <w:t xml:space="preserve">  "obraDgaCode": "NDG-1850",</w:t>
      </w:r>
    </w:p>
    <w:p>
      <w:pPr>
        <w:shd w:fill="F2F4F7" w:val="clear"/>
        <w:spacing w:after="0" w:before="0" w:line="240"/>
      </w:pPr>
      <w:r>
        <w:rPr>
          <w:rFonts w:ascii="Consolas" w:cs="Consolas" w:eastAsia="Consolas" w:hAnsi="Consolas"/>
          <w:color w:val="1F1F1F"/>
          <w:sz w:val="18"/>
          <w:szCs w:val="18"/>
        </w:rPr>
        <w:t xml:space="preserve">  "period": { "from": "2026-07-01T00:00:00Z", "to": "2026-07-31T23:59:59Z" },</w:t>
      </w:r>
    </w:p>
    <w:p>
      <w:pPr>
        <w:shd w:fill="F2F4F7" w:val="clear"/>
        <w:spacing w:after="0" w:before="0" w:line="240"/>
      </w:pPr>
      <w:r>
        <w:rPr>
          <w:rFonts w:ascii="Consolas" w:cs="Consolas" w:eastAsia="Consolas" w:hAnsi="Consolas"/>
          <w:color w:val="1F1F1F"/>
          <w:sz w:val="18"/>
          <w:szCs w:val="18"/>
        </w:rPr>
        <w:t xml:space="preserve">  "flowReadingsCount": 8640,</w:t>
      </w:r>
    </w:p>
    <w:p>
      <w:pPr>
        <w:shd w:fill="F2F4F7" w:val="clear"/>
        <w:spacing w:after="0" w:before="0" w:line="240"/>
      </w:pPr>
      <w:r>
        <w:rPr>
          <w:rFonts w:ascii="Consolas" w:cs="Consolas" w:eastAsia="Consolas" w:hAnsi="Consolas"/>
          <w:color w:val="1F1F1F"/>
          <w:sz w:val="18"/>
          <w:szCs w:val="18"/>
        </w:rPr>
        <w:t xml:space="preserve">  "volumeM3": 23456.7,</w:t>
      </w:r>
    </w:p>
    <w:p>
      <w:pPr>
        <w:shd w:fill="F2F4F7" w:val="clear"/>
        <w:spacing w:after="0" w:before="0" w:line="240"/>
      </w:pPr>
      <w:r>
        <w:rPr>
          <w:rFonts w:ascii="Consolas" w:cs="Consolas" w:eastAsia="Consolas" w:hAnsi="Consolas"/>
          <w:color w:val="1F1F1F"/>
          <w:sz w:val="18"/>
          <w:szCs w:val="18"/>
        </w:rPr>
        <w:t xml:space="preserve">  "xmlPayloadRef": "blob://reports/dga/2026-07/ssr-pupuya-navidad-NDG1850.xml",</w:t>
      </w:r>
    </w:p>
    <w:p>
      <w:pPr>
        <w:shd w:fill="F2F4F7" w:val="clear"/>
        <w:spacing w:after="0" w:before="0" w:line="240"/>
      </w:pPr>
      <w:r>
        <w:rPr>
          <w:rFonts w:ascii="Consolas" w:cs="Consolas" w:eastAsia="Consolas" w:hAnsi="Consolas"/>
          <w:color w:val="1F1F1F"/>
          <w:sz w:val="18"/>
          <w:szCs w:val="18"/>
        </w:rPr>
        <w:t xml:space="preserve">  "webserviceResponse": { "status": 200, "folio": "DGA-202607-998877" },</w:t>
      </w:r>
    </w:p>
    <w:p>
      <w:pPr>
        <w:shd w:fill="F2F4F7" w:val="clear"/>
        <w:spacing w:after="0" w:before="0" w:line="240"/>
      </w:pPr>
      <w:r>
        <w:rPr>
          <w:rFonts w:ascii="Consolas" w:cs="Consolas" w:eastAsia="Consolas" w:hAnsi="Consolas"/>
          <w:color w:val="1F1F1F"/>
          <w:sz w:val="18"/>
          <w:szCs w:val="18"/>
        </w:rPr>
        <w:t xml:space="preserve">  "submittedAt": "2026-08-02T03:00:00Z",</w:t>
      </w:r>
    </w:p>
    <w:p>
      <w:pPr>
        <w:shd w:fill="F2F4F7" w:val="clear"/>
        <w:spacing w:after="0" w:before="0" w:line="240"/>
      </w:pPr>
      <w:r>
        <w:rPr>
          <w:rFonts w:ascii="Consolas" w:cs="Consolas" w:eastAsia="Consolas" w:hAnsi="Consolas"/>
          <w:color w:val="1F1F1F"/>
          <w:sz w:val="18"/>
          <w:szCs w:val="18"/>
        </w:rPr>
        <w:t xml:space="preserve">  "submittedBy": "system",</w:t>
      </w:r>
    </w:p>
    <w:p>
      <w:pPr>
        <w:shd w:fill="F2F4F7" w:val="clear"/>
        <w:spacing w:after="0" w:before="0" w:line="240"/>
      </w:pPr>
      <w:r>
        <w:rPr>
          <w:rFonts w:ascii="Consolas" w:cs="Consolas" w:eastAsia="Consolas" w:hAnsi="Consolas"/>
          <w:color w:val="1F1F1F"/>
          <w:sz w:val="18"/>
          <w:szCs w:val="18"/>
        </w:rPr>
        <w:t xml:space="preserve">  "status": "accepted",            // pending | sent | accepted | rejected | error</w:t>
      </w:r>
    </w:p>
    <w:p>
      <w:pPr>
        <w:shd w:fill="F2F4F7" w:val="clear"/>
        <w:spacing w:after="0" w:before="0" w:line="240"/>
      </w:pPr>
      <w:r>
        <w:rPr>
          <w:rFonts w:ascii="Consolas" w:cs="Consolas" w:eastAsia="Consolas" w:hAnsi="Consolas"/>
          <w:color w:val="1F1F1F"/>
          <w:sz w:val="18"/>
          <w:szCs w:val="18"/>
        </w:rPr>
        <w:t xml:space="preserve">  "errorMessage": null,</w:t>
      </w:r>
    </w:p>
    <w:p>
      <w:pPr>
        <w:shd w:fill="F2F4F7" w:val="clear"/>
        <w:spacing w:after="0" w:before="0" w:line="240"/>
      </w:pPr>
      <w:r>
        <w:rPr>
          <w:rFonts w:ascii="Consolas" w:cs="Consolas" w:eastAsia="Consolas" w:hAnsi="Consolas"/>
          <w:color w:val="1F1F1F"/>
          <w:sz w:val="18"/>
          <w:szCs w:val="18"/>
        </w:rPr>
        <w:t xml:space="preserve">  "retryCount": 0,</w:t>
      </w:r>
    </w:p>
    <w:p>
      <w:pPr>
        <w:shd w:fill="F2F4F7" w:val="clear"/>
        <w:spacing w:after="0" w:before="0" w:line="240"/>
      </w:pPr>
      <w:r>
        <w:rPr>
          <w:rFonts w:ascii="Consolas" w:cs="Consolas" w:eastAsia="Consolas" w:hAnsi="Consolas"/>
          <w:color w:val="1F1F1F"/>
          <w:sz w:val="18"/>
          <w:szCs w:val="18"/>
        </w:rPr>
        <w:t xml:space="preserve">  "_ts": 1754100000,</w:t>
      </w:r>
    </w:p>
    <w:p>
      <w:pPr>
        <w:shd w:fill="F2F4F7" w:val="clear"/>
        <w:spacing w:after="0" w:before="0" w:line="240"/>
      </w:pPr>
      <w:r>
        <w:rPr>
          <w:rFonts w:ascii="Consolas" w:cs="Consolas" w:eastAsia="Consolas" w:hAnsi="Consolas"/>
          <w:color w:val="1F1F1F"/>
          <w:sz w:val="18"/>
          <w:szCs w:val="18"/>
        </w:rPr>
        <w:t xml:space="preserve">  "schemaVersion": "1.0"</w:t>
      </w:r>
    </w:p>
    <w:p>
      <w:pPr>
        <w:shd w:fill="F2F4F7" w:val="clear"/>
        <w:spacing w:after="0" w:before="0" w:line="240"/>
      </w:pPr>
      <w:r>
        <w:rPr>
          <w:rFonts w:ascii="Consolas" w:cs="Consolas" w:eastAsia="Consolas" w:hAnsi="Consolas"/>
          <w:color w:val="1F1F1F"/>
          <w:sz w:val="18"/>
          <w:szCs w:val="18"/>
        </w:rPr>
        <w:t xml:space="preserve">}</w:t>
      </w:r>
    </w:p>
    <w:p>
      <w:pPr>
        <w:pStyle w:val="Heading2"/>
        <w:spacing w:after="120" w:before="280"/>
      </w:pPr>
      <w:r>
        <w:rPr>
          <w:rFonts w:ascii="Arial" w:cs="Arial" w:eastAsia="Arial" w:hAnsi="Arial"/>
          <w:b/>
          <w:bCs/>
          <w:color w:val="0E7C86"/>
          <w:sz w:val="28"/>
          <w:szCs w:val="28"/>
        </w:rPr>
        <w:t xml:space="preserve">3.3 Histórico normalizado en Blob Storage</w:t>
      </w:r>
    </w:p>
    <w:p>
      <w:pPr>
        <w:spacing w:after="60" w:before="60" w:line="300"/>
        <w:jc w:val="both"/>
      </w:pPr>
      <w:r>
        <w:rPr>
          <w:rFonts w:ascii="Arial" w:cs="Arial" w:eastAsia="Arial" w:hAnsi="Arial"/>
          <w:b w:val="false"/>
          <w:bCs w:val="false"/>
          <w:i w:val="false"/>
          <w:iCs w:val="false"/>
          <w:color w:val="1F1F1F"/>
          <w:sz w:val="22"/>
          <w:szCs w:val="22"/>
        </w:rPr>
        <w:t xml:space="preserve">Los documentos del contenedor telemetry se exportan automáticamente a Blob Storage en formato JSON Lines (JSONL) antes de que venza el TTL. Cada archivo agrupa las mediciones de un día por tenant. Esta separación permite mantener Cosmos liviano y conservar tres años de historial regulatorio a costo bajo.</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Container: </w:t>
      </w:r>
      <w:r>
        <w:rPr>
          <w:rFonts w:ascii="Arial" w:cs="Arial" w:eastAsia="Arial" w:hAnsi="Arial"/>
          <w:b w:val="false"/>
          <w:bCs w:val="false"/>
          <w:i w:val="false"/>
          <w:iCs w:val="false"/>
          <w:color w:val="1F1F1F"/>
          <w:sz w:val="22"/>
          <w:szCs w:val="22"/>
        </w:rPr>
        <w:t xml:space="preserve">jsonl-history</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Estructura de ruta: </w:t>
      </w:r>
      <w:r>
        <w:rPr>
          <w:rFonts w:ascii="Arial" w:cs="Arial" w:eastAsia="Arial" w:hAnsi="Arial"/>
          <w:b w:val="false"/>
          <w:bCs w:val="false"/>
          <w:i w:val="false"/>
          <w:iCs w:val="false"/>
          <w:color w:val="1F1F1F"/>
          <w:sz w:val="22"/>
          <w:szCs w:val="22"/>
        </w:rPr>
        <w:t xml:space="preserve">/{tenantId}/{siteId}/{equipmentId}/{yyyy}/{MM}/{dd}.jsonl</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Tiering: </w:t>
      </w:r>
      <w:r>
        <w:rPr>
          <w:rFonts w:ascii="Arial" w:cs="Arial" w:eastAsia="Arial" w:hAnsi="Arial"/>
          <w:b w:val="false"/>
          <w:bCs w:val="false"/>
          <w:i w:val="false"/>
          <w:iCs w:val="false"/>
          <w:color w:val="1F1F1F"/>
          <w:sz w:val="22"/>
          <w:szCs w:val="22"/>
        </w:rPr>
        <w:t xml:space="preserve">Hot 0-30 días, Cool 31-90 días, Archive 91 días-3 años, eliminación a los 3 años cumplidos.</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Crudos diagnósticos: </w:t>
      </w:r>
      <w:r>
        <w:rPr>
          <w:rFonts w:ascii="Arial" w:cs="Arial" w:eastAsia="Arial" w:hAnsi="Arial"/>
          <w:b w:val="false"/>
          <w:bCs w:val="false"/>
          <w:i w:val="false"/>
          <w:iCs w:val="false"/>
          <w:color w:val="1F1F1F"/>
          <w:sz w:val="22"/>
          <w:szCs w:val="22"/>
        </w:rPr>
        <w:t xml:space="preserve">container raw-telemetry, retención 90 días, sin tiering, eliminación automática.</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Reportes generados: </w:t>
      </w:r>
      <w:r>
        <w:rPr>
          <w:rFonts w:ascii="Arial" w:cs="Arial" w:eastAsia="Arial" w:hAnsi="Arial"/>
          <w:b w:val="false"/>
          <w:bCs w:val="false"/>
          <w:i w:val="false"/>
          <w:iCs w:val="false"/>
          <w:color w:val="1F1F1F"/>
          <w:sz w:val="22"/>
          <w:szCs w:val="22"/>
        </w:rPr>
        <w:t xml:space="preserve">container reports, ruta /{tenantId}/{yyyy}/{MM}/. Retención 5 años para PDFs DGA, 3 años para Excel operacionales.</w:t>
      </w:r>
    </w:p>
    <w:p>
      <w:pPr>
        <w:pStyle w:val="Heading2"/>
        <w:spacing w:after="120" w:before="280"/>
      </w:pPr>
      <w:r>
        <w:rPr>
          <w:rFonts w:ascii="Arial" w:cs="Arial" w:eastAsia="Arial" w:hAnsi="Arial"/>
          <w:b/>
          <w:bCs/>
          <w:color w:val="0E7C86"/>
          <w:sz w:val="28"/>
          <w:szCs w:val="28"/>
        </w:rPr>
        <w:t xml:space="preserve">3.4 Diagrama lógico de datos</w:t>
      </w:r>
    </w:p>
    <w:p>
      <w:pPr>
        <w:spacing w:after="60" w:before="60" w:line="300"/>
        <w:jc w:val="both"/>
      </w:pPr>
      <w:r>
        <w:rPr>
          <w:rFonts w:ascii="Arial" w:cs="Arial" w:eastAsia="Arial" w:hAnsi="Arial"/>
          <w:b w:val="false"/>
          <w:bCs w:val="false"/>
          <w:i w:val="false"/>
          <w:iCs w:val="false"/>
          <w:color w:val="1F1F1F"/>
          <w:sz w:val="22"/>
          <w:szCs w:val="22"/>
        </w:rPr>
        <w:t xml:space="preserve">Las relaciones lógicas son las siguientes: un tenant tiene N sitios, cada sitio tiene N equipos, cada equipo se asocia a un gateway físico (deviceId en IoT Hub) y a un conjunto de variables monitoreadas. La telemetría y el estado se almacenan por equipo; comandos, alarmas y auditoría se almacenan a nivel transaccional con referencia al equipo.</w:t>
      </w:r>
    </w:p>
    <w:p>
      <w:pPr>
        <w:shd w:fill="F2F4F7" w:val="clear"/>
        <w:spacing w:after="0" w:before="0" w:line="240"/>
      </w:pPr>
      <w:r>
        <w:rPr>
          <w:rFonts w:ascii="Consolas" w:cs="Consolas" w:eastAsia="Consolas" w:hAnsi="Consolas"/>
          <w:color w:val="1F1F1F"/>
          <w:sz w:val="18"/>
          <w:szCs w:val="18"/>
        </w:rPr>
        <w:t xml:space="preserve">tenant (1) ─── (N) site (1) ─── (N) equipment (1) ─── (1) device/gateway</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                                            ├──&gt; telemetry  (90 días, Cosmos) ──&gt; Blob JSONL (3 años)</w:t>
      </w:r>
    </w:p>
    <w:p>
      <w:pPr>
        <w:shd w:fill="F2F4F7" w:val="clear"/>
        <w:spacing w:after="0" w:before="0" w:line="240"/>
      </w:pPr>
      <w:r>
        <w:rPr>
          <w:rFonts w:ascii="Consolas" w:cs="Consolas" w:eastAsia="Consolas" w:hAnsi="Consolas"/>
          <w:color w:val="1F1F1F"/>
          <w:sz w:val="18"/>
          <w:szCs w:val="18"/>
        </w:rPr>
        <w:t xml:space="preserve">                                            ├──&gt; equipmentState (vivo, Cosmos)</w:t>
      </w:r>
    </w:p>
    <w:p>
      <w:pPr>
        <w:shd w:fill="F2F4F7" w:val="clear"/>
        <w:spacing w:after="0" w:before="0" w:line="240"/>
      </w:pPr>
      <w:r>
        <w:rPr>
          <w:rFonts w:ascii="Consolas" w:cs="Consolas" w:eastAsia="Consolas" w:hAnsi="Consolas"/>
          <w:color w:val="1F1F1F"/>
          <w:sz w:val="18"/>
          <w:szCs w:val="18"/>
        </w:rPr>
        <w:t xml:space="preserve">                                            ├──&gt; commands (3 años, Cosmos)</w:t>
      </w:r>
    </w:p>
    <w:p>
      <w:pPr>
        <w:shd w:fill="F2F4F7" w:val="clear"/>
        <w:spacing w:after="0" w:before="0" w:line="240"/>
      </w:pPr>
      <w:r>
        <w:rPr>
          <w:rFonts w:ascii="Consolas" w:cs="Consolas" w:eastAsia="Consolas" w:hAnsi="Consolas"/>
          <w:color w:val="1F1F1F"/>
          <w:sz w:val="18"/>
          <w:szCs w:val="18"/>
        </w:rPr>
        <w:t xml:space="preserve">                                            ├──&gt; alarms (3 años, Cosmos)</w:t>
      </w:r>
    </w:p>
    <w:p>
      <w:pPr>
        <w:shd w:fill="F2F4F7" w:val="clear"/>
        <w:spacing w:after="0" w:before="0" w:line="240"/>
      </w:pPr>
      <w:r>
        <w:rPr>
          <w:rFonts w:ascii="Consolas" w:cs="Consolas" w:eastAsia="Consolas" w:hAnsi="Consolas"/>
          <w:color w:val="1F1F1F"/>
          <w:sz w:val="18"/>
          <w:szCs w:val="18"/>
        </w:rPr>
        <w:t xml:space="preserve">                                            └──&gt; dgaTransactions (5 años, si aplica)</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audit (transversal por tenant, sin TTL)</w:t>
      </w:r>
    </w:p>
    <w:p>
      <w:pPr>
        <w:shd w:fill="F2F4F7" w:val="clear"/>
        <w:spacing w:after="0" w:before="0" w:line="240"/>
      </w:pPr>
      <w:r>
        <w:rPr>
          <w:rFonts w:ascii="Consolas" w:cs="Consolas" w:eastAsia="Consolas" w:hAnsi="Consolas"/>
          <w:color w:val="1F1F1F"/>
          <w:sz w:val="18"/>
          <w:szCs w:val="18"/>
        </w:rPr>
        <w:t xml:space="preserve">config (jerárquico tenant → site → equipment → sensor → gateway)</w:t>
      </w:r>
    </w:p>
    <w:p>
      <w:pPr>
        <w:pStyle w:val="Heading2"/>
        <w:spacing w:after="120" w:before="280"/>
      </w:pPr>
      <w:r>
        <w:rPr>
          <w:rFonts w:ascii="Arial" w:cs="Arial" w:eastAsia="Arial" w:hAnsi="Arial"/>
          <w:b/>
          <w:bCs/>
          <w:color w:val="0E7C86"/>
          <w:sz w:val="28"/>
          <w:szCs w:val="28"/>
        </w:rPr>
        <w:t xml:space="preserve">3.5 Política de respaldo y recuperación</w:t>
      </w:r>
    </w:p>
    <w:p>
      <w:pPr>
        <w:pStyle w:val="ListParagraph"/>
        <w:numPr>
          <w:ilvl w:val="0"/>
          <w:numId w:val="2"/>
        </w:numPr>
        <w:spacing w:after="40" w:before="40" w:line="280"/>
      </w:pPr>
      <w:r>
        <w:rPr>
          <w:rFonts w:ascii="Arial" w:cs="Arial" w:eastAsia="Arial" w:hAnsi="Arial"/>
          <w:color w:val="1F1F1F"/>
          <w:sz w:val="22"/>
          <w:szCs w:val="22"/>
        </w:rPr>
        <w:t xml:space="preserve">Cosmos DB en modo serverless mantiene respaldos continuos por 30 días con punto de recuperación cada 240 minutos. Para producción temprana se sube a Periodic Backup con retención de 7 días, dos copias diarias.</w:t>
      </w:r>
    </w:p>
    <w:p>
      <w:pPr>
        <w:pStyle w:val="ListParagraph"/>
        <w:numPr>
          <w:ilvl w:val="0"/>
          <w:numId w:val="2"/>
        </w:numPr>
        <w:spacing w:after="40" w:before="40" w:line="280"/>
      </w:pPr>
      <w:r>
        <w:rPr>
          <w:rFonts w:ascii="Arial" w:cs="Arial" w:eastAsia="Arial" w:hAnsi="Arial"/>
          <w:color w:val="1F1F1F"/>
          <w:sz w:val="22"/>
          <w:szCs w:val="22"/>
        </w:rPr>
        <w:t xml:space="preserve">Blob Storage RA-GRS asegura réplica geográfica (paired region) y permite lectura desde la región secundaria en caso de falla regional.</w:t>
      </w:r>
    </w:p>
    <w:p>
      <w:pPr>
        <w:pStyle w:val="ListParagraph"/>
        <w:numPr>
          <w:ilvl w:val="0"/>
          <w:numId w:val="2"/>
        </w:numPr>
        <w:spacing w:after="40" w:before="40" w:line="280"/>
      </w:pPr>
      <w:r>
        <w:rPr>
          <w:rFonts w:ascii="Arial" w:cs="Arial" w:eastAsia="Arial" w:hAnsi="Arial"/>
          <w:color w:val="1F1F1F"/>
          <w:sz w:val="22"/>
          <w:szCs w:val="22"/>
        </w:rPr>
        <w:t xml:space="preserve">Configuración crítica (config y umbrales) se exporta semanalmente a Blob backups en formato JSON, conservada 12 meses.</w:t>
      </w:r>
    </w:p>
    <w:p>
      <w:pPr>
        <w:pStyle w:val="ListParagraph"/>
        <w:numPr>
          <w:ilvl w:val="0"/>
          <w:numId w:val="2"/>
        </w:numPr>
        <w:spacing w:after="40" w:before="40" w:line="280"/>
      </w:pPr>
      <w:r>
        <w:rPr>
          <w:rFonts w:ascii="Arial" w:cs="Arial" w:eastAsia="Arial" w:hAnsi="Arial"/>
          <w:color w:val="1F1F1F"/>
          <w:sz w:val="22"/>
          <w:szCs w:val="22"/>
        </w:rPr>
        <w:t xml:space="preserve">RPO objetivo: 4 horas para datos transaccionales (cumplido por backup continuo Cosmos). RTO objetivo: 4 horas (restauración de Cosmos a un punto en el tiempo).</w:t>
      </w:r>
    </w:p>
    <w:p>
      <w:r>
        <w:br w:type="page"/>
      </w:r>
    </w:p>
    <w:p>
      <w:pPr>
        <w:pStyle w:val="Heading1"/>
        <w:pBdr>
          <w:bottom w:val="single" w:color="0B2A4A" w:sz="12" w:space="4"/>
        </w:pBdr>
        <w:spacing w:after="180" w:before="360"/>
      </w:pPr>
      <w:r>
        <w:rPr>
          <w:rFonts w:ascii="Arial" w:cs="Arial" w:eastAsia="Arial" w:hAnsi="Arial"/>
          <w:b/>
          <w:bCs/>
          <w:color w:val="0B2A4A"/>
          <w:sz w:val="32"/>
          <w:szCs w:val="32"/>
        </w:rPr>
        <w:t xml:space="preserve">4. Certificados X.509 en gateways IoT</w:t>
      </w:r>
    </w:p>
    <w:p>
      <w:pPr>
        <w:spacing w:after="60" w:before="60" w:line="300"/>
        <w:jc w:val="both"/>
      </w:pPr>
      <w:r>
        <w:rPr>
          <w:rFonts w:ascii="Arial" w:cs="Arial" w:eastAsia="Arial" w:hAnsi="Arial"/>
          <w:b w:val="false"/>
          <w:bCs w:val="false"/>
          <w:i w:val="false"/>
          <w:iCs w:val="false"/>
          <w:color w:val="1F1F1F"/>
          <w:sz w:val="22"/>
          <w:szCs w:val="22"/>
        </w:rPr>
        <w:t xml:space="preserve">Los gateways de AquaSync Pro se autentican contra Azure IoT Hub utilizando certificados X.509 emitidos por una Autoridad Certificadora (CA) propia administrada por CYB Chile SPA. Esta sección describe la cadena de confianza, el flujo de aprovisionamiento mediante Device Provisioning Service (DPS), la operación rutinaria de rotación y revocación, y los procedimientos de prueba y diagnóstico. La elección de X.509 sobre SAS responde a tres requisitos: cumplimiento ISA/IEC-62443 SL-2, posibilidad de revocar gateways individualmente sin afectar al resto y aprovisionamiento masivo por grupo de inscripción.</w:t>
      </w:r>
    </w:p>
    <w:p>
      <w:pPr>
        <w:pStyle w:val="Heading2"/>
        <w:spacing w:after="120" w:before="280"/>
      </w:pPr>
      <w:r>
        <w:rPr>
          <w:rFonts w:ascii="Arial" w:cs="Arial" w:eastAsia="Arial" w:hAnsi="Arial"/>
          <w:b/>
          <w:bCs/>
          <w:color w:val="0E7C86"/>
          <w:sz w:val="28"/>
          <w:szCs w:val="28"/>
        </w:rPr>
        <w:t xml:space="preserve">4.1 Cadena de confianza</w:t>
      </w:r>
    </w:p>
    <w:p>
      <w:pPr>
        <w:spacing w:after="60" w:before="60" w:line="300"/>
        <w:jc w:val="both"/>
      </w:pPr>
      <w:r>
        <w:rPr>
          <w:rFonts w:ascii="Arial" w:cs="Arial" w:eastAsia="Arial" w:hAnsi="Arial"/>
          <w:b w:val="false"/>
          <w:bCs w:val="false"/>
          <w:i w:val="false"/>
          <w:iCs w:val="false"/>
          <w:color w:val="1F1F1F"/>
          <w:sz w:val="22"/>
          <w:szCs w:val="22"/>
        </w:rPr>
        <w:t xml:space="preserve">La jerarquía de certificados se compone de tres niveles: una CA raíz offline custodiada por CYB, una CA intermedia que firma los certificados de gateway, y los certificados de cliente (uno por gateway). Solo la CA intermedia se carga en Azure IoT Hub como certificado verificado; la raíz se mantiene offline para reducir su exposición.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Nivel</w:t>
            </w:r>
          </w:p>
        </w:tc>
        <w:tc>
          <w:tcPr>
            <w:tcW w:type="dxa" w:w="30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Certificado</w:t>
            </w:r>
          </w:p>
        </w:tc>
        <w:tc>
          <w:tcPr>
            <w:tcW w:type="dxa" w:w="44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Custodia y uso</w:t>
            </w:r>
          </w:p>
        </w:tc>
      </w:tr>
      <w:tr>
        <w:tc>
          <w:tcPr>
            <w:tcW w:type="dxa" w:w="1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1 — Raíz</w:t>
            </w:r>
          </w:p>
        </w:tc>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AquaSyncPro Root CA (autofirmado, RSA 4096, 20 años)</w:t>
            </w:r>
          </w:p>
        </w:tc>
        <w:tc>
          <w:tcPr>
            <w:tcW w:type="dxa" w:w="44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Llave privada offline en HSM o medio cifrado en bóveda. Solo se usa para firmar la CA intermedia.</w:t>
            </w:r>
          </w:p>
        </w:tc>
      </w:tr>
      <w:tr>
        <w:tc>
          <w:tcPr>
            <w:tcW w:type="dxa" w:w="19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2 — Intermedia</w:t>
            </w:r>
          </w:p>
        </w:tc>
        <w:tc>
          <w:tcPr>
            <w:tcW w:type="dxa" w:w="3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AquaSyncPro Issuing CA (firmado por Root, RSA 2048, 5 años)</w:t>
            </w:r>
          </w:p>
        </w:tc>
        <w:tc>
          <w:tcPr>
            <w:tcW w:type="dxa" w:w="44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Llave privada en Azure Key Vault HSM. Se usa para firmar certificados de gateway. Cargada y verificada en IoT Hub.</w:t>
            </w:r>
          </w:p>
        </w:tc>
      </w:tr>
      <w:tr>
        <w:tc>
          <w:tcPr>
            <w:tcW w:type="dxa" w:w="1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3 — Cliente</w:t>
            </w:r>
          </w:p>
        </w:tc>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Gateway leaf cert (firmado por Issuing, ECDSA P-256, 2 años)</w:t>
            </w:r>
          </w:p>
        </w:tc>
        <w:tc>
          <w:tcPr>
            <w:tcW w:type="dxa" w:w="44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Llave privada generada en el propio gateway (TPM/secure element cuando exista). Nunca abandona el dispositivo. CN = deviceId.</w:t>
            </w:r>
          </w:p>
        </w:tc>
      </w:tr>
    </w:tbl>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Common Name (CN) del leaf: </w:t>
      </w:r>
      <w:r>
        <w:rPr>
          <w:rFonts w:ascii="Arial" w:cs="Arial" w:eastAsia="Arial" w:hAnsi="Arial"/>
          <w:b w:val="false"/>
          <w:bCs w:val="false"/>
          <w:i w:val="false"/>
          <w:iCs w:val="false"/>
          <w:color w:val="1F1F1F"/>
          <w:sz w:val="22"/>
          <w:szCs w:val="22"/>
        </w:rPr>
        <w:t xml:space="preserve">obligatorio igual al deviceId que se registrará en IoT Hub. Por ejemplo gw-pupuya-001.</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SAN: </w:t>
      </w:r>
      <w:r>
        <w:rPr>
          <w:rFonts w:ascii="Arial" w:cs="Arial" w:eastAsia="Arial" w:hAnsi="Arial"/>
          <w:b w:val="false"/>
          <w:bCs w:val="false"/>
          <w:i w:val="false"/>
          <w:iCs w:val="false"/>
          <w:color w:val="1F1F1F"/>
          <w:sz w:val="22"/>
          <w:szCs w:val="22"/>
        </w:rPr>
        <w:t xml:space="preserve">puede incluir el FQDN del sitio si se desea, pero IoT Hub valida principalmente el CN.</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Algoritmo: </w:t>
      </w:r>
      <w:r>
        <w:rPr>
          <w:rFonts w:ascii="Arial" w:cs="Arial" w:eastAsia="Arial" w:hAnsi="Arial"/>
          <w:b w:val="false"/>
          <w:bCs w:val="false"/>
          <w:i w:val="false"/>
          <w:iCs w:val="false"/>
          <w:color w:val="1F1F1F"/>
          <w:sz w:val="22"/>
          <w:szCs w:val="22"/>
        </w:rPr>
        <w:t xml:space="preserve">ECDSA P-256 para los leaf por costo computacional bajo en gateways de bajo recurso.</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Vigencia: </w:t>
      </w:r>
      <w:r>
        <w:rPr>
          <w:rFonts w:ascii="Arial" w:cs="Arial" w:eastAsia="Arial" w:hAnsi="Arial"/>
          <w:b w:val="false"/>
          <w:bCs w:val="false"/>
          <w:i w:val="false"/>
          <w:iCs w:val="false"/>
          <w:color w:val="1F1F1F"/>
          <w:sz w:val="22"/>
          <w:szCs w:val="22"/>
        </w:rPr>
        <w:t xml:space="preserve">2 años para leaf, 5 años para intermedia, 20 años para raíz. Política de rotación descrita en sección 4.5.</w:t>
      </w:r>
    </w:p>
    <w:p>
      <w:pPr>
        <w:pStyle w:val="Heading2"/>
        <w:spacing w:after="120" w:before="280"/>
      </w:pPr>
      <w:r>
        <w:rPr>
          <w:rFonts w:ascii="Arial" w:cs="Arial" w:eastAsia="Arial" w:hAnsi="Arial"/>
          <w:b/>
          <w:bCs/>
          <w:color w:val="0E7C86"/>
          <w:sz w:val="28"/>
          <w:szCs w:val="28"/>
        </w:rPr>
        <w:t xml:space="preserve">4.2 Generación de la cadena (paso a paso)</w:t>
      </w:r>
    </w:p>
    <w:p>
      <w:pPr>
        <w:spacing w:after="60" w:before="60" w:line="300"/>
        <w:jc w:val="both"/>
      </w:pPr>
      <w:r>
        <w:rPr>
          <w:rFonts w:ascii="Arial" w:cs="Arial" w:eastAsia="Arial" w:hAnsi="Arial"/>
          <w:b w:val="false"/>
          <w:bCs w:val="false"/>
          <w:i w:val="false"/>
          <w:iCs w:val="false"/>
          <w:color w:val="1F1F1F"/>
          <w:sz w:val="22"/>
          <w:szCs w:val="22"/>
        </w:rPr>
        <w:t xml:space="preserve">Estos pasos se ejecutan una sola vez en una estación segura controlada por CYB. La salida son tres archivos PEM (root, intermedia y la cadena combinada) más las llaves privadas correspondientes.</w:t>
      </w:r>
    </w:p>
    <w:p>
      <w:pPr>
        <w:pStyle w:val="ListParagraph"/>
        <w:numPr>
          <w:ilvl w:val="0"/>
          <w:numId w:val="3"/>
        </w:numPr>
        <w:spacing w:after="60" w:before="60" w:line="280"/>
      </w:pPr>
      <w:r>
        <w:rPr>
          <w:rFonts w:ascii="Arial" w:cs="Arial" w:eastAsia="Arial" w:hAnsi="Arial"/>
          <w:sz w:val="22"/>
          <w:szCs w:val="22"/>
        </w:rPr>
        <w:t xml:space="preserve">Generar la llave y el certificado autofirmado de la CA raíz con OpenSSL en una estación offline:</w:t>
      </w:r>
    </w:p>
    <w:p>
      <w:pPr>
        <w:shd w:fill="F2F4F7" w:val="clear"/>
        <w:spacing w:after="0" w:before="0" w:line="240"/>
      </w:pPr>
      <w:r>
        <w:rPr>
          <w:rFonts w:ascii="Consolas" w:cs="Consolas" w:eastAsia="Consolas" w:hAnsi="Consolas"/>
          <w:color w:val="1F1F1F"/>
          <w:sz w:val="18"/>
          <w:szCs w:val="18"/>
        </w:rPr>
        <w:t xml:space="preserve">openssl genrsa -aes256 -out root-ca.key 4096</w:t>
      </w:r>
    </w:p>
    <w:p>
      <w:pPr>
        <w:shd w:fill="F2F4F7" w:val="clear"/>
        <w:spacing w:after="0" w:before="0" w:line="240"/>
      </w:pPr>
      <w:r>
        <w:rPr>
          <w:rFonts w:ascii="Consolas" w:cs="Consolas" w:eastAsia="Consolas" w:hAnsi="Consolas"/>
          <w:color w:val="1F1F1F"/>
          <w:sz w:val="18"/>
          <w:szCs w:val="18"/>
        </w:rPr>
        <w:t xml:space="preserve">openssl req -x509 -new -nodes -key root-ca.key -sha256 -days 7300 \</w:t>
      </w:r>
    </w:p>
    <w:p>
      <w:pPr>
        <w:shd w:fill="F2F4F7" w:val="clear"/>
        <w:spacing w:after="0" w:before="0" w:line="240"/>
      </w:pPr>
      <w:r>
        <w:rPr>
          <w:rFonts w:ascii="Consolas" w:cs="Consolas" w:eastAsia="Consolas" w:hAnsi="Consolas"/>
          <w:color w:val="1F1F1F"/>
          <w:sz w:val="18"/>
          <w:szCs w:val="18"/>
        </w:rPr>
        <w:t xml:space="preserve">  -subj "/C=CL/ST=RM/O=CYB Chile SPA/OU=AquaSyncPro/CN=AquaSyncPro Root CA" \</w:t>
      </w:r>
    </w:p>
    <w:p>
      <w:pPr>
        <w:shd w:fill="F2F4F7" w:val="clear"/>
        <w:spacing w:after="0" w:before="0" w:line="240"/>
      </w:pPr>
      <w:r>
        <w:rPr>
          <w:rFonts w:ascii="Consolas" w:cs="Consolas" w:eastAsia="Consolas" w:hAnsi="Consolas"/>
          <w:color w:val="1F1F1F"/>
          <w:sz w:val="18"/>
          <w:szCs w:val="18"/>
        </w:rPr>
        <w:t xml:space="preserve">  -out root-ca.pem</w:t>
      </w:r>
    </w:p>
    <w:p>
      <w:pPr>
        <w:pStyle w:val="ListParagraph"/>
        <w:numPr>
          <w:ilvl w:val="0"/>
          <w:numId w:val="3"/>
        </w:numPr>
        <w:spacing w:after="60" w:before="60" w:line="280"/>
      </w:pPr>
      <w:r>
        <w:rPr>
          <w:rFonts w:ascii="Arial" w:cs="Arial" w:eastAsia="Arial" w:hAnsi="Arial"/>
          <w:sz w:val="22"/>
          <w:szCs w:val="22"/>
        </w:rPr>
        <w:t xml:space="preserve">Generar la llave y la solicitud (CSR) de la CA intermedia, y firmarla con la raíz:</w:t>
      </w:r>
    </w:p>
    <w:p>
      <w:pPr>
        <w:shd w:fill="F2F4F7" w:val="clear"/>
        <w:spacing w:after="0" w:before="0" w:line="240"/>
      </w:pPr>
      <w:r>
        <w:rPr>
          <w:rFonts w:ascii="Consolas" w:cs="Consolas" w:eastAsia="Consolas" w:hAnsi="Consolas"/>
          <w:color w:val="1F1F1F"/>
          <w:sz w:val="18"/>
          <w:szCs w:val="18"/>
        </w:rPr>
        <w:t xml:space="preserve">openssl genrsa -aes256 -out issuing-ca.key 2048</w:t>
      </w:r>
    </w:p>
    <w:p>
      <w:pPr>
        <w:shd w:fill="F2F4F7" w:val="clear"/>
        <w:spacing w:after="0" w:before="0" w:line="240"/>
      </w:pPr>
      <w:r>
        <w:rPr>
          <w:rFonts w:ascii="Consolas" w:cs="Consolas" w:eastAsia="Consolas" w:hAnsi="Consolas"/>
          <w:color w:val="1F1F1F"/>
          <w:sz w:val="18"/>
          <w:szCs w:val="18"/>
        </w:rPr>
        <w:t xml:space="preserve">openssl req -new -key issuing-ca.key \</w:t>
      </w:r>
    </w:p>
    <w:p>
      <w:pPr>
        <w:shd w:fill="F2F4F7" w:val="clear"/>
        <w:spacing w:after="0" w:before="0" w:line="240"/>
      </w:pPr>
      <w:r>
        <w:rPr>
          <w:rFonts w:ascii="Consolas" w:cs="Consolas" w:eastAsia="Consolas" w:hAnsi="Consolas"/>
          <w:color w:val="1F1F1F"/>
          <w:sz w:val="18"/>
          <w:szCs w:val="18"/>
        </w:rPr>
        <w:t xml:space="preserve">  -subj "/C=CL/ST=RM/O=CYB Chile SPA/OU=AquaSyncPro/CN=AquaSyncPro Issuing CA" \</w:t>
      </w:r>
    </w:p>
    <w:p>
      <w:pPr>
        <w:shd w:fill="F2F4F7" w:val="clear"/>
        <w:spacing w:after="0" w:before="0" w:line="240"/>
      </w:pPr>
      <w:r>
        <w:rPr>
          <w:rFonts w:ascii="Consolas" w:cs="Consolas" w:eastAsia="Consolas" w:hAnsi="Consolas"/>
          <w:color w:val="1F1F1F"/>
          <w:sz w:val="18"/>
          <w:szCs w:val="18"/>
        </w:rPr>
        <w:t xml:space="preserve">  -out issuing-ca.csr</w:t>
      </w:r>
    </w:p>
    <w:p>
      <w:pPr>
        <w:shd w:fill="F2F4F7" w:val="clear"/>
        <w:spacing w:after="0" w:before="0" w:line="240"/>
      </w:pPr>
      <w:r>
        <w:rPr>
          <w:rFonts w:ascii="Consolas" w:cs="Consolas" w:eastAsia="Consolas" w:hAnsi="Consolas"/>
          <w:color w:val="1F1F1F"/>
          <w:sz w:val="18"/>
          <w:szCs w:val="18"/>
        </w:rPr>
        <w:t xml:space="preserve">openssl x509 -req -in issuing-ca.csr -CA root-ca.pem -CAkey root-ca.key \</w:t>
      </w:r>
    </w:p>
    <w:p>
      <w:pPr>
        <w:shd w:fill="F2F4F7" w:val="clear"/>
        <w:spacing w:after="0" w:before="0" w:line="240"/>
      </w:pPr>
      <w:r>
        <w:rPr>
          <w:rFonts w:ascii="Consolas" w:cs="Consolas" w:eastAsia="Consolas" w:hAnsi="Consolas"/>
          <w:color w:val="1F1F1F"/>
          <w:sz w:val="18"/>
          <w:szCs w:val="18"/>
        </w:rPr>
        <w:t xml:space="preserve">  -CAcreateserial -out issuing-ca.pem -days 1825 -sha256 \</w:t>
      </w:r>
    </w:p>
    <w:p>
      <w:pPr>
        <w:shd w:fill="F2F4F7" w:val="clear"/>
        <w:spacing w:after="0" w:before="0" w:line="240"/>
      </w:pPr>
      <w:r>
        <w:rPr>
          <w:rFonts w:ascii="Consolas" w:cs="Consolas" w:eastAsia="Consolas" w:hAnsi="Consolas"/>
          <w:color w:val="1F1F1F"/>
          <w:sz w:val="18"/>
          <w:szCs w:val="18"/>
        </w:rPr>
        <w:t xml:space="preserve">  -extfile &lt;(printf "basicConstraints=critical,CA:TRUE,pathlen:0\nkeyUsage=critical,keyCertSign,cRLSign")</w:t>
      </w:r>
    </w:p>
    <w:p>
      <w:pPr>
        <w:pStyle w:val="ListParagraph"/>
        <w:numPr>
          <w:ilvl w:val="0"/>
          <w:numId w:val="3"/>
        </w:numPr>
        <w:spacing w:after="60" w:before="60" w:line="280"/>
      </w:pPr>
      <w:r>
        <w:rPr>
          <w:rFonts w:ascii="Arial" w:cs="Arial" w:eastAsia="Arial" w:hAnsi="Arial"/>
          <w:sz w:val="22"/>
          <w:szCs w:val="22"/>
        </w:rPr>
        <w:t xml:space="preserve">Importar la llave privada de la CA intermedia a Azure Key Vault con tipo Certificate (HSM si SKU Premium).</w:t>
      </w:r>
    </w:p>
    <w:p>
      <w:pPr>
        <w:pStyle w:val="ListParagraph"/>
        <w:numPr>
          <w:ilvl w:val="0"/>
          <w:numId w:val="3"/>
        </w:numPr>
        <w:spacing w:after="60" w:before="60" w:line="280"/>
      </w:pPr>
      <w:r>
        <w:rPr>
          <w:rFonts w:ascii="Arial" w:cs="Arial" w:eastAsia="Arial" w:hAnsi="Arial"/>
          <w:sz w:val="22"/>
          <w:szCs w:val="22"/>
        </w:rPr>
        <w:t xml:space="preserve">Subir issuing-ca.pem como un certificado verificado en Azure IoT Hub o, idealmente, en Device Provisioning Service. La verificación de propiedad se realiza generando un certificado de verificación con un código de prueba que entrega Azure y subiéndolo.</w:t>
      </w:r>
    </w:p>
    <w:p>
      <w:pPr>
        <w:pStyle w:val="ListParagraph"/>
        <w:numPr>
          <w:ilvl w:val="0"/>
          <w:numId w:val="3"/>
        </w:numPr>
        <w:spacing w:after="60" w:before="60" w:line="280"/>
      </w:pPr>
      <w:r>
        <w:rPr>
          <w:rFonts w:ascii="Arial" w:cs="Arial" w:eastAsia="Arial" w:hAnsi="Arial"/>
          <w:sz w:val="22"/>
          <w:szCs w:val="22"/>
        </w:rPr>
        <w:t xml:space="preserve">Resguardar la llave privada de la raíz en bóveda física, registrar el evento en el inventario de claves y retirar el equipo offline de la red.</w:t>
      </w:r>
    </w:p>
    <w:p>
      <w:pPr>
        <w:pStyle w:val="Heading2"/>
        <w:spacing w:after="120" w:before="280"/>
      </w:pPr>
      <w:r>
        <w:rPr>
          <w:rFonts w:ascii="Arial" w:cs="Arial" w:eastAsia="Arial" w:hAnsi="Arial"/>
          <w:b/>
          <w:bCs/>
          <w:color w:val="0E7C86"/>
          <w:sz w:val="28"/>
          <w:szCs w:val="28"/>
        </w:rPr>
        <w:t xml:space="preserve">4.3 Aprovisionamiento por grupo de inscripción en DPS</w:t>
      </w:r>
    </w:p>
    <w:p>
      <w:pPr>
        <w:spacing w:after="60" w:before="60" w:line="300"/>
        <w:jc w:val="both"/>
      </w:pPr>
      <w:r>
        <w:rPr>
          <w:rFonts w:ascii="Arial" w:cs="Arial" w:eastAsia="Arial" w:hAnsi="Arial"/>
          <w:b w:val="false"/>
          <w:bCs w:val="false"/>
          <w:i w:val="false"/>
          <w:iCs w:val="false"/>
          <w:color w:val="1F1F1F"/>
          <w:sz w:val="22"/>
          <w:szCs w:val="22"/>
        </w:rPr>
        <w:t xml:space="preserve">El Device Provisioning Service (DPS) permite que un gateway, al encenderse por primera vez, se registre automáticamente contra el IoT Hub correcto presentando su certificado leaf firmado por la CA intermedia. No se requiere preconfigurar cada deviceId en IoT Hub manualmente.</w:t>
      </w:r>
    </w:p>
    <w:p>
      <w:pPr>
        <w:pStyle w:val="ListParagraph"/>
        <w:numPr>
          <w:ilvl w:val="0"/>
          <w:numId w:val="4"/>
        </w:numPr>
        <w:spacing w:after="60" w:before="60" w:line="280"/>
      </w:pPr>
      <w:r>
        <w:rPr>
          <w:rFonts w:ascii="Arial" w:cs="Arial" w:eastAsia="Arial" w:hAnsi="Arial"/>
          <w:sz w:val="22"/>
          <w:szCs w:val="22"/>
        </w:rPr>
        <w:t xml:space="preserve">En DPS crear un Enrollment Group de tipo Certificate, asociado al certificado intermedia ya verificado. Asignar como mecanismo de asignación Static (todos al mismo IoT Hub) o Hashed (balanceo entre Hubs).</w:t>
      </w:r>
    </w:p>
    <w:p>
      <w:pPr>
        <w:pStyle w:val="ListParagraph"/>
        <w:numPr>
          <w:ilvl w:val="0"/>
          <w:numId w:val="4"/>
        </w:numPr>
        <w:spacing w:after="60" w:before="60" w:line="280"/>
      </w:pPr>
      <w:r>
        <w:rPr>
          <w:rFonts w:ascii="Arial" w:cs="Arial" w:eastAsia="Arial" w:hAnsi="Arial"/>
          <w:sz w:val="22"/>
          <w:szCs w:val="22"/>
        </w:rPr>
        <w:t xml:space="preserve">Definir los Initial Twin Properties por grupo: por ejemplo modelo, firmware mínimo, frecuencia de adquisición y tenantId si se desea preasignar.</w:t>
      </w:r>
    </w:p>
    <w:p>
      <w:pPr>
        <w:pStyle w:val="ListParagraph"/>
        <w:numPr>
          <w:ilvl w:val="0"/>
          <w:numId w:val="4"/>
        </w:numPr>
        <w:spacing w:after="60" w:before="60" w:line="280"/>
      </w:pPr>
      <w:r>
        <w:rPr>
          <w:rFonts w:ascii="Arial" w:cs="Arial" w:eastAsia="Arial" w:hAnsi="Arial"/>
          <w:sz w:val="22"/>
          <w:szCs w:val="22"/>
        </w:rPr>
        <w:t xml:space="preserve">En el gateway, durante la fabricación o el primer arranque, generar el par de llaves leaf en el dispositivo (TPM cuando exista) y producir un CSR con CN = deviceId. La llave privada nunca debe salir del gateway.</w:t>
      </w:r>
    </w:p>
    <w:p>
      <w:pPr>
        <w:pStyle w:val="ListParagraph"/>
        <w:numPr>
          <w:ilvl w:val="0"/>
          <w:numId w:val="4"/>
        </w:numPr>
        <w:spacing w:after="60" w:before="60" w:line="280"/>
      </w:pPr>
      <w:r>
        <w:rPr>
          <w:rFonts w:ascii="Arial" w:cs="Arial" w:eastAsia="Arial" w:hAnsi="Arial"/>
          <w:sz w:val="22"/>
          <w:szCs w:val="22"/>
        </w:rPr>
        <w:t xml:space="preserve">Firmar el CSR con la CA intermedia desde Azure Key Vault (operación Sign) y devolver el certificado leaf al gateway, donde se almacena junto a la cadena intermedia.</w:t>
      </w:r>
    </w:p>
    <w:p>
      <w:pPr>
        <w:pStyle w:val="ListParagraph"/>
        <w:numPr>
          <w:ilvl w:val="0"/>
          <w:numId w:val="4"/>
        </w:numPr>
        <w:spacing w:after="60" w:before="60" w:line="280"/>
      </w:pPr>
      <w:r>
        <w:rPr>
          <w:rFonts w:ascii="Arial" w:cs="Arial" w:eastAsia="Arial" w:hAnsi="Arial"/>
          <w:sz w:val="22"/>
          <w:szCs w:val="22"/>
        </w:rPr>
        <w:t xml:space="preserve">El gateway invoca el endpoint global de DPS (global.azure-devices-provisioning.net) presentando idScope, deviceId y el certificado leaf. DPS valida la cadena contra la CA intermedia, asigna el IoT Hub y devuelve la conexión.</w:t>
      </w:r>
    </w:p>
    <w:p>
      <w:pPr>
        <w:pStyle w:val="ListParagraph"/>
        <w:numPr>
          <w:ilvl w:val="0"/>
          <w:numId w:val="4"/>
        </w:numPr>
        <w:spacing w:after="60" w:before="60" w:line="280"/>
      </w:pPr>
      <w:r>
        <w:rPr>
          <w:rFonts w:ascii="Arial" w:cs="Arial" w:eastAsia="Arial" w:hAnsi="Arial"/>
          <w:sz w:val="22"/>
          <w:szCs w:val="22"/>
        </w:rPr>
        <w:t xml:space="preserve">El gateway abre conexión MQTT/AMQP contra IoT Hub usando el certificado leaf como autenticación, ya autoasignado al deviceId derivado del CN.</w:t>
      </w:r>
    </w:p>
    <w:p>
      <w:pPr>
        <w:pStyle w:val="Heading2"/>
        <w:spacing w:after="120" w:before="280"/>
      </w:pPr>
      <w:r>
        <w:rPr>
          <w:rFonts w:ascii="Arial" w:cs="Arial" w:eastAsia="Arial" w:hAnsi="Arial"/>
          <w:b/>
          <w:bCs/>
          <w:color w:val="0E7C86"/>
          <w:sz w:val="28"/>
          <w:szCs w:val="28"/>
        </w:rPr>
        <w:t xml:space="preserve">4.4 Configuración del software del gateway</w:t>
      </w:r>
    </w:p>
    <w:p>
      <w:pPr>
        <w:spacing w:after="60" w:before="60" w:line="300"/>
        <w:jc w:val="both"/>
      </w:pPr>
      <w:r>
        <w:rPr>
          <w:rFonts w:ascii="Arial" w:cs="Arial" w:eastAsia="Arial" w:hAnsi="Arial"/>
          <w:b w:val="false"/>
          <w:bCs w:val="false"/>
          <w:i w:val="false"/>
          <w:iCs w:val="false"/>
          <w:color w:val="1F1F1F"/>
          <w:sz w:val="22"/>
          <w:szCs w:val="22"/>
        </w:rPr>
        <w:t xml:space="preserve">Independiente del runtime que use el gateway (azure-iot-device en Python/Node, IoT Edge runtime, o cliente C en hardware embebido), la configuración debe contemplar los siguientes elementos.</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Almacenamiento del leaf: </w:t>
      </w:r>
      <w:r>
        <w:rPr>
          <w:rFonts w:ascii="Arial" w:cs="Arial" w:eastAsia="Arial" w:hAnsi="Arial"/>
          <w:b w:val="false"/>
          <w:bCs w:val="false"/>
          <w:i w:val="false"/>
          <w:iCs w:val="false"/>
          <w:color w:val="1F1F1F"/>
          <w:sz w:val="22"/>
          <w:szCs w:val="22"/>
        </w:rPr>
        <w:t xml:space="preserve">/etc/aquasync/certs/leaf.pem y /etc/aquasync/certs/leaf.key con permisos 600 para el usuario del servicio.</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Almacenamiento de la cadena intermedia: </w:t>
      </w:r>
      <w:r>
        <w:rPr>
          <w:rFonts w:ascii="Arial" w:cs="Arial" w:eastAsia="Arial" w:hAnsi="Arial"/>
          <w:b w:val="false"/>
          <w:bCs w:val="false"/>
          <w:i w:val="false"/>
          <w:iCs w:val="false"/>
          <w:color w:val="1F1F1F"/>
          <w:sz w:val="22"/>
          <w:szCs w:val="22"/>
        </w:rPr>
        <w:t xml:space="preserve">/etc/aquasync/certs/issuing-ca.pem para que el gateway pueda enviar la cadena completa.</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Trust store del sistema: </w:t>
      </w:r>
      <w:r>
        <w:rPr>
          <w:rFonts w:ascii="Arial" w:cs="Arial" w:eastAsia="Arial" w:hAnsi="Arial"/>
          <w:b w:val="false"/>
          <w:bCs w:val="false"/>
          <w:i w:val="false"/>
          <w:iCs w:val="false"/>
          <w:color w:val="1F1F1F"/>
          <w:sz w:val="22"/>
          <w:szCs w:val="22"/>
        </w:rPr>
        <w:t xml:space="preserve">agregar la cadena pública de Microsoft (Baltimore CyberTrust o DigiCert según endpoint) para validar al servidor IoT Hub.</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Reloj sincronizado: </w:t>
      </w:r>
      <w:r>
        <w:rPr>
          <w:rFonts w:ascii="Arial" w:cs="Arial" w:eastAsia="Arial" w:hAnsi="Arial"/>
          <w:b w:val="false"/>
          <w:bCs w:val="false"/>
          <w:i w:val="false"/>
          <w:iCs w:val="false"/>
          <w:color w:val="1F1F1F"/>
          <w:sz w:val="22"/>
          <w:szCs w:val="22"/>
        </w:rPr>
        <w:t xml:space="preserve">configurar NTP. Una desviación mayor a 5 minutos puede invalidar la verificación de certificados.</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Telemetría de salud: </w:t>
      </w:r>
      <w:r>
        <w:rPr>
          <w:rFonts w:ascii="Arial" w:cs="Arial" w:eastAsia="Arial" w:hAnsi="Arial"/>
          <w:b w:val="false"/>
          <w:bCs w:val="false"/>
          <w:i w:val="false"/>
          <w:iCs w:val="false"/>
          <w:color w:val="1F1F1F"/>
          <w:sz w:val="22"/>
          <w:szCs w:val="22"/>
        </w:rPr>
        <w:t xml:space="preserve">publicar en cada conexión la fecha de expiración del leaf como propiedad reportada del Device Twin para alertar antes del vencimiento.</w:t>
      </w:r>
    </w:p>
    <w:p>
      <w:pPr>
        <w:pStyle w:val="Heading3"/>
        <w:spacing w:after="100" w:before="220"/>
      </w:pPr>
      <w:r>
        <w:rPr>
          <w:rFonts w:ascii="Arial" w:cs="Arial" w:eastAsia="Arial" w:hAnsi="Arial"/>
          <w:b/>
          <w:bCs/>
          <w:color w:val="1F6FB2"/>
          <w:sz w:val="24"/>
          <w:szCs w:val="24"/>
        </w:rPr>
        <w:t xml:space="preserve">4.4.1 Ejemplo de conexión Node.js usando azure-iot-device</w:t>
      </w:r>
    </w:p>
    <w:p>
      <w:pPr>
        <w:shd w:fill="F2F4F7" w:val="clear"/>
        <w:spacing w:after="0" w:before="0" w:line="240"/>
      </w:pPr>
      <w:r>
        <w:rPr>
          <w:rFonts w:ascii="Consolas" w:cs="Consolas" w:eastAsia="Consolas" w:hAnsi="Consolas"/>
          <w:color w:val="1F1F1F"/>
          <w:sz w:val="18"/>
          <w:szCs w:val="18"/>
        </w:rPr>
        <w:t xml:space="preserve">const { Client } = require('azure-iot-device');</w:t>
      </w:r>
    </w:p>
    <w:p>
      <w:pPr>
        <w:shd w:fill="F2F4F7" w:val="clear"/>
        <w:spacing w:after="0" w:before="0" w:line="240"/>
      </w:pPr>
      <w:r>
        <w:rPr>
          <w:rFonts w:ascii="Consolas" w:cs="Consolas" w:eastAsia="Consolas" w:hAnsi="Consolas"/>
          <w:color w:val="1F1F1F"/>
          <w:sz w:val="18"/>
          <w:szCs w:val="18"/>
        </w:rPr>
        <w:t xml:space="preserve">const { Mqtt } = require('azure-iot-device-mqtt');</w:t>
      </w:r>
    </w:p>
    <w:p>
      <w:pPr>
        <w:shd w:fill="F2F4F7" w:val="clear"/>
        <w:spacing w:after="0" w:before="0" w:line="240"/>
      </w:pPr>
      <w:r>
        <w:rPr>
          <w:rFonts w:ascii="Consolas" w:cs="Consolas" w:eastAsia="Consolas" w:hAnsi="Consolas"/>
          <w:color w:val="1F1F1F"/>
          <w:sz w:val="18"/>
          <w:szCs w:val="18"/>
        </w:rPr>
        <w:t xml:space="preserve">const fs = require('fs');</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const connectionString = `HostName=iot-aquasyncpro-prod.azure-devices.net;` +</w:t>
      </w:r>
    </w:p>
    <w:p>
      <w:pPr>
        <w:shd w:fill="F2F4F7" w:val="clear"/>
        <w:spacing w:after="0" w:before="0" w:line="240"/>
      </w:pPr>
      <w:r>
        <w:rPr>
          <w:rFonts w:ascii="Consolas" w:cs="Consolas" w:eastAsia="Consolas" w:hAnsi="Consolas"/>
          <w:color w:val="1F1F1F"/>
          <w:sz w:val="18"/>
          <w:szCs w:val="18"/>
        </w:rPr>
        <w:t xml:space="preserve">  `DeviceId=gw-pupuya-001;x509=true`;</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const client = Client.fromConnectionString(connectionString, Mqtt);</w:t>
      </w:r>
    </w:p>
    <w:p>
      <w:pPr>
        <w:shd w:fill="F2F4F7" w:val="clear"/>
        <w:spacing w:after="0" w:before="0" w:line="240"/>
      </w:pPr>
      <w:r>
        <w:rPr>
          <w:rFonts w:ascii="Consolas" w:cs="Consolas" w:eastAsia="Consolas" w:hAnsi="Consolas"/>
          <w:color w:val="1F1F1F"/>
          <w:sz w:val="18"/>
          <w:szCs w:val="18"/>
        </w:rPr>
        <w:t xml:space="preserve">client.setOptions({</w:t>
      </w:r>
    </w:p>
    <w:p>
      <w:pPr>
        <w:shd w:fill="F2F4F7" w:val="clear"/>
        <w:spacing w:after="0" w:before="0" w:line="240"/>
      </w:pPr>
      <w:r>
        <w:rPr>
          <w:rFonts w:ascii="Consolas" w:cs="Consolas" w:eastAsia="Consolas" w:hAnsi="Consolas"/>
          <w:color w:val="1F1F1F"/>
          <w:sz w:val="18"/>
          <w:szCs w:val="18"/>
        </w:rPr>
        <w:t xml:space="preserve">  cert: fs.readFileSync('/etc/aquasync/certs/leaf.pem', 'utf-8'),</w:t>
      </w:r>
    </w:p>
    <w:p>
      <w:pPr>
        <w:shd w:fill="F2F4F7" w:val="clear"/>
        <w:spacing w:after="0" w:before="0" w:line="240"/>
      </w:pPr>
      <w:r>
        <w:rPr>
          <w:rFonts w:ascii="Consolas" w:cs="Consolas" w:eastAsia="Consolas" w:hAnsi="Consolas"/>
          <w:color w:val="1F1F1F"/>
          <w:sz w:val="18"/>
          <w:szCs w:val="18"/>
        </w:rPr>
        <w:t xml:space="preserve">  key:  fs.readFileSync('/etc/aquasync/certs/leaf.key', 'utf-8'),</w:t>
      </w:r>
    </w:p>
    <w:p>
      <w:pPr>
        <w:shd w:fill="F2F4F7" w:val="clear"/>
        <w:spacing w:after="0" w:before="0" w:line="240"/>
      </w:pPr>
      <w:r>
        <w:rPr>
          <w:rFonts w:ascii="Consolas" w:cs="Consolas" w:eastAsia="Consolas" w:hAnsi="Consolas"/>
          <w:color w:val="1F1F1F"/>
          <w:sz w:val="18"/>
          <w:szCs w:val="18"/>
        </w:rPr>
        <w:t xml:space="preserve">  ca:   fs.readFileSync('/etc/aquasync/certs/issuing-ca.pem', 'utf-8')</w:t>
      </w:r>
    </w:p>
    <w:p>
      <w:pPr>
        <w:shd w:fill="F2F4F7" w:val="clear"/>
        <w:spacing w:after="0" w:before="0" w:line="240"/>
      </w:pPr>
      <w:r>
        <w:rPr>
          <w:rFonts w:ascii="Consolas" w:cs="Consolas" w:eastAsia="Consolas" w:hAnsi="Consolas"/>
          <w:color w:val="1F1F1F"/>
          <w:sz w:val="18"/>
          <w:szCs w:val="18"/>
        </w:rPr>
        <w:t xml:space="preserve">});</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client.open(err =&gt; {</w:t>
      </w:r>
    </w:p>
    <w:p>
      <w:pPr>
        <w:shd w:fill="F2F4F7" w:val="clear"/>
        <w:spacing w:after="0" w:before="0" w:line="240"/>
      </w:pPr>
      <w:r>
        <w:rPr>
          <w:rFonts w:ascii="Consolas" w:cs="Consolas" w:eastAsia="Consolas" w:hAnsi="Consolas"/>
          <w:color w:val="1F1F1F"/>
          <w:sz w:val="18"/>
          <w:szCs w:val="18"/>
        </w:rPr>
        <w:t xml:space="preserve">  if (err) { console.error('IoT Hub connect error:', err); return; }</w:t>
      </w:r>
    </w:p>
    <w:p>
      <w:pPr>
        <w:shd w:fill="F2F4F7" w:val="clear"/>
        <w:spacing w:after="0" w:before="0" w:line="240"/>
      </w:pPr>
      <w:r>
        <w:rPr>
          <w:rFonts w:ascii="Consolas" w:cs="Consolas" w:eastAsia="Consolas" w:hAnsi="Consolas"/>
          <w:color w:val="1F1F1F"/>
          <w:sz w:val="18"/>
          <w:szCs w:val="18"/>
        </w:rPr>
        <w:t xml:space="preserve">  console.log('Conectado con X.509 a IoT Hub.');</w:t>
      </w:r>
    </w:p>
    <w:p>
      <w:pPr>
        <w:shd w:fill="F2F4F7" w:val="clear"/>
        <w:spacing w:after="0" w:before="0" w:line="240"/>
      </w:pPr>
      <w:r>
        <w:rPr>
          <w:rFonts w:ascii="Consolas" w:cs="Consolas" w:eastAsia="Consolas" w:hAnsi="Consolas"/>
          <w:color w:val="1F1F1F"/>
          <w:sz w:val="18"/>
          <w:szCs w:val="18"/>
        </w:rPr>
        <w:t xml:space="preserve">});</w:t>
      </w:r>
    </w:p>
    <w:p>
      <w:pPr>
        <w:pStyle w:val="Heading2"/>
        <w:spacing w:after="120" w:before="280"/>
      </w:pPr>
      <w:r>
        <w:rPr>
          <w:rFonts w:ascii="Arial" w:cs="Arial" w:eastAsia="Arial" w:hAnsi="Arial"/>
          <w:b/>
          <w:bCs/>
          <w:color w:val="0E7C86"/>
          <w:sz w:val="28"/>
          <w:szCs w:val="28"/>
        </w:rPr>
        <w:t xml:space="preserve">4.5 Rotación y revocación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Operación</w:t>
            </w:r>
          </w:p>
        </w:tc>
        <w:tc>
          <w:tcPr>
            <w:tcW w:type="dxa" w:w="18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Frecuencia</w:t>
            </w:r>
          </w:p>
        </w:tc>
        <w:tc>
          <w:tcPr>
            <w:tcW w:type="dxa" w:w="51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Procedimiento</w:t>
            </w:r>
          </w:p>
        </w:tc>
      </w:tr>
      <w:tr>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Rotación de leaf</w:t>
            </w:r>
          </w:p>
        </w:tc>
        <w:tc>
          <w:tcPr>
            <w:tcW w:type="dxa" w:w="18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Cada 18 meses (alerta a 60 días)</w:t>
            </w:r>
          </w:p>
        </w:tc>
        <w:tc>
          <w:tcPr>
            <w:tcW w:type="dxa" w:w="51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El gateway genera una nueva llave + CSR, CYB firma con la CA intermedia, el gateway adopta el nuevo leaf y reporta nueva fecha al Device Twin.</w:t>
            </w:r>
          </w:p>
        </w:tc>
      </w:tr>
      <w:tr>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Rotación de CA intermedia</w:t>
            </w:r>
          </w:p>
        </w:tc>
        <w:tc>
          <w:tcPr>
            <w:tcW w:type="dxa" w:w="18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Cada 4 años</w:t>
            </w:r>
          </w:p>
        </w:tc>
        <w:tc>
          <w:tcPr>
            <w:tcW w:type="dxa" w:w="51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 emite una nueva CA intermedia firmada por la raíz. Ambas conviven 6 meses en DPS para permitir migración progresiva. Una vez migrados todos los gateways, se retira la antigua.</w:t>
            </w:r>
          </w:p>
        </w:tc>
      </w:tr>
      <w:tr>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Rotación de CA raíz</w:t>
            </w:r>
          </w:p>
        </w:tc>
        <w:tc>
          <w:tcPr>
            <w:tcW w:type="dxa" w:w="18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Cada 15 años</w:t>
            </w:r>
          </w:p>
        </w:tc>
        <w:tc>
          <w:tcPr>
            <w:tcW w:type="dxa" w:w="51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Operación planificada con horizonte de 12 meses. Se emite nueva raíz, se cruzan certificados (cross-sign) para mantener confianza, se actualiza la intermedia.</w:t>
            </w:r>
          </w:p>
        </w:tc>
      </w:tr>
      <w:tr>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Revocación de gateway</w:t>
            </w:r>
          </w:p>
        </w:tc>
        <w:tc>
          <w:tcPr>
            <w:tcW w:type="dxa" w:w="18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Bajo demanda</w:t>
            </w:r>
          </w:p>
        </w:tc>
        <w:tc>
          <w:tcPr>
            <w:tcW w:type="dxa" w:w="51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Marcar deviceId como deshabilitado en IoT Hub y agregar el thumbprint del leaf a la lista interna de revocados. Si se reinstala, generar un nuevo par leaf.</w:t>
            </w:r>
          </w:p>
        </w:tc>
      </w:tr>
      <w:tr>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Revocación masiva (CA comprometida)</w:t>
            </w:r>
          </w:p>
        </w:tc>
        <w:tc>
          <w:tcPr>
            <w:tcW w:type="dxa" w:w="18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Solo emergencia</w:t>
            </w:r>
          </w:p>
        </w:tc>
        <w:tc>
          <w:tcPr>
            <w:tcW w:type="dxa" w:w="51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Reemplazar la CA intermedia en DPS y forzar reaprovisionamiento de todos los gateways. Procedimiento documentado en plan de respuesta a incidentes.</w:t>
            </w:r>
          </w:p>
        </w:tc>
      </w:tr>
    </w:tbl>
    <w:p>
      <w:pPr>
        <w:pStyle w:val="Heading2"/>
        <w:spacing w:after="120" w:before="280"/>
      </w:pPr>
      <w:r>
        <w:rPr>
          <w:rFonts w:ascii="Arial" w:cs="Arial" w:eastAsia="Arial" w:hAnsi="Arial"/>
          <w:b/>
          <w:bCs/>
          <w:color w:val="0E7C86"/>
          <w:sz w:val="28"/>
          <w:szCs w:val="28"/>
        </w:rPr>
        <w:t xml:space="preserve">4.6 Diagnóstico y verificación</w:t>
      </w:r>
    </w:p>
    <w:p>
      <w:pPr>
        <w:spacing w:after="60" w:before="60" w:line="300"/>
        <w:jc w:val="both"/>
      </w:pPr>
      <w:r>
        <w:rPr>
          <w:rFonts w:ascii="Arial" w:cs="Arial" w:eastAsia="Arial" w:hAnsi="Arial"/>
          <w:b w:val="false"/>
          <w:bCs w:val="false"/>
          <w:i w:val="false"/>
          <w:iCs w:val="false"/>
          <w:color w:val="1F1F1F"/>
          <w:sz w:val="22"/>
          <w:szCs w:val="22"/>
        </w:rPr>
        <w:t xml:space="preserve">Antes de instalar un gateway en sitio se ejecutan las siguientes verificaciones desde un equipo de campo.</w:t>
      </w:r>
    </w:p>
    <w:p>
      <w:pPr>
        <w:pStyle w:val="ListParagraph"/>
        <w:numPr>
          <w:ilvl w:val="0"/>
          <w:numId w:val="5"/>
        </w:numPr>
        <w:spacing w:after="60" w:before="60" w:line="280"/>
      </w:pPr>
      <w:r>
        <w:rPr>
          <w:rFonts w:ascii="Arial" w:cs="Arial" w:eastAsia="Arial" w:hAnsi="Arial"/>
          <w:sz w:val="22"/>
          <w:szCs w:val="22"/>
        </w:rPr>
        <w:t xml:space="preserve">Verificar que el certificado leaf sea válido y firmado por la CA intermedia esperada:</w:t>
      </w:r>
    </w:p>
    <w:p>
      <w:pPr>
        <w:shd w:fill="F2F4F7" w:val="clear"/>
        <w:spacing w:after="0" w:before="0" w:line="240"/>
      </w:pPr>
      <w:r>
        <w:rPr>
          <w:rFonts w:ascii="Consolas" w:cs="Consolas" w:eastAsia="Consolas" w:hAnsi="Consolas"/>
          <w:color w:val="1F1F1F"/>
          <w:sz w:val="18"/>
          <w:szCs w:val="18"/>
        </w:rPr>
        <w:t xml:space="preserve">openssl verify -CAfile issuing-ca.pem leaf.pem</w:t>
      </w:r>
    </w:p>
    <w:p>
      <w:pPr>
        <w:shd w:fill="F2F4F7" w:val="clear"/>
        <w:spacing w:after="0" w:before="0" w:line="240"/>
      </w:pPr>
      <w:r>
        <w:rPr>
          <w:rFonts w:ascii="Consolas" w:cs="Consolas" w:eastAsia="Consolas" w:hAnsi="Consolas"/>
          <w:color w:val="1F1F1F"/>
          <w:sz w:val="18"/>
          <w:szCs w:val="18"/>
        </w:rPr>
        <w:t xml:space="preserve">openssl x509 -in leaf.pem -noout -subject -issuer -dates</w:t>
      </w:r>
    </w:p>
    <w:p>
      <w:pPr>
        <w:pStyle w:val="ListParagraph"/>
        <w:numPr>
          <w:ilvl w:val="0"/>
          <w:numId w:val="5"/>
        </w:numPr>
        <w:spacing w:after="60" w:before="60" w:line="280"/>
      </w:pPr>
      <w:r>
        <w:rPr>
          <w:rFonts w:ascii="Arial" w:cs="Arial" w:eastAsia="Arial" w:hAnsi="Arial"/>
          <w:sz w:val="22"/>
          <w:szCs w:val="22"/>
        </w:rPr>
        <w:t xml:space="preserve">Probar la conexión TLS contra IoT Hub usando el leaf:</w:t>
      </w:r>
    </w:p>
    <w:p>
      <w:pPr>
        <w:shd w:fill="F2F4F7" w:val="clear"/>
        <w:spacing w:after="0" w:before="0" w:line="240"/>
      </w:pPr>
      <w:r>
        <w:rPr>
          <w:rFonts w:ascii="Consolas" w:cs="Consolas" w:eastAsia="Consolas" w:hAnsi="Consolas"/>
          <w:color w:val="1F1F1F"/>
          <w:sz w:val="18"/>
          <w:szCs w:val="18"/>
        </w:rPr>
        <w:t xml:space="preserve">openssl s_client -connect iot-aquasyncpro-prod.azure-devices.net:8883 \</w:t>
      </w:r>
    </w:p>
    <w:p>
      <w:pPr>
        <w:shd w:fill="F2F4F7" w:val="clear"/>
        <w:spacing w:after="0" w:before="0" w:line="240"/>
      </w:pPr>
      <w:r>
        <w:rPr>
          <w:rFonts w:ascii="Consolas" w:cs="Consolas" w:eastAsia="Consolas" w:hAnsi="Consolas"/>
          <w:color w:val="1F1F1F"/>
          <w:sz w:val="18"/>
          <w:szCs w:val="18"/>
        </w:rPr>
        <w:t xml:space="preserve">  -cert leaf.pem -key leaf.key -CAfile issuing-ca.pem -servername iot-aquasyncpro-prod.azure-devices.net</w:t>
      </w:r>
    </w:p>
    <w:p>
      <w:pPr>
        <w:pStyle w:val="ListParagraph"/>
        <w:numPr>
          <w:ilvl w:val="0"/>
          <w:numId w:val="5"/>
        </w:numPr>
        <w:spacing w:after="60" w:before="60" w:line="280"/>
      </w:pPr>
      <w:r>
        <w:rPr>
          <w:rFonts w:ascii="Arial" w:cs="Arial" w:eastAsia="Arial" w:hAnsi="Arial"/>
          <w:sz w:val="22"/>
          <w:szCs w:val="22"/>
        </w:rPr>
        <w:t xml:space="preserve">Confirmar el aprovisionamiento exitoso revisando en Azure Portal el estado de inscripción en DPS y la aparición del deviceId en IoT Hub.</w:t>
      </w:r>
    </w:p>
    <w:p>
      <w:pPr>
        <w:pStyle w:val="ListParagraph"/>
        <w:numPr>
          <w:ilvl w:val="0"/>
          <w:numId w:val="5"/>
        </w:numPr>
        <w:spacing w:after="60" w:before="60" w:line="280"/>
      </w:pPr>
      <w:r>
        <w:rPr>
          <w:rFonts w:ascii="Arial" w:cs="Arial" w:eastAsia="Arial" w:hAnsi="Arial"/>
          <w:sz w:val="22"/>
          <w:szCs w:val="22"/>
        </w:rPr>
        <w:t xml:space="preserve">Validar la salida de la primera telemetría desde el gateway al monitor del IoT Hub o al portal interno de operaciones.</w:t>
      </w:r>
    </w:p>
    <w:p>
      <w:pPr>
        <w:pStyle w:val="Heading2"/>
        <w:spacing w:after="120" w:before="280"/>
      </w:pPr>
      <w:r>
        <w:rPr>
          <w:rFonts w:ascii="Arial" w:cs="Arial" w:eastAsia="Arial" w:hAnsi="Arial"/>
          <w:b/>
          <w:bCs/>
          <w:color w:val="0E7C86"/>
          <w:sz w:val="28"/>
          <w:szCs w:val="28"/>
        </w:rPr>
        <w:t xml:space="preserve">4.7 Errores comunes y resolución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Síntoma</w:t>
            </w:r>
          </w:p>
        </w:tc>
        <w:tc>
          <w:tcPr>
            <w:tcW w:type="dxa" w:w="32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Causa probable</w:t>
            </w:r>
          </w:p>
        </w:tc>
        <w:tc>
          <w:tcPr>
            <w:tcW w:type="dxa" w:w="31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Acción</w:t>
            </w:r>
          </w:p>
        </w:tc>
      </w:tr>
      <w:tr>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unauthorized al conectar a IoT Hub</w:t>
            </w:r>
          </w:p>
        </w:tc>
        <w:tc>
          <w:tcPr>
            <w:tcW w:type="dxa" w:w="3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CN del leaf no coincide con el deviceId, o el deviceId está deshabilitado.</w:t>
            </w:r>
          </w:p>
        </w:tc>
        <w:tc>
          <w:tcPr>
            <w:tcW w:type="dxa" w:w="31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Verificar CN del leaf con openssl x509. Reactivar deviceId en IoT Hub si corresponde.</w:t>
            </w:r>
          </w:p>
        </w:tc>
      </w:tr>
      <w:tr>
        <w:tc>
          <w:tcPr>
            <w:tcW w:type="dxa" w:w="3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bad certificate al hacer handshake TLS</w:t>
            </w:r>
          </w:p>
        </w:tc>
        <w:tc>
          <w:tcPr>
            <w:tcW w:type="dxa" w:w="3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El gateway no envía la cadena intermedia, o la intermedia no está verificada en IoT Hub/DPS.</w:t>
            </w:r>
          </w:p>
        </w:tc>
        <w:tc>
          <w:tcPr>
            <w:tcW w:type="dxa" w:w="31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Asegurar que el gateway envíe leaf + intermedia. Re-verificar la intermedia en Azure.</w:t>
            </w:r>
          </w:p>
        </w:tc>
      </w:tr>
      <w:tr>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enrollment not found en DPS</w:t>
            </w:r>
          </w:p>
        </w:tc>
        <w:tc>
          <w:tcPr>
            <w:tcW w:type="dxa" w:w="3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El idScope o el grupo de inscripción está mal configurado.</w:t>
            </w:r>
          </w:p>
        </w:tc>
        <w:tc>
          <w:tcPr>
            <w:tcW w:type="dxa" w:w="31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Confirmar idScope, asegurar que el grupo cubra la CA intermedia con la que se firmó el leaf.</w:t>
            </w:r>
          </w:p>
        </w:tc>
      </w:tr>
      <w:tr>
        <w:tc>
          <w:tcPr>
            <w:tcW w:type="dxa" w:w="3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certificate expired</w:t>
            </w:r>
          </w:p>
        </w:tc>
        <w:tc>
          <w:tcPr>
            <w:tcW w:type="dxa" w:w="3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Reloj del gateway desfasado o leaf fuera de vigencia.</w:t>
            </w:r>
          </w:p>
        </w:tc>
        <w:tc>
          <w:tcPr>
            <w:tcW w:type="dxa" w:w="31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Sincronizar NTP. Si el leaf venció, ejecutar rotación según sección 4.5.</w:t>
            </w:r>
          </w:p>
        </w:tc>
      </w:tr>
      <w:tr>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TLS handshake failure intermitente</w:t>
            </w:r>
          </w:p>
        </w:tc>
        <w:tc>
          <w:tcPr>
            <w:tcW w:type="dxa" w:w="3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MTU/Starlink fragmenta el handshake o falla DNS resolución.</w:t>
            </w:r>
          </w:p>
        </w:tc>
        <w:tc>
          <w:tcPr>
            <w:tcW w:type="dxa" w:w="31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Configurar DNS estable, ajustar MTU, habilitar reintentos exponenciales en el cliente IoT.</w:t>
            </w:r>
          </w:p>
        </w:tc>
      </w:tr>
    </w:tbl>
    <w:p>
      <w:r>
        <w:br w:type="page"/>
      </w:r>
    </w:p>
    <w:p>
      <w:pPr>
        <w:pStyle w:val="Heading1"/>
        <w:pBdr>
          <w:bottom w:val="single" w:color="0B2A4A" w:sz="12" w:space="4"/>
        </w:pBdr>
        <w:spacing w:after="180" w:before="360"/>
      </w:pPr>
      <w:r>
        <w:rPr>
          <w:rFonts w:ascii="Arial" w:cs="Arial" w:eastAsia="Arial" w:hAnsi="Arial"/>
          <w:b/>
          <w:bCs/>
          <w:color w:val="0B2A4A"/>
          <w:sz w:val="32"/>
          <w:szCs w:val="32"/>
        </w:rPr>
        <w:t xml:space="preserve">5. Autenticación con Google para clientes</w:t>
      </w:r>
    </w:p>
    <w:p>
      <w:pPr>
        <w:spacing w:after="60" w:before="60" w:line="300"/>
        <w:jc w:val="both"/>
      </w:pPr>
      <w:r>
        <w:rPr>
          <w:rFonts w:ascii="Arial" w:cs="Arial" w:eastAsia="Arial" w:hAnsi="Arial"/>
          <w:b w:val="false"/>
          <w:bCs w:val="false"/>
          <w:i w:val="false"/>
          <w:iCs w:val="false"/>
          <w:color w:val="1F1F1F"/>
          <w:sz w:val="22"/>
          <w:szCs w:val="22"/>
        </w:rPr>
        <w:t xml:space="preserve">Los clientes finales de AquaSync Pro acceden al portal en telemetrias.com y aquasyncpro.com mediante Microsoft Entra External ID, el sucesor de Azure AD B2C para escenarios CIAM (Customer Identity and Access Management). External ID actúa como Identity Provider del producto y federa proveedores externos (Google, Microsoft personal, Facebook) para que el cliente pueda iniciar sesión con la cuenta que ya posee. La identidad interna del personal CYB sigue gestionándose en el tenant Microsoft Entra ID (corporativo) habitual.</w:t>
      </w:r>
    </w:p>
    <w:p>
      <w:pPr>
        <w:pStyle w:val="Heading2"/>
        <w:spacing w:after="120" w:before="280"/>
      </w:pPr>
      <w:r>
        <w:rPr>
          <w:rFonts w:ascii="Arial" w:cs="Arial" w:eastAsia="Arial" w:hAnsi="Arial"/>
          <w:b/>
          <w:bCs/>
          <w:color w:val="0E7C86"/>
          <w:sz w:val="28"/>
          <w:szCs w:val="28"/>
        </w:rPr>
        <w:t xml:space="preserve">5.1 Modelo de identidad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Tipo de usuario</w:t>
            </w:r>
          </w:p>
        </w:tc>
        <w:tc>
          <w:tcPr>
            <w:tcW w:type="dxa" w:w="24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Identity Provider</w:t>
            </w:r>
          </w:p>
        </w:tc>
        <w:tc>
          <w:tcPr>
            <w:tcW w:type="dxa" w:w="47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Cómo inicia sesión</w:t>
            </w:r>
          </w:p>
        </w:tc>
      </w:tr>
      <w:tr>
        <w:tc>
          <w:tcPr>
            <w:tcW w:type="dxa" w:w="2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Cliente (operador SSR, gerente, técnico externo)</w:t>
            </w:r>
          </w:p>
        </w:tc>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Microsoft Entra External ID (tenant aquasyncpro)</w:t>
            </w:r>
          </w:p>
        </w:tc>
        <w:tc>
          <w:tcPr>
            <w:tcW w:type="dxa" w:w="47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Botón “Continuar con Google” o “Continuar con Microsoft”, o email + contraseña local. La identidad se asocia automáticamente al tenant SSR correspondiente.</w:t>
            </w:r>
          </w:p>
        </w:tc>
      </w:tr>
      <w:tr>
        <w:tc>
          <w:tcPr>
            <w:tcW w:type="dxa" w:w="2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Personal CYB (soporte, administración)</w:t>
            </w:r>
          </w:p>
        </w:tc>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Microsoft Entra ID (tenant corporativo CYB)</w:t>
            </w:r>
          </w:p>
        </w:tc>
        <w:tc>
          <w:tcPr>
            <w:tcW w:type="dxa" w:w="47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Login Microsoft con MFA obligatoria. Acceso a herramientas internas y consola de soporte.</w:t>
            </w:r>
          </w:p>
        </w:tc>
      </w:tr>
      <w:tr>
        <w:tc>
          <w:tcPr>
            <w:tcW w:type="dxa" w:w="2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Service principals (gateways, jobs)</w:t>
            </w:r>
          </w:p>
        </w:tc>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Certificados X.509 / Managed Identity</w:t>
            </w:r>
          </w:p>
        </w:tc>
        <w:tc>
          <w:tcPr>
            <w:tcW w:type="dxa" w:w="47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X.509 para gateways (sección 4). Managed Identity para Azure Functions consumiendo Cosmos DB y Key Vault.</w:t>
            </w:r>
          </w:p>
        </w:tc>
      </w:tr>
    </w:tbl>
    <w:p>
      <w:pPr>
        <w:pStyle w:val="Heading2"/>
        <w:spacing w:after="120" w:before="280"/>
      </w:pPr>
      <w:r>
        <w:rPr>
          <w:rFonts w:ascii="Arial" w:cs="Arial" w:eastAsia="Arial" w:hAnsi="Arial"/>
          <w:b/>
          <w:bCs/>
          <w:color w:val="0E7C86"/>
          <w:sz w:val="28"/>
          <w:szCs w:val="28"/>
        </w:rPr>
        <w:t xml:space="preserve">5.2 Flujo OAuth 2.0 / OpenID Connect con Google</w:t>
      </w:r>
    </w:p>
    <w:p>
      <w:pPr>
        <w:spacing w:after="60" w:before="60" w:line="300"/>
        <w:jc w:val="both"/>
      </w:pPr>
      <w:r>
        <w:rPr>
          <w:rFonts w:ascii="Arial" w:cs="Arial" w:eastAsia="Arial" w:hAnsi="Arial"/>
          <w:b w:val="false"/>
          <w:bCs w:val="false"/>
          <w:i w:val="false"/>
          <w:iCs w:val="false"/>
          <w:color w:val="1F1F1F"/>
          <w:sz w:val="22"/>
          <w:szCs w:val="22"/>
        </w:rPr>
        <w:t xml:space="preserve">El flujo es OAuth 2.0 Authorization Code con PKCE, encapsulado por OpenID Connect. External ID actúa como intermediario: el cliente se autentica contra Google, External ID recibe el id_token de Google, lo valida, y emite su propio id_token y access_token firmados por el tenant External ID, que es lo que la aplicación SPA y la API consumen.</w:t>
      </w:r>
    </w:p>
    <w:p>
      <w:pPr>
        <w:shd w:fill="F2F4F7" w:val="clear"/>
        <w:spacing w:after="0" w:before="0" w:line="240"/>
      </w:pPr>
      <w:r>
        <w:rPr>
          <w:rFonts w:ascii="Consolas" w:cs="Consolas" w:eastAsia="Consolas" w:hAnsi="Consolas"/>
          <w:color w:val="1F1F1F"/>
          <w:sz w:val="18"/>
          <w:szCs w:val="18"/>
        </w:rPr>
        <w:t xml:space="preserve">Usuario              SPA (telemetrias.com)        Entra External ID         Google</w:t>
      </w:r>
    </w:p>
    <w:p>
      <w:pPr>
        <w:shd w:fill="F2F4F7" w:val="clear"/>
        <w:spacing w:after="0" w:before="0" w:line="240"/>
      </w:pPr>
      <w:r>
        <w:rPr>
          <w:rFonts w:ascii="Consolas" w:cs="Consolas" w:eastAsia="Consolas" w:hAnsi="Consolas"/>
          <w:color w:val="1F1F1F"/>
          <w:sz w:val="18"/>
          <w:szCs w:val="18"/>
        </w:rPr>
        <w:t xml:space="preserve">  │                         │                            │                     │</w:t>
      </w:r>
    </w:p>
    <w:p>
      <w:pPr>
        <w:shd w:fill="F2F4F7" w:val="clear"/>
        <w:spacing w:after="0" w:before="0" w:line="240"/>
      </w:pPr>
      <w:r>
        <w:rPr>
          <w:rFonts w:ascii="Consolas" w:cs="Consolas" w:eastAsia="Consolas" w:hAnsi="Consolas"/>
          <w:color w:val="1F1F1F"/>
          <w:sz w:val="18"/>
          <w:szCs w:val="18"/>
        </w:rPr>
        <w:t xml:space="preserve">  │ 1. Click "Login"        │                            │                     │</w:t>
      </w:r>
    </w:p>
    <w:p>
      <w:pPr>
        <w:shd w:fill="F2F4F7" w:val="clear"/>
        <w:spacing w:after="0" w:before="0" w:line="240"/>
      </w:pPr>
      <w:r>
        <w:rPr>
          <w:rFonts w:ascii="Consolas" w:cs="Consolas" w:eastAsia="Consolas" w:hAnsi="Consolas"/>
          <w:color w:val="1F1F1F"/>
          <w:sz w:val="18"/>
          <w:szCs w:val="18"/>
        </w:rPr>
        <w:t xml:space="preserve">  │ ──────────────────────▶│                            │                     │</w:t>
      </w:r>
    </w:p>
    <w:p>
      <w:pPr>
        <w:shd w:fill="F2F4F7" w:val="clear"/>
        <w:spacing w:after="0" w:before="0" w:line="240"/>
      </w:pPr>
      <w:r>
        <w:rPr>
          <w:rFonts w:ascii="Consolas" w:cs="Consolas" w:eastAsia="Consolas" w:hAnsi="Consolas"/>
          <w:color w:val="1F1F1F"/>
          <w:sz w:val="18"/>
          <w:szCs w:val="18"/>
        </w:rPr>
        <w:t xml:space="preserve">  │                         │ 2. /authorize (PKCE)       │                     │</w:t>
      </w:r>
    </w:p>
    <w:p>
      <w:pPr>
        <w:shd w:fill="F2F4F7" w:val="clear"/>
        <w:spacing w:after="0" w:before="0" w:line="240"/>
      </w:pPr>
      <w:r>
        <w:rPr>
          <w:rFonts w:ascii="Consolas" w:cs="Consolas" w:eastAsia="Consolas" w:hAnsi="Consolas"/>
          <w:color w:val="1F1F1F"/>
          <w:sz w:val="18"/>
          <w:szCs w:val="18"/>
        </w:rPr>
        <w:t xml:space="preserve">  │                         │ ──────────────────────────▶│                     │</w:t>
      </w:r>
    </w:p>
    <w:p>
      <w:pPr>
        <w:shd w:fill="F2F4F7" w:val="clear"/>
        <w:spacing w:after="0" w:before="0" w:line="240"/>
      </w:pPr>
      <w:r>
        <w:rPr>
          <w:rFonts w:ascii="Consolas" w:cs="Consolas" w:eastAsia="Consolas" w:hAnsi="Consolas"/>
          <w:color w:val="1F1F1F"/>
          <w:sz w:val="18"/>
          <w:szCs w:val="18"/>
        </w:rPr>
        <w:t xml:space="preserve">  │                         │                            │ 3. Federa a Google  │</w:t>
      </w:r>
    </w:p>
    <w:p>
      <w:pPr>
        <w:shd w:fill="F2F4F7" w:val="clear"/>
        <w:spacing w:after="0" w:before="0" w:line="240"/>
      </w:pPr>
      <w:r>
        <w:rPr>
          <w:rFonts w:ascii="Consolas" w:cs="Consolas" w:eastAsia="Consolas" w:hAnsi="Consolas"/>
          <w:color w:val="1F1F1F"/>
          <w:sz w:val="18"/>
          <w:szCs w:val="18"/>
        </w:rPr>
        <w:t xml:space="preserve">  │                         │                            │ ───────────────────▶│</w:t>
      </w:r>
    </w:p>
    <w:p>
      <w:pPr>
        <w:shd w:fill="F2F4F7" w:val="clear"/>
        <w:spacing w:after="0" w:before="0" w:line="240"/>
      </w:pPr>
      <w:r>
        <w:rPr>
          <w:rFonts w:ascii="Consolas" w:cs="Consolas" w:eastAsia="Consolas" w:hAnsi="Consolas"/>
          <w:color w:val="1F1F1F"/>
          <w:sz w:val="18"/>
          <w:szCs w:val="18"/>
        </w:rPr>
        <w:t xml:space="preserve">  │ 4. Google login + consentimiento                     │                     │</w:t>
      </w:r>
    </w:p>
    <w:p>
      <w:pPr>
        <w:shd w:fill="F2F4F7" w:val="clear"/>
        <w:spacing w:after="0" w:before="0" w:line="240"/>
      </w:pPr>
      <w:r>
        <w:rPr>
          <w:rFonts w:ascii="Consolas" w:cs="Consolas" w:eastAsia="Consolas" w:hAnsi="Consolas"/>
          <w:color w:val="1F1F1F"/>
          <w:sz w:val="18"/>
          <w:szCs w:val="18"/>
        </w:rPr>
        <w:t xml:space="preserve">  │ ◀───────────────────────────────────────────────────────────────────────── │</w:t>
      </w:r>
    </w:p>
    <w:p>
      <w:pPr>
        <w:shd w:fill="F2F4F7" w:val="clear"/>
        <w:spacing w:after="0" w:before="0" w:line="240"/>
      </w:pPr>
      <w:r>
        <w:rPr>
          <w:rFonts w:ascii="Consolas" w:cs="Consolas" w:eastAsia="Consolas" w:hAnsi="Consolas"/>
          <w:color w:val="1F1F1F"/>
          <w:sz w:val="18"/>
          <w:szCs w:val="18"/>
        </w:rPr>
        <w:t xml:space="preserve">  │                         │                            │ 5. id_token Google  │</w:t>
      </w:r>
    </w:p>
    <w:p>
      <w:pPr>
        <w:shd w:fill="F2F4F7" w:val="clear"/>
        <w:spacing w:after="0" w:before="0" w:line="240"/>
      </w:pPr>
      <w:r>
        <w:rPr>
          <w:rFonts w:ascii="Consolas" w:cs="Consolas" w:eastAsia="Consolas" w:hAnsi="Consolas"/>
          <w:color w:val="1F1F1F"/>
          <w:sz w:val="18"/>
          <w:szCs w:val="18"/>
        </w:rPr>
        <w:t xml:space="preserve">  │                         │                            │ ◀────────────────── │</w:t>
      </w:r>
    </w:p>
    <w:p>
      <w:pPr>
        <w:shd w:fill="F2F4F7" w:val="clear"/>
        <w:spacing w:after="0" w:before="0" w:line="240"/>
      </w:pPr>
      <w:r>
        <w:rPr>
          <w:rFonts w:ascii="Consolas" w:cs="Consolas" w:eastAsia="Consolas" w:hAnsi="Consolas"/>
          <w:color w:val="1F1F1F"/>
          <w:sz w:val="18"/>
          <w:szCs w:val="18"/>
        </w:rPr>
        <w:t xml:space="preserve">  │                         │ 6. code + state            │                     │</w:t>
      </w:r>
    </w:p>
    <w:p>
      <w:pPr>
        <w:shd w:fill="F2F4F7" w:val="clear"/>
        <w:spacing w:after="0" w:before="0" w:line="240"/>
      </w:pPr>
      <w:r>
        <w:rPr>
          <w:rFonts w:ascii="Consolas" w:cs="Consolas" w:eastAsia="Consolas" w:hAnsi="Consolas"/>
          <w:color w:val="1F1F1F"/>
          <w:sz w:val="18"/>
          <w:szCs w:val="18"/>
        </w:rPr>
        <w:t xml:space="preserve">  │                         │ ◀──────────────────────────│                     │</w:t>
      </w:r>
    </w:p>
    <w:p>
      <w:pPr>
        <w:shd w:fill="F2F4F7" w:val="clear"/>
        <w:spacing w:after="0" w:before="0" w:line="240"/>
      </w:pPr>
      <w:r>
        <w:rPr>
          <w:rFonts w:ascii="Consolas" w:cs="Consolas" w:eastAsia="Consolas" w:hAnsi="Consolas"/>
          <w:color w:val="1F1F1F"/>
          <w:sz w:val="18"/>
          <w:szCs w:val="18"/>
        </w:rPr>
        <w:t xml:space="preserve">  │                         │ 7. /token (code+verifier)  │                     │</w:t>
      </w:r>
    </w:p>
    <w:p>
      <w:pPr>
        <w:shd w:fill="F2F4F7" w:val="clear"/>
        <w:spacing w:after="0" w:before="0" w:line="240"/>
      </w:pPr>
      <w:r>
        <w:rPr>
          <w:rFonts w:ascii="Consolas" w:cs="Consolas" w:eastAsia="Consolas" w:hAnsi="Consolas"/>
          <w:color w:val="1F1F1F"/>
          <w:sz w:val="18"/>
          <w:szCs w:val="18"/>
        </w:rPr>
        <w:t xml:space="preserve">  │                         │ ──────────────────────────▶│                     │</w:t>
      </w:r>
    </w:p>
    <w:p>
      <w:pPr>
        <w:shd w:fill="F2F4F7" w:val="clear"/>
        <w:spacing w:after="0" w:before="0" w:line="240"/>
      </w:pPr>
      <w:r>
        <w:rPr>
          <w:rFonts w:ascii="Consolas" w:cs="Consolas" w:eastAsia="Consolas" w:hAnsi="Consolas"/>
          <w:color w:val="1F1F1F"/>
          <w:sz w:val="18"/>
          <w:szCs w:val="18"/>
        </w:rPr>
        <w:t xml:space="preserve">  │                         │ 8. id_token + access_token │                     │</w:t>
      </w:r>
    </w:p>
    <w:p>
      <w:pPr>
        <w:shd w:fill="F2F4F7" w:val="clear"/>
        <w:spacing w:after="0" w:before="0" w:line="240"/>
      </w:pPr>
      <w:r>
        <w:rPr>
          <w:rFonts w:ascii="Consolas" w:cs="Consolas" w:eastAsia="Consolas" w:hAnsi="Consolas"/>
          <w:color w:val="1F1F1F"/>
          <w:sz w:val="18"/>
          <w:szCs w:val="18"/>
        </w:rPr>
        <w:t xml:space="preserve">  │                         │ ◀──────────────────────────│                     │</w:t>
      </w:r>
    </w:p>
    <w:p>
      <w:pPr>
        <w:shd w:fill="F2F4F7" w:val="clear"/>
        <w:spacing w:after="0" w:before="0" w:line="240"/>
      </w:pPr>
      <w:r>
        <w:rPr>
          <w:rFonts w:ascii="Consolas" w:cs="Consolas" w:eastAsia="Consolas" w:hAnsi="Consolas"/>
          <w:color w:val="1F1F1F"/>
          <w:sz w:val="18"/>
          <w:szCs w:val="18"/>
        </w:rPr>
        <w:t xml:space="preserve">  │                         │ 9. Llamar API con Bearer   │                     │</w:t>
      </w:r>
    </w:p>
    <w:p>
      <w:pPr>
        <w:shd w:fill="F2F4F7" w:val="clear"/>
        <w:spacing w:after="0" w:before="0" w:line="240"/>
      </w:pPr>
      <w:r>
        <w:rPr>
          <w:rFonts w:ascii="Consolas" w:cs="Consolas" w:eastAsia="Consolas" w:hAnsi="Consolas"/>
          <w:color w:val="1F1F1F"/>
          <w:sz w:val="18"/>
          <w:szCs w:val="18"/>
        </w:rPr>
        <w:t xml:space="preserve">  │                         │ ──────▶ Function App API   │                     │</w:t>
      </w:r>
    </w:p>
    <w:p>
      <w:pPr>
        <w:pStyle w:val="Heading2"/>
        <w:spacing w:after="120" w:before="280"/>
      </w:pPr>
      <w:r>
        <w:rPr>
          <w:rFonts w:ascii="Arial" w:cs="Arial" w:eastAsia="Arial" w:hAnsi="Arial"/>
          <w:b/>
          <w:bCs/>
          <w:color w:val="0E7C86"/>
          <w:sz w:val="28"/>
          <w:szCs w:val="28"/>
        </w:rPr>
        <w:t xml:space="preserve">5.3 Configuración paso a paso en Google Cloud Console</w:t>
      </w:r>
    </w:p>
    <w:p>
      <w:pPr>
        <w:spacing w:after="60" w:before="60" w:line="300"/>
        <w:jc w:val="both"/>
      </w:pPr>
      <w:r>
        <w:rPr>
          <w:rFonts w:ascii="Arial" w:cs="Arial" w:eastAsia="Arial" w:hAnsi="Arial"/>
          <w:b w:val="false"/>
          <w:bCs w:val="false"/>
          <w:i w:val="false"/>
          <w:iCs w:val="false"/>
          <w:color w:val="1F1F1F"/>
          <w:sz w:val="22"/>
          <w:szCs w:val="22"/>
        </w:rPr>
        <w:t xml:space="preserve">Estos pasos se realizan una sola vez en una cuenta Google Workspace administrada por CYB y producen un Client ID y Client Secret que se entregarán a Microsoft Entra External ID.</w:t>
      </w:r>
    </w:p>
    <w:p>
      <w:pPr>
        <w:pStyle w:val="ListParagraph"/>
        <w:numPr>
          <w:ilvl w:val="0"/>
          <w:numId w:val="6"/>
        </w:numPr>
        <w:spacing w:after="60" w:before="60" w:line="280"/>
      </w:pPr>
      <w:r>
        <w:rPr>
          <w:rFonts w:ascii="Arial" w:cs="Arial" w:eastAsia="Arial" w:hAnsi="Arial"/>
          <w:sz w:val="22"/>
          <w:szCs w:val="22"/>
        </w:rPr>
        <w:t xml:space="preserve">Ingresar a Google Cloud Console (console.cloud.google.com) con la cuenta administradora de CYB.</w:t>
      </w:r>
    </w:p>
    <w:p>
      <w:pPr>
        <w:pStyle w:val="ListParagraph"/>
        <w:numPr>
          <w:ilvl w:val="0"/>
          <w:numId w:val="6"/>
        </w:numPr>
        <w:spacing w:after="60" w:before="60" w:line="280"/>
      </w:pPr>
      <w:r>
        <w:rPr>
          <w:rFonts w:ascii="Arial" w:cs="Arial" w:eastAsia="Arial" w:hAnsi="Arial"/>
          <w:sz w:val="22"/>
          <w:szCs w:val="22"/>
        </w:rPr>
        <w:t xml:space="preserve">Crear un nuevo proyecto llamado AquaSyncPro-Auth o seleccionar uno existente del producto.</w:t>
      </w:r>
    </w:p>
    <w:p>
      <w:pPr>
        <w:pStyle w:val="ListParagraph"/>
        <w:numPr>
          <w:ilvl w:val="0"/>
          <w:numId w:val="6"/>
        </w:numPr>
        <w:spacing w:after="60" w:before="60" w:line="280"/>
      </w:pPr>
      <w:r>
        <w:rPr>
          <w:rFonts w:ascii="Arial" w:cs="Arial" w:eastAsia="Arial" w:hAnsi="Arial"/>
          <w:sz w:val="22"/>
          <w:szCs w:val="22"/>
        </w:rPr>
        <w:t xml:space="preserve">Ir a APIs &amp; Services → OAuth consent screen y configurar el tipo External (público), nombre de la aplicación AquaSync Pro, correo de soporte support@cyb.cl, dominios autorizados telemetrias.com y aquasyncpro.com.</w:t>
      </w:r>
    </w:p>
    <w:p>
      <w:pPr>
        <w:pStyle w:val="ListParagraph"/>
        <w:numPr>
          <w:ilvl w:val="0"/>
          <w:numId w:val="6"/>
        </w:numPr>
        <w:spacing w:after="60" w:before="60" w:line="280"/>
      </w:pPr>
      <w:r>
        <w:rPr>
          <w:rFonts w:ascii="Arial" w:cs="Arial" w:eastAsia="Arial" w:hAnsi="Arial"/>
          <w:sz w:val="22"/>
          <w:szCs w:val="22"/>
        </w:rPr>
        <w:t xml:space="preserve">Agregar los scopes mínimos: openid, email, profile.</w:t>
      </w:r>
    </w:p>
    <w:p>
      <w:pPr>
        <w:pStyle w:val="ListParagraph"/>
        <w:numPr>
          <w:ilvl w:val="0"/>
          <w:numId w:val="6"/>
        </w:numPr>
        <w:spacing w:after="60" w:before="60" w:line="280"/>
      </w:pPr>
      <w:r>
        <w:rPr>
          <w:rFonts w:ascii="Arial" w:cs="Arial" w:eastAsia="Arial" w:hAnsi="Arial"/>
          <w:sz w:val="22"/>
          <w:szCs w:val="22"/>
        </w:rPr>
        <w:t xml:space="preserve">Publicar la pantalla de consentimiento (estado in production) para que cualquier cuenta Google pueda iniciar sesión sin necesidad de ser un tester.</w:t>
      </w:r>
    </w:p>
    <w:p>
      <w:pPr>
        <w:pStyle w:val="ListParagraph"/>
        <w:numPr>
          <w:ilvl w:val="0"/>
          <w:numId w:val="6"/>
        </w:numPr>
        <w:spacing w:after="60" w:before="60" w:line="280"/>
      </w:pPr>
      <w:r>
        <w:rPr>
          <w:rFonts w:ascii="Arial" w:cs="Arial" w:eastAsia="Arial" w:hAnsi="Arial"/>
          <w:sz w:val="22"/>
          <w:szCs w:val="22"/>
        </w:rPr>
        <w:t xml:space="preserve">Ir a APIs &amp; Services → Credentials → Create credentials → OAuth client ID, tipo Web application.</w:t>
      </w:r>
    </w:p>
    <w:p>
      <w:pPr>
        <w:pStyle w:val="ListParagraph"/>
        <w:numPr>
          <w:ilvl w:val="0"/>
          <w:numId w:val="6"/>
        </w:numPr>
        <w:spacing w:after="60" w:before="60" w:line="280"/>
      </w:pPr>
      <w:r>
        <w:rPr>
          <w:rFonts w:ascii="Arial" w:cs="Arial" w:eastAsia="Arial" w:hAnsi="Arial"/>
          <w:sz w:val="22"/>
          <w:szCs w:val="22"/>
        </w:rPr>
        <w:t xml:space="preserve">En Authorized redirect URIs registrar exactamente la URI que entrega External ID, con el formato:</w:t>
      </w:r>
    </w:p>
    <w:p>
      <w:pPr>
        <w:shd w:fill="F2F4F7" w:val="clear"/>
        <w:spacing w:after="0" w:before="0" w:line="240"/>
      </w:pPr>
      <w:r>
        <w:rPr>
          <w:rFonts w:ascii="Consolas" w:cs="Consolas" w:eastAsia="Consolas" w:hAnsi="Consolas"/>
          <w:color w:val="1F1F1F"/>
          <w:sz w:val="18"/>
          <w:szCs w:val="18"/>
        </w:rPr>
        <w:t xml:space="preserve">https://aquasyncpro.ciamlogin.com/aquasyncpro.onmicrosoft.com/oauth2/authresp</w:t>
      </w:r>
    </w:p>
    <w:p>
      <w:pPr>
        <w:shd w:fill="F2F4F7" w:val="clear"/>
        <w:spacing w:after="0" w:before="0" w:line="240"/>
      </w:pPr>
      <w:r>
        <w:rPr>
          <w:rFonts w:ascii="Consolas" w:cs="Consolas" w:eastAsia="Consolas" w:hAnsi="Consolas"/>
          <w:color w:val="1F1F1F"/>
          <w:sz w:val="18"/>
          <w:szCs w:val="18"/>
        </w:rPr>
        <w:t xml:space="preserve">(o la equivalente que muestre el portal de External ID al añadir Google como IdP)</w:t>
      </w:r>
    </w:p>
    <w:p>
      <w:pPr>
        <w:pStyle w:val="ListParagraph"/>
        <w:numPr>
          <w:ilvl w:val="0"/>
          <w:numId w:val="6"/>
        </w:numPr>
        <w:spacing w:after="60" w:before="60" w:line="280"/>
      </w:pPr>
      <w:r>
        <w:rPr>
          <w:rFonts w:ascii="Arial" w:cs="Arial" w:eastAsia="Arial" w:hAnsi="Arial"/>
          <w:sz w:val="22"/>
          <w:szCs w:val="22"/>
        </w:rPr>
        <w:t xml:space="preserve">Guardar y copiar el Client ID y el Client Secret. Estos dos valores se almacenan en Azure Key Vault como secretos google-client-id y google-client-secret.</w:t>
      </w:r>
    </w:p>
    <w:p>
      <w:pPr>
        <w:pStyle w:val="Heading2"/>
        <w:spacing w:after="120" w:before="280"/>
      </w:pPr>
      <w:r>
        <w:rPr>
          <w:rFonts w:ascii="Arial" w:cs="Arial" w:eastAsia="Arial" w:hAnsi="Arial"/>
          <w:b/>
          <w:bCs/>
          <w:color w:val="0E7C86"/>
          <w:sz w:val="28"/>
          <w:szCs w:val="28"/>
        </w:rPr>
        <w:t xml:space="preserve">5.4 Configuración paso a paso en Microsoft Entra External ID</w:t>
      </w:r>
    </w:p>
    <w:p>
      <w:pPr>
        <w:spacing w:after="60" w:before="60" w:line="300"/>
        <w:jc w:val="both"/>
      </w:pPr>
      <w:r>
        <w:rPr>
          <w:rFonts w:ascii="Arial" w:cs="Arial" w:eastAsia="Arial" w:hAnsi="Arial"/>
          <w:b w:val="false"/>
          <w:bCs w:val="false"/>
          <w:i w:val="false"/>
          <w:iCs w:val="false"/>
          <w:color w:val="1F1F1F"/>
          <w:sz w:val="22"/>
          <w:szCs w:val="22"/>
        </w:rPr>
        <w:t xml:space="preserve">Microsoft Entra External ID se configura desde Microsoft Entra Admin Center (entra.microsoft.com). Se recomienda crear un tenant específico para clientes externos, separado del tenant corporativo de CYB.</w:t>
      </w:r>
    </w:p>
    <w:p>
      <w:pPr>
        <w:pStyle w:val="ListParagraph"/>
        <w:numPr>
          <w:ilvl w:val="0"/>
          <w:numId w:val="2"/>
        </w:numPr>
        <w:spacing w:after="40" w:before="40" w:line="280"/>
      </w:pPr>
      <w:r>
        <w:rPr>
          <w:rFonts w:ascii="Arial" w:cs="Arial" w:eastAsia="Arial" w:hAnsi="Arial"/>
          <w:color w:val="1F1F1F"/>
          <w:sz w:val="22"/>
          <w:szCs w:val="22"/>
        </w:rPr>
        <w:t xml:space="preserve">Crear el tenant External ID con dominio inicial aquasyncpro.onmicrosoft.com y región Global.</w:t>
      </w:r>
    </w:p>
    <w:p>
      <w:pPr>
        <w:pStyle w:val="ListParagraph"/>
        <w:numPr>
          <w:ilvl w:val="0"/>
          <w:numId w:val="2"/>
        </w:numPr>
        <w:spacing w:after="40" w:before="40" w:line="280"/>
      </w:pPr>
      <w:r>
        <w:rPr>
          <w:rFonts w:ascii="Arial" w:cs="Arial" w:eastAsia="Arial" w:hAnsi="Arial"/>
          <w:color w:val="1F1F1F"/>
          <w:sz w:val="22"/>
          <w:szCs w:val="22"/>
        </w:rPr>
        <w:t xml:space="preserve">Asociar la suscripción Azure que pagará el consumo (los primeros 50.000 MAU mensuales son gratuitos en planes vigentes).</w:t>
      </w:r>
    </w:p>
    <w:p>
      <w:pPr>
        <w:pStyle w:val="ListParagraph"/>
        <w:numPr>
          <w:ilvl w:val="0"/>
          <w:numId w:val="2"/>
        </w:numPr>
        <w:spacing w:after="40" w:before="40" w:line="280"/>
      </w:pPr>
      <w:r>
        <w:rPr>
          <w:rFonts w:ascii="Arial" w:cs="Arial" w:eastAsia="Arial" w:hAnsi="Arial"/>
          <w:color w:val="1F1F1F"/>
          <w:sz w:val="22"/>
          <w:szCs w:val="22"/>
        </w:rPr>
        <w:t xml:space="preserve">En Identity providers añadir Google como proveedor: pegar Client ID y Client Secret obtenidos en el paso anterior.</w:t>
      </w:r>
    </w:p>
    <w:p>
      <w:pPr>
        <w:pStyle w:val="ListParagraph"/>
        <w:numPr>
          <w:ilvl w:val="0"/>
          <w:numId w:val="2"/>
        </w:numPr>
        <w:spacing w:after="40" w:before="40" w:line="280"/>
      </w:pPr>
      <w:r>
        <w:rPr>
          <w:rFonts w:ascii="Arial" w:cs="Arial" w:eastAsia="Arial" w:hAnsi="Arial"/>
          <w:color w:val="1F1F1F"/>
          <w:sz w:val="22"/>
          <w:szCs w:val="22"/>
        </w:rPr>
        <w:t xml:space="preserve">Crear un User Flow tipo Sign up and sign in (o Custom Policy si se requiere personalización avanzada). Habilitar Email signup y los IdP federados Google y Microsoft Account.</w:t>
      </w:r>
    </w:p>
    <w:p>
      <w:pPr>
        <w:pStyle w:val="ListParagraph"/>
        <w:numPr>
          <w:ilvl w:val="0"/>
          <w:numId w:val="2"/>
        </w:numPr>
        <w:spacing w:after="40" w:before="40" w:line="280"/>
      </w:pPr>
      <w:r>
        <w:rPr>
          <w:rFonts w:ascii="Arial" w:cs="Arial" w:eastAsia="Arial" w:hAnsi="Arial"/>
          <w:color w:val="1F1F1F"/>
          <w:sz w:val="22"/>
          <w:szCs w:val="22"/>
        </w:rPr>
        <w:t xml:space="preserve">Definir los user attributes a recolectar en el alta: Display name, Given name, Surname, Email, Country (Chile por defecto). Definir los application claims a devolver: oid, email, name, given_name, family_name.</w:t>
      </w:r>
    </w:p>
    <w:p>
      <w:pPr>
        <w:pStyle w:val="ListParagraph"/>
        <w:numPr>
          <w:ilvl w:val="0"/>
          <w:numId w:val="2"/>
        </w:numPr>
        <w:spacing w:after="40" w:before="40" w:line="280"/>
      </w:pPr>
      <w:r>
        <w:rPr>
          <w:rFonts w:ascii="Arial" w:cs="Arial" w:eastAsia="Arial" w:hAnsi="Arial"/>
          <w:color w:val="1F1F1F"/>
          <w:sz w:val="22"/>
          <w:szCs w:val="22"/>
        </w:rPr>
        <w:t xml:space="preserve">Aplicar branding personalizado: logos AquaSync Pro, paleta navy/teal, idioma español de Chile como default, fondo blanco con header navy.</w:t>
      </w:r>
    </w:p>
    <w:p>
      <w:pPr>
        <w:pStyle w:val="ListParagraph"/>
        <w:numPr>
          <w:ilvl w:val="0"/>
          <w:numId w:val="2"/>
        </w:numPr>
        <w:spacing w:after="40" w:before="40" w:line="280"/>
      </w:pPr>
      <w:r>
        <w:rPr>
          <w:rFonts w:ascii="Arial" w:cs="Arial" w:eastAsia="Arial" w:hAnsi="Arial"/>
          <w:color w:val="1F1F1F"/>
          <w:sz w:val="22"/>
          <w:szCs w:val="22"/>
        </w:rPr>
        <w:t xml:space="preserve">Registrar la aplicación SPA en App registrations: nombre AquaSyncPro Portal, tipo Single-page application, redirect URI https://telemetrias.com/auth/callback y https://aquasyncpro.com/auth/callback.</w:t>
      </w:r>
    </w:p>
    <w:p>
      <w:pPr>
        <w:pStyle w:val="ListParagraph"/>
        <w:numPr>
          <w:ilvl w:val="0"/>
          <w:numId w:val="2"/>
        </w:numPr>
        <w:spacing w:after="40" w:before="40" w:line="280"/>
      </w:pPr>
      <w:r>
        <w:rPr>
          <w:rFonts w:ascii="Arial" w:cs="Arial" w:eastAsia="Arial" w:hAnsi="Arial"/>
          <w:color w:val="1F1F1F"/>
          <w:sz w:val="22"/>
          <w:szCs w:val="22"/>
        </w:rPr>
        <w:t xml:space="preserve">Registrar la API en App registrations: nombre AquaSyncPro API, exponer el scope api.access para que el portal pueda solicitarlo.</w:t>
      </w:r>
    </w:p>
    <w:p>
      <w:pPr>
        <w:pStyle w:val="ListParagraph"/>
        <w:numPr>
          <w:ilvl w:val="0"/>
          <w:numId w:val="2"/>
        </w:numPr>
        <w:spacing w:after="40" w:before="40" w:line="280"/>
      </w:pPr>
      <w:r>
        <w:rPr>
          <w:rFonts w:ascii="Arial" w:cs="Arial" w:eastAsia="Arial" w:hAnsi="Arial"/>
          <w:color w:val="1F1F1F"/>
          <w:sz w:val="22"/>
          <w:szCs w:val="22"/>
        </w:rPr>
        <w:t xml:space="preserve">Otorgar al portal SPA permiso al scope api.access del registro de API.</w:t>
      </w:r>
    </w:p>
    <w:p>
      <w:pPr>
        <w:pStyle w:val="ListParagraph"/>
        <w:numPr>
          <w:ilvl w:val="0"/>
          <w:numId w:val="2"/>
        </w:numPr>
        <w:spacing w:after="40" w:before="40" w:line="280"/>
      </w:pPr>
      <w:r>
        <w:rPr>
          <w:rFonts w:ascii="Arial" w:cs="Arial" w:eastAsia="Arial" w:hAnsi="Arial"/>
          <w:color w:val="1F1F1F"/>
          <w:sz w:val="22"/>
          <w:szCs w:val="22"/>
        </w:rPr>
        <w:t xml:space="preserve">Configurar Custom domain login.aquasyncpro.com (opcional pero recomendado) para que la URL de login refleje la marca del producto.</w:t>
      </w:r>
    </w:p>
    <w:p>
      <w:pPr>
        <w:pStyle w:val="Heading2"/>
        <w:spacing w:after="120" w:before="280"/>
      </w:pPr>
      <w:r>
        <w:rPr>
          <w:rFonts w:ascii="Arial" w:cs="Arial" w:eastAsia="Arial" w:hAnsi="Arial"/>
          <w:b/>
          <w:bCs/>
          <w:color w:val="0E7C86"/>
          <w:sz w:val="28"/>
          <w:szCs w:val="28"/>
        </w:rPr>
        <w:t xml:space="preserve">5.5 Integración en el portal SPA</w:t>
      </w:r>
    </w:p>
    <w:p>
      <w:pPr>
        <w:spacing w:after="60" w:before="60" w:line="300"/>
        <w:jc w:val="both"/>
      </w:pPr>
      <w:r>
        <w:rPr>
          <w:rFonts w:ascii="Arial" w:cs="Arial" w:eastAsia="Arial" w:hAnsi="Arial"/>
          <w:b w:val="false"/>
          <w:bCs w:val="false"/>
          <w:i w:val="false"/>
          <w:iCs w:val="false"/>
          <w:color w:val="1F1F1F"/>
          <w:sz w:val="22"/>
          <w:szCs w:val="22"/>
        </w:rPr>
        <w:t xml:space="preserve">El portal de AquaSync Pro (Vite + React o equivalente) consume Microsoft Entra External ID con la librería oficial MSAL.js. La autenticación se delega íntegramente al tenant External ID; el SPA nunca recibe ni maneja credenciales de Google.</w:t>
      </w:r>
    </w:p>
    <w:p>
      <w:pPr>
        <w:shd w:fill="F2F4F7" w:val="clear"/>
        <w:spacing w:after="0" w:before="0" w:line="240"/>
      </w:pPr>
      <w:r>
        <w:rPr>
          <w:rFonts w:ascii="Consolas" w:cs="Consolas" w:eastAsia="Consolas" w:hAnsi="Consolas"/>
          <w:color w:val="1F1F1F"/>
          <w:sz w:val="18"/>
          <w:szCs w:val="18"/>
        </w:rPr>
        <w:t xml:space="preserve">// authConfig.ts</w:t>
      </w:r>
    </w:p>
    <w:p>
      <w:pPr>
        <w:shd w:fill="F2F4F7" w:val="clear"/>
        <w:spacing w:after="0" w:before="0" w:line="240"/>
      </w:pPr>
      <w:r>
        <w:rPr>
          <w:rFonts w:ascii="Consolas" w:cs="Consolas" w:eastAsia="Consolas" w:hAnsi="Consolas"/>
          <w:color w:val="1F1F1F"/>
          <w:sz w:val="18"/>
          <w:szCs w:val="18"/>
        </w:rPr>
        <w:t xml:space="preserve">import { PublicClientApplication, Configuration } from "@azure/msal-browser";</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export const msalConfig: Configuration = {</w:t>
      </w:r>
    </w:p>
    <w:p>
      <w:pPr>
        <w:shd w:fill="F2F4F7" w:val="clear"/>
        <w:spacing w:after="0" w:before="0" w:line="240"/>
      </w:pPr>
      <w:r>
        <w:rPr>
          <w:rFonts w:ascii="Consolas" w:cs="Consolas" w:eastAsia="Consolas" w:hAnsi="Consolas"/>
          <w:color w:val="1F1F1F"/>
          <w:sz w:val="18"/>
          <w:szCs w:val="18"/>
        </w:rPr>
        <w:t xml:space="preserve">  auth: {</w:t>
      </w:r>
    </w:p>
    <w:p>
      <w:pPr>
        <w:shd w:fill="F2F4F7" w:val="clear"/>
        <w:spacing w:after="0" w:before="0" w:line="240"/>
      </w:pPr>
      <w:r>
        <w:rPr>
          <w:rFonts w:ascii="Consolas" w:cs="Consolas" w:eastAsia="Consolas" w:hAnsi="Consolas"/>
          <w:color w:val="1F1F1F"/>
          <w:sz w:val="18"/>
          <w:szCs w:val="18"/>
        </w:rPr>
        <w:t xml:space="preserve">    clientId: import.meta.env.VITE_AAD_CLIENT_ID,</w:t>
      </w:r>
    </w:p>
    <w:p>
      <w:pPr>
        <w:shd w:fill="F2F4F7" w:val="clear"/>
        <w:spacing w:after="0" w:before="0" w:line="240"/>
      </w:pPr>
      <w:r>
        <w:rPr>
          <w:rFonts w:ascii="Consolas" w:cs="Consolas" w:eastAsia="Consolas" w:hAnsi="Consolas"/>
          <w:color w:val="1F1F1F"/>
          <w:sz w:val="18"/>
          <w:szCs w:val="18"/>
        </w:rPr>
        <w:t xml:space="preserve">    authority: "https://aquasyncpro.ciamlogin.com/aquasyncpro.onmicrosoft.com",</w:t>
      </w:r>
    </w:p>
    <w:p>
      <w:pPr>
        <w:shd w:fill="F2F4F7" w:val="clear"/>
        <w:spacing w:after="0" w:before="0" w:line="240"/>
      </w:pPr>
      <w:r>
        <w:rPr>
          <w:rFonts w:ascii="Consolas" w:cs="Consolas" w:eastAsia="Consolas" w:hAnsi="Consolas"/>
          <w:color w:val="1F1F1F"/>
          <w:sz w:val="18"/>
          <w:szCs w:val="18"/>
        </w:rPr>
        <w:t xml:space="preserve">    knownAuthorities: ["aquasyncpro.ciamlogin.com"],</w:t>
      </w:r>
    </w:p>
    <w:p>
      <w:pPr>
        <w:shd w:fill="F2F4F7" w:val="clear"/>
        <w:spacing w:after="0" w:before="0" w:line="240"/>
      </w:pPr>
      <w:r>
        <w:rPr>
          <w:rFonts w:ascii="Consolas" w:cs="Consolas" w:eastAsia="Consolas" w:hAnsi="Consolas"/>
          <w:color w:val="1F1F1F"/>
          <w:sz w:val="18"/>
          <w:szCs w:val="18"/>
        </w:rPr>
        <w:t xml:space="preserve">    redirectUri: window.location.origin + "/auth/callback",</w:t>
      </w:r>
    </w:p>
    <w:p>
      <w:pPr>
        <w:shd w:fill="F2F4F7" w:val="clear"/>
        <w:spacing w:after="0" w:before="0" w:line="240"/>
      </w:pPr>
      <w:r>
        <w:rPr>
          <w:rFonts w:ascii="Consolas" w:cs="Consolas" w:eastAsia="Consolas" w:hAnsi="Consolas"/>
          <w:color w:val="1F1F1F"/>
          <w:sz w:val="18"/>
          <w:szCs w:val="18"/>
        </w:rPr>
        <w:t xml:space="preserve">    postLogoutRedirectUri: window.location.origin</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  cache: { cacheLocation: "localStorage", storeAuthStateInCookie: false }</w:t>
      </w:r>
    </w:p>
    <w:p>
      <w:pPr>
        <w:shd w:fill="F2F4F7" w:val="clear"/>
        <w:spacing w:after="0" w:before="0" w:line="240"/>
      </w:pPr>
      <w:r>
        <w:rPr>
          <w:rFonts w:ascii="Consolas" w:cs="Consolas" w:eastAsia="Consolas" w:hAnsi="Consolas"/>
          <w:color w:val="1F1F1F"/>
          <w:sz w:val="18"/>
          <w:szCs w:val="18"/>
        </w:rPr>
        <w:t xml:space="preserve">};</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export const apiScopes = ["api://aquasyncpro-api/api.access"];</w:t>
      </w:r>
    </w:p>
    <w:p>
      <w:pPr>
        <w:shd w:fill="F2F4F7" w:val="clear"/>
        <w:spacing w:after="0" w:before="0" w:line="240"/>
      </w:pPr>
      <w:r>
        <w:rPr>
          <w:rFonts w:ascii="Consolas" w:cs="Consolas" w:eastAsia="Consolas" w:hAnsi="Consolas"/>
          <w:color w:val="1F1F1F"/>
          <w:sz w:val="18"/>
          <w:szCs w:val="18"/>
        </w:rPr>
        <w:t xml:space="preserve">export const msalInstance = new PublicClientApplication(msalConfig);</w:t>
      </w:r>
    </w:p>
    <w:p>
      <w:pPr>
        <w:shd w:fill="F2F4F7" w:val="clear"/>
        <w:spacing w:after="0" w:before="0" w:line="240"/>
      </w:pPr>
      <w:r>
        <w:rPr>
          <w:rFonts w:ascii="Consolas" w:cs="Consolas" w:eastAsia="Consolas" w:hAnsi="Consolas"/>
          <w:color w:val="1F1F1F"/>
          <w:sz w:val="18"/>
          <w:szCs w:val="18"/>
        </w:rPr>
        <w:t xml:space="preserve">// LoginButton.tsx</w:t>
      </w:r>
    </w:p>
    <w:p>
      <w:pPr>
        <w:shd w:fill="F2F4F7" w:val="clear"/>
        <w:spacing w:after="0" w:before="0" w:line="240"/>
      </w:pPr>
      <w:r>
        <w:rPr>
          <w:rFonts w:ascii="Consolas" w:cs="Consolas" w:eastAsia="Consolas" w:hAnsi="Consolas"/>
          <w:color w:val="1F1F1F"/>
          <w:sz w:val="18"/>
          <w:szCs w:val="18"/>
        </w:rPr>
        <w:t xml:space="preserve">import { msalInstance, apiScopes } from "./authConfig";</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export function LoginButton() {</w:t>
      </w:r>
    </w:p>
    <w:p>
      <w:pPr>
        <w:shd w:fill="F2F4F7" w:val="clear"/>
        <w:spacing w:after="0" w:before="0" w:line="240"/>
      </w:pPr>
      <w:r>
        <w:rPr>
          <w:rFonts w:ascii="Consolas" w:cs="Consolas" w:eastAsia="Consolas" w:hAnsi="Consolas"/>
          <w:color w:val="1F1F1F"/>
          <w:sz w:val="18"/>
          <w:szCs w:val="18"/>
        </w:rPr>
        <w:t xml:space="preserve">  const login = () =&gt; msalInstance.loginRedirect({</w:t>
      </w:r>
    </w:p>
    <w:p>
      <w:pPr>
        <w:shd w:fill="F2F4F7" w:val="clear"/>
        <w:spacing w:after="0" w:before="0" w:line="240"/>
      </w:pPr>
      <w:r>
        <w:rPr>
          <w:rFonts w:ascii="Consolas" w:cs="Consolas" w:eastAsia="Consolas" w:hAnsi="Consolas"/>
          <w:color w:val="1F1F1F"/>
          <w:sz w:val="18"/>
          <w:szCs w:val="18"/>
        </w:rPr>
        <w:t xml:space="preserve">    scopes: apiScopes,</w:t>
      </w:r>
    </w:p>
    <w:p>
      <w:pPr>
        <w:shd w:fill="F2F4F7" w:val="clear"/>
        <w:spacing w:after="0" w:before="0" w:line="240"/>
      </w:pPr>
      <w:r>
        <w:rPr>
          <w:rFonts w:ascii="Consolas" w:cs="Consolas" w:eastAsia="Consolas" w:hAnsi="Consolas"/>
          <w:color w:val="1F1F1F"/>
          <w:sz w:val="18"/>
          <w:szCs w:val="18"/>
        </w:rPr>
        <w:t xml:space="preserve">    extraQueryParameters: { domain_hint: "google.com" } // opcional: salta directo a Google</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  return &lt;button onClick={login}&gt;Continuar con Google&lt;/button&gt;;</w:t>
      </w:r>
    </w:p>
    <w:p>
      <w:pPr>
        <w:shd w:fill="F2F4F7" w:val="clear"/>
        <w:spacing w:after="0" w:before="0" w:line="240"/>
      </w:pPr>
      <w:r>
        <w:rPr>
          <w:rFonts w:ascii="Consolas" w:cs="Consolas" w:eastAsia="Consolas" w:hAnsi="Consolas"/>
          <w:color w:val="1F1F1F"/>
          <w:sz w:val="18"/>
          <w:szCs w:val="18"/>
        </w:rPr>
        <w:t xml:space="preserve">}</w:t>
      </w:r>
    </w:p>
    <w:p>
      <w:pPr>
        <w:pStyle w:val="Heading2"/>
        <w:spacing w:after="120" w:before="280"/>
      </w:pPr>
      <w:r>
        <w:rPr>
          <w:rFonts w:ascii="Arial" w:cs="Arial" w:eastAsia="Arial" w:hAnsi="Arial"/>
          <w:b/>
          <w:bCs/>
          <w:color w:val="0E7C86"/>
          <w:sz w:val="28"/>
          <w:szCs w:val="28"/>
        </w:rPr>
        <w:t xml:space="preserve">5.6 Validación del token en la API (Azure Functions)</w:t>
      </w:r>
    </w:p>
    <w:p>
      <w:pPr>
        <w:spacing w:after="60" w:before="60" w:line="300"/>
        <w:jc w:val="both"/>
      </w:pPr>
      <w:r>
        <w:rPr>
          <w:rFonts w:ascii="Arial" w:cs="Arial" w:eastAsia="Arial" w:hAnsi="Arial"/>
          <w:b w:val="false"/>
          <w:bCs w:val="false"/>
          <w:i w:val="false"/>
          <w:iCs w:val="false"/>
          <w:color w:val="1F1F1F"/>
          <w:sz w:val="22"/>
          <w:szCs w:val="22"/>
        </w:rPr>
        <w:t xml:space="preserve">La API REST se publica en Azure Functions y valida el access_token emitido por External ID. La validación verifica firma (JWKS de External ID), audiencia (api://aquasyncpro-api), issuer (URL del tenant) y expiración. La identidad efectiva (oid, email, tenantId del cliente) se utiliza para resolver permisos RBAC y filtrar datos por tenantId en Cosmos DB.</w:t>
      </w:r>
    </w:p>
    <w:p>
      <w:pPr>
        <w:shd w:fill="F2F4F7" w:val="clear"/>
        <w:spacing w:after="0" w:before="0" w:line="240"/>
      </w:pPr>
      <w:r>
        <w:rPr>
          <w:rFonts w:ascii="Consolas" w:cs="Consolas" w:eastAsia="Consolas" w:hAnsi="Consolas"/>
          <w:color w:val="1F1F1F"/>
          <w:sz w:val="18"/>
          <w:szCs w:val="18"/>
        </w:rPr>
        <w:t xml:space="preserve">// Node.js Function con jose</w:t>
      </w:r>
    </w:p>
    <w:p>
      <w:pPr>
        <w:shd w:fill="F2F4F7" w:val="clear"/>
        <w:spacing w:after="0" w:before="0" w:line="240"/>
      </w:pPr>
      <w:r>
        <w:rPr>
          <w:rFonts w:ascii="Consolas" w:cs="Consolas" w:eastAsia="Consolas" w:hAnsi="Consolas"/>
          <w:color w:val="1F1F1F"/>
          <w:sz w:val="18"/>
          <w:szCs w:val="18"/>
        </w:rPr>
        <w:t xml:space="preserve">import { createRemoteJWKSet, jwtVerify } from "jose";</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const ISSUER  = "https://aquasyncpro.ciamlogin.com/&lt;tenantId&gt;/v2.0";</w:t>
      </w:r>
    </w:p>
    <w:p>
      <w:pPr>
        <w:shd w:fill="F2F4F7" w:val="clear"/>
        <w:spacing w:after="0" w:before="0" w:line="240"/>
      </w:pPr>
      <w:r>
        <w:rPr>
          <w:rFonts w:ascii="Consolas" w:cs="Consolas" w:eastAsia="Consolas" w:hAnsi="Consolas"/>
          <w:color w:val="1F1F1F"/>
          <w:sz w:val="18"/>
          <w:szCs w:val="18"/>
        </w:rPr>
        <w:t xml:space="preserve">const AUDIENCE = "api://aquasyncpro-api";</w:t>
      </w:r>
    </w:p>
    <w:p>
      <w:pPr>
        <w:shd w:fill="F2F4F7" w:val="clear"/>
        <w:spacing w:after="0" w:before="0" w:line="240"/>
      </w:pPr>
      <w:r>
        <w:rPr>
          <w:rFonts w:ascii="Consolas" w:cs="Consolas" w:eastAsia="Consolas" w:hAnsi="Consolas"/>
          <w:color w:val="1F1F1F"/>
          <w:sz w:val="18"/>
          <w:szCs w:val="18"/>
        </w:rPr>
        <w:t xml:space="preserve">const JWKS = createRemoteJWKSet(new URL(</w:t>
      </w:r>
    </w:p>
    <w:p>
      <w:pPr>
        <w:shd w:fill="F2F4F7" w:val="clear"/>
        <w:spacing w:after="0" w:before="0" w:line="240"/>
      </w:pPr>
      <w:r>
        <w:rPr>
          <w:rFonts w:ascii="Consolas" w:cs="Consolas" w:eastAsia="Consolas" w:hAnsi="Consolas"/>
          <w:color w:val="1F1F1F"/>
          <w:sz w:val="18"/>
          <w:szCs w:val="18"/>
        </w:rPr>
        <w:t xml:space="preserve">  "https://aquasyncpro.ciamlogin.com/&lt;tenantId&gt;/discovery/v2.0/keys"));</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export async function validateBearer(authHeader: string) {</w:t>
      </w:r>
    </w:p>
    <w:p>
      <w:pPr>
        <w:shd w:fill="F2F4F7" w:val="clear"/>
        <w:spacing w:after="0" w:before="0" w:line="240"/>
      </w:pPr>
      <w:r>
        <w:rPr>
          <w:rFonts w:ascii="Consolas" w:cs="Consolas" w:eastAsia="Consolas" w:hAnsi="Consolas"/>
          <w:color w:val="1F1F1F"/>
          <w:sz w:val="18"/>
          <w:szCs w:val="18"/>
        </w:rPr>
        <w:t xml:space="preserve">  const token = authHeader.replace(/^Bearer\s+/i, "");</w:t>
      </w:r>
    </w:p>
    <w:p>
      <w:pPr>
        <w:shd w:fill="F2F4F7" w:val="clear"/>
        <w:spacing w:after="0" w:before="0" w:line="240"/>
      </w:pPr>
      <w:r>
        <w:rPr>
          <w:rFonts w:ascii="Consolas" w:cs="Consolas" w:eastAsia="Consolas" w:hAnsi="Consolas"/>
          <w:color w:val="1F1F1F"/>
          <w:sz w:val="18"/>
          <w:szCs w:val="18"/>
        </w:rPr>
        <w:t xml:space="preserve">  const { payload } = await jwtVerify(token, JWKS, {</w:t>
      </w:r>
    </w:p>
    <w:p>
      <w:pPr>
        <w:shd w:fill="F2F4F7" w:val="clear"/>
        <w:spacing w:after="0" w:before="0" w:line="240"/>
      </w:pPr>
      <w:r>
        <w:rPr>
          <w:rFonts w:ascii="Consolas" w:cs="Consolas" w:eastAsia="Consolas" w:hAnsi="Consolas"/>
          <w:color w:val="1F1F1F"/>
          <w:sz w:val="18"/>
          <w:szCs w:val="18"/>
        </w:rPr>
        <w:t xml:space="preserve">    issuer: ISSUER, audience: AUDIENCE</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  return {</w:t>
      </w:r>
    </w:p>
    <w:p>
      <w:pPr>
        <w:shd w:fill="F2F4F7" w:val="clear"/>
        <w:spacing w:after="0" w:before="0" w:line="240"/>
      </w:pPr>
      <w:r>
        <w:rPr>
          <w:rFonts w:ascii="Consolas" w:cs="Consolas" w:eastAsia="Consolas" w:hAnsi="Consolas"/>
          <w:color w:val="1F1F1F"/>
          <w:sz w:val="18"/>
          <w:szCs w:val="18"/>
        </w:rPr>
        <w:t xml:space="preserve">    userId: payload.oid as string,</w:t>
      </w:r>
    </w:p>
    <w:p>
      <w:pPr>
        <w:shd w:fill="F2F4F7" w:val="clear"/>
        <w:spacing w:after="0" w:before="0" w:line="240"/>
      </w:pPr>
      <w:r>
        <w:rPr>
          <w:rFonts w:ascii="Consolas" w:cs="Consolas" w:eastAsia="Consolas" w:hAnsi="Consolas"/>
          <w:color w:val="1F1F1F"/>
          <w:sz w:val="18"/>
          <w:szCs w:val="18"/>
        </w:rPr>
        <w:t xml:space="preserve">    email:  payload.email as string,</w:t>
      </w:r>
    </w:p>
    <w:p>
      <w:pPr>
        <w:shd w:fill="F2F4F7" w:val="clear"/>
        <w:spacing w:after="0" w:before="0" w:line="240"/>
      </w:pPr>
      <w:r>
        <w:rPr>
          <w:rFonts w:ascii="Consolas" w:cs="Consolas" w:eastAsia="Consolas" w:hAnsi="Consolas"/>
          <w:color w:val="1F1F1F"/>
          <w:sz w:val="18"/>
          <w:szCs w:val="18"/>
        </w:rPr>
        <w:t xml:space="preserve">    tenantClaim: payload.extension_TenantId as string  // claim custom</w:t>
      </w:r>
    </w:p>
    <w:p>
      <w:pPr>
        <w:shd w:fill="F2F4F7" w:val="clear"/>
        <w:spacing w:after="0" w:before="0" w:line="240"/>
      </w:pPr>
      <w:r>
        <w:rPr>
          <w:rFonts w:ascii="Consolas" w:cs="Consolas" w:eastAsia="Consolas" w:hAnsi="Consolas"/>
          <w:color w:val="1F1F1F"/>
          <w:sz w:val="18"/>
          <w:szCs w:val="18"/>
        </w:rPr>
        <w:t xml:space="preserve">  };</w:t>
      </w:r>
    </w:p>
    <w:p>
      <w:pPr>
        <w:shd w:fill="F2F4F7" w:val="clear"/>
        <w:spacing w:after="0" w:before="0" w:line="240"/>
      </w:pPr>
      <w:r>
        <w:rPr>
          <w:rFonts w:ascii="Consolas" w:cs="Consolas" w:eastAsia="Consolas" w:hAnsi="Consolas"/>
          <w:color w:val="1F1F1F"/>
          <w:sz w:val="18"/>
          <w:szCs w:val="18"/>
        </w:rPr>
        <w:t xml:space="preserve">}</w:t>
      </w:r>
    </w:p>
    <w:p>
      <w:pPr>
        <w:pStyle w:val="Heading2"/>
        <w:spacing w:after="120" w:before="280"/>
      </w:pPr>
      <w:r>
        <w:rPr>
          <w:rFonts w:ascii="Arial" w:cs="Arial" w:eastAsia="Arial" w:hAnsi="Arial"/>
          <w:b/>
          <w:bCs/>
          <w:color w:val="0E7C86"/>
          <w:sz w:val="28"/>
          <w:szCs w:val="28"/>
        </w:rPr>
        <w:t xml:space="preserve">5.7 Asignación al tenant SSR del cliente</w:t>
      </w:r>
    </w:p>
    <w:p>
      <w:pPr>
        <w:spacing w:after="60" w:before="60" w:line="300"/>
        <w:jc w:val="both"/>
      </w:pPr>
      <w:r>
        <w:rPr>
          <w:rFonts w:ascii="Arial" w:cs="Arial" w:eastAsia="Arial" w:hAnsi="Arial"/>
          <w:b w:val="false"/>
          <w:bCs w:val="false"/>
          <w:i w:val="false"/>
          <w:iCs w:val="false"/>
          <w:color w:val="1F1F1F"/>
          <w:sz w:val="22"/>
          <w:szCs w:val="22"/>
        </w:rPr>
        <w:t xml:space="preserve">Microsoft Entra External ID resuelve la identidad del usuario, pero AquaSync Pro debe asociar a cada usuario al tenant SSR (cliente APR) que le corresponde. Esto se logra con un claim personalizado tenantId que se inyecta en el token mediante una API connector durante el flujo de signup, o con un mapping directo en la base de datos config.</w:t>
      </w:r>
    </w:p>
    <w:p>
      <w:pPr>
        <w:pStyle w:val="ListParagraph"/>
        <w:numPr>
          <w:ilvl w:val="0"/>
          <w:numId w:val="2"/>
        </w:numPr>
        <w:spacing w:after="40" w:before="40" w:line="280"/>
      </w:pPr>
      <w:r>
        <w:rPr>
          <w:rFonts w:ascii="Arial" w:cs="Arial" w:eastAsia="Arial" w:hAnsi="Arial"/>
          <w:color w:val="1F1F1F"/>
          <w:sz w:val="22"/>
          <w:szCs w:val="22"/>
        </w:rPr>
        <w:t xml:space="preserve">Si el usuario es invitado por un administrador, el tenantId se asigna en el formulario de invitación y queda fijo en el directorio.</w:t>
      </w:r>
    </w:p>
    <w:p>
      <w:pPr>
        <w:pStyle w:val="ListParagraph"/>
        <w:numPr>
          <w:ilvl w:val="0"/>
          <w:numId w:val="2"/>
        </w:numPr>
        <w:spacing w:after="40" w:before="40" w:line="280"/>
      </w:pPr>
      <w:r>
        <w:rPr>
          <w:rFonts w:ascii="Arial" w:cs="Arial" w:eastAsia="Arial" w:hAnsi="Arial"/>
          <w:color w:val="1F1F1F"/>
          <w:sz w:val="22"/>
          <w:szCs w:val="22"/>
        </w:rPr>
        <w:t xml:space="preserve">Si el usuario se registra de manera autónoma (signup), un API connector llama a una Azure Function que valida el dominio del email y asigna el tenantId correspondiente, o lo deja en estado pending hasta validación manual.</w:t>
      </w:r>
    </w:p>
    <w:p>
      <w:pPr>
        <w:pStyle w:val="ListParagraph"/>
        <w:numPr>
          <w:ilvl w:val="0"/>
          <w:numId w:val="2"/>
        </w:numPr>
        <w:spacing w:after="40" w:before="40" w:line="280"/>
      </w:pPr>
      <w:r>
        <w:rPr>
          <w:rFonts w:ascii="Arial" w:cs="Arial" w:eastAsia="Arial" w:hAnsi="Arial"/>
          <w:color w:val="1F1F1F"/>
          <w:sz w:val="22"/>
          <w:szCs w:val="22"/>
        </w:rPr>
        <w:t xml:space="preserve">La API REST siempre filtra las consultas a Cosmos DB con tenantId = @tenantClaim para garantizar aislamiento entre clientes.</w:t>
      </w:r>
    </w:p>
    <w:p>
      <w:pPr>
        <w:pStyle w:val="Heading2"/>
        <w:spacing w:after="120" w:before="280"/>
      </w:pPr>
      <w:r>
        <w:rPr>
          <w:rFonts w:ascii="Arial" w:cs="Arial" w:eastAsia="Arial" w:hAnsi="Arial"/>
          <w:b/>
          <w:bCs/>
          <w:color w:val="0E7C86"/>
          <w:sz w:val="28"/>
          <w:szCs w:val="28"/>
        </w:rPr>
        <w:t xml:space="preserve">5.8 Roles y permisos (RBAC interno)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Rol</w:t>
            </w:r>
          </w:p>
        </w:tc>
        <w:tc>
          <w:tcPr>
            <w:tcW w:type="dxa" w:w="24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Alcance</w:t>
            </w:r>
          </w:p>
        </w:tc>
        <w:tc>
          <w:tcPr>
            <w:tcW w:type="dxa" w:w="50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Permisos clave</w:t>
            </w:r>
          </w:p>
        </w:tc>
      </w:tr>
      <w:tr>
        <w:tc>
          <w:tcPr>
            <w:tcW w:type="dxa" w:w="1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tenantOwner</w:t>
            </w:r>
          </w:p>
        </w:tc>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Por tenant</w:t>
            </w:r>
          </w:p>
        </w:tc>
        <w:tc>
          <w:tcPr>
            <w:tcW w:type="dxa" w:w="50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Administrar usuarios del tenant, configurar sitios y equipos, suscribirse, ver y descargar reportes, recibir alarmas críticas.</w:t>
            </w:r>
          </w:p>
        </w:tc>
      </w:tr>
      <w:tr>
        <w:tc>
          <w:tcPr>
            <w:tcW w:type="dxa" w:w="19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tenantOperator</w:t>
            </w:r>
          </w:p>
        </w:tc>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Por tenant</w:t>
            </w:r>
          </w:p>
        </w:tc>
        <w:tc>
          <w:tcPr>
            <w:tcW w:type="dxa" w:w="50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Ver dashboards y mediciones; reconocer alarmas; ejecutar comandos remotos sujeto a la política de cada equipo.</w:t>
            </w:r>
          </w:p>
        </w:tc>
      </w:tr>
      <w:tr>
        <w:tc>
          <w:tcPr>
            <w:tcW w:type="dxa" w:w="1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tenantViewer</w:t>
            </w:r>
          </w:p>
        </w:tc>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Por tenant</w:t>
            </w:r>
          </w:p>
        </w:tc>
        <w:tc>
          <w:tcPr>
            <w:tcW w:type="dxa" w:w="50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Ver dashboards y reportes en modo lectura. Sin permisos de comando ni de configuración.</w:t>
            </w:r>
          </w:p>
        </w:tc>
      </w:tr>
      <w:tr>
        <w:tc>
          <w:tcPr>
            <w:tcW w:type="dxa" w:w="19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cybSupport</w:t>
            </w:r>
          </w:p>
        </w:tc>
        <w:tc>
          <w:tcPr>
            <w:tcW w:type="dxa" w:w="24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Cross-tenant</w:t>
            </w:r>
          </w:p>
        </w:tc>
        <w:tc>
          <w:tcPr>
            <w:tcW w:type="dxa" w:w="50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Acceso de soporte registrado en audit. Bloqueo excepcional de control (UC-CTL-03), diagnósticos de gateway.</w:t>
            </w:r>
          </w:p>
        </w:tc>
      </w:tr>
      <w:tr>
        <w:tc>
          <w:tcPr>
            <w:tcW w:type="dxa" w:w="19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cybAdmin</w:t>
            </w:r>
          </w:p>
        </w:tc>
        <w:tc>
          <w:tcPr>
            <w:tcW w:type="dxa" w:w="24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Cross-tenant</w:t>
            </w:r>
          </w:p>
        </w:tc>
        <w:tc>
          <w:tcPr>
            <w:tcW w:type="dxa" w:w="50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Administración global del producto: alta de tenants, gestión de CA intermedia, métricas de operación.</w:t>
            </w:r>
          </w:p>
        </w:tc>
      </w:tr>
    </w:tbl>
    <w:p>
      <w:pPr>
        <w:pStyle w:val="Heading2"/>
        <w:spacing w:after="120" w:before="280"/>
      </w:pPr>
      <w:r>
        <w:rPr>
          <w:rFonts w:ascii="Arial" w:cs="Arial" w:eastAsia="Arial" w:hAnsi="Arial"/>
          <w:b/>
          <w:bCs/>
          <w:color w:val="0E7C86"/>
          <w:sz w:val="28"/>
          <w:szCs w:val="28"/>
        </w:rPr>
        <w:t xml:space="preserve">5.9 Seguridad y compliance</w:t>
      </w:r>
    </w:p>
    <w:p>
      <w:pPr>
        <w:pStyle w:val="ListParagraph"/>
        <w:numPr>
          <w:ilvl w:val="0"/>
          <w:numId w:val="2"/>
        </w:numPr>
        <w:spacing w:after="40" w:before="40" w:line="280"/>
      </w:pPr>
      <w:r>
        <w:rPr>
          <w:rFonts w:ascii="Arial" w:cs="Arial" w:eastAsia="Arial" w:hAnsi="Arial"/>
          <w:color w:val="1F1F1F"/>
          <w:sz w:val="22"/>
          <w:szCs w:val="22"/>
        </w:rPr>
        <w:t xml:space="preserve">MFA obligatoria para roles tenantOwner, cybSupport y cybAdmin mediante Conditional Access.</w:t>
      </w:r>
    </w:p>
    <w:p>
      <w:pPr>
        <w:pStyle w:val="ListParagraph"/>
        <w:numPr>
          <w:ilvl w:val="0"/>
          <w:numId w:val="2"/>
        </w:numPr>
        <w:spacing w:after="40" w:before="40" w:line="280"/>
      </w:pPr>
      <w:r>
        <w:rPr>
          <w:rFonts w:ascii="Arial" w:cs="Arial" w:eastAsia="Arial" w:hAnsi="Arial"/>
          <w:color w:val="1F1F1F"/>
          <w:sz w:val="22"/>
          <w:szCs w:val="22"/>
        </w:rPr>
        <w:t xml:space="preserve">Sesiones con expiración a 8 horas y refresh token sliding de 14 días, configurable por política.</w:t>
      </w:r>
    </w:p>
    <w:p>
      <w:pPr>
        <w:pStyle w:val="ListParagraph"/>
        <w:numPr>
          <w:ilvl w:val="0"/>
          <w:numId w:val="2"/>
        </w:numPr>
        <w:spacing w:after="40" w:before="40" w:line="280"/>
      </w:pPr>
      <w:r>
        <w:rPr>
          <w:rFonts w:ascii="Arial" w:cs="Arial" w:eastAsia="Arial" w:hAnsi="Arial"/>
          <w:color w:val="1F1F1F"/>
          <w:sz w:val="22"/>
          <w:szCs w:val="22"/>
        </w:rPr>
        <w:t xml:space="preserve">Logs de inicio de sesión exportados a Log Analytics para correlación con auditoría operacional.</w:t>
      </w:r>
    </w:p>
    <w:p>
      <w:pPr>
        <w:pStyle w:val="ListParagraph"/>
        <w:numPr>
          <w:ilvl w:val="0"/>
          <w:numId w:val="2"/>
        </w:numPr>
        <w:spacing w:after="40" w:before="40" w:line="280"/>
      </w:pPr>
      <w:r>
        <w:rPr>
          <w:rFonts w:ascii="Arial" w:cs="Arial" w:eastAsia="Arial" w:hAnsi="Arial"/>
          <w:color w:val="1F1F1F"/>
          <w:sz w:val="22"/>
          <w:szCs w:val="22"/>
        </w:rPr>
        <w:t xml:space="preserve">Cumplimiento con Ley 19.628 (protección de datos personales en Chile) y con principios de minimización: solo se almacenan email, nombre, tenantId y rol.</w:t>
      </w:r>
    </w:p>
    <w:p>
      <w:pPr>
        <w:pStyle w:val="ListParagraph"/>
        <w:numPr>
          <w:ilvl w:val="0"/>
          <w:numId w:val="2"/>
        </w:numPr>
        <w:spacing w:after="40" w:before="40" w:line="280"/>
      </w:pPr>
      <w:r>
        <w:rPr>
          <w:rFonts w:ascii="Arial" w:cs="Arial" w:eastAsia="Arial" w:hAnsi="Arial"/>
          <w:color w:val="1F1F1F"/>
          <w:sz w:val="22"/>
          <w:szCs w:val="22"/>
        </w:rPr>
        <w:t xml:space="preserve">Botón de eliminación de cuenta disponible en el portal: ejecuta soft delete en External ID y anonimiza referencias en audit.</w:t>
      </w:r>
    </w:p>
    <w:p>
      <w:pPr>
        <w:pStyle w:val="Heading2"/>
        <w:spacing w:after="120" w:before="280"/>
      </w:pPr>
      <w:r>
        <w:rPr>
          <w:rFonts w:ascii="Arial" w:cs="Arial" w:eastAsia="Arial" w:hAnsi="Arial"/>
          <w:b/>
          <w:bCs/>
          <w:color w:val="0E7C86"/>
          <w:sz w:val="28"/>
          <w:szCs w:val="28"/>
        </w:rPr>
        <w:t xml:space="preserve">5.10 Plan de pruebas de identidad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Caso de prueba</w:t>
            </w:r>
          </w:p>
        </w:tc>
        <w:tc>
          <w:tcPr>
            <w:tcW w:type="dxa" w:w="58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Resultado esperado</w:t>
            </w:r>
          </w:p>
        </w:tc>
      </w:tr>
      <w:tr>
        <w:tc>
          <w:tcPr>
            <w:tcW w:type="dxa" w:w="3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Login con cuenta Google nueva</w:t>
            </w:r>
          </w:p>
        </w:tc>
        <w:tc>
          <w:tcPr>
            <w:tcW w:type="dxa" w:w="58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 crea automáticamente el usuario en External ID, asignado a tenant pending. Aparece en lista de invitaciones para validación.</w:t>
            </w:r>
          </w:p>
        </w:tc>
      </w:tr>
      <w:tr>
        <w:tc>
          <w:tcPr>
            <w:tcW w:type="dxa" w:w="3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Login con cuenta Google ya invitada</w:t>
            </w:r>
          </w:p>
        </w:tc>
        <w:tc>
          <w:tcPr>
            <w:tcW w:type="dxa" w:w="58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Login exitoso, redirección al dashboard del tenant correspondiente, claim tenantId presente en el access_token.</w:t>
            </w:r>
          </w:p>
        </w:tc>
      </w:tr>
      <w:tr>
        <w:tc>
          <w:tcPr>
            <w:tcW w:type="dxa" w:w="3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Login con email/contraseña local</w:t>
            </w:r>
          </w:p>
        </w:tc>
        <w:tc>
          <w:tcPr>
            <w:tcW w:type="dxa" w:w="58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Flujo de signup envía verificación a email. Tras verificar, login exitoso.</w:t>
            </w:r>
          </w:p>
        </w:tc>
      </w:tr>
      <w:tr>
        <w:tc>
          <w:tcPr>
            <w:tcW w:type="dxa" w:w="3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Token expirado</w:t>
            </w:r>
          </w:p>
        </w:tc>
        <w:tc>
          <w:tcPr>
            <w:tcW w:type="dxa" w:w="58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API responde 401. SPA ejecuta refresh silent vía MSAL. Si falla, redirige a login.</w:t>
            </w:r>
          </w:p>
        </w:tc>
      </w:tr>
      <w:tr>
        <w:tc>
          <w:tcPr>
            <w:tcW w:type="dxa" w:w="3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Cambio de rol por tenantOwner</w:t>
            </w:r>
          </w:p>
        </w:tc>
        <w:tc>
          <w:tcPr>
            <w:tcW w:type="dxa" w:w="58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Refresh token revoca permisos antiguos en menos de 1 hora; el cambio se refleja al siguiente acquireToken.</w:t>
            </w:r>
          </w:p>
        </w:tc>
      </w:tr>
      <w:tr>
        <w:tc>
          <w:tcPr>
            <w:tcW w:type="dxa" w:w="3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Eliminación de cuenta</w:t>
            </w:r>
          </w:p>
        </w:tc>
        <w:tc>
          <w:tcPr>
            <w:tcW w:type="dxa" w:w="58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El usuario deja de poder iniciar sesión. Sus registros en audit permanecen pero con actor anonimizado.</w:t>
            </w:r>
          </w:p>
        </w:tc>
      </w:tr>
    </w:tbl>
    <w:p>
      <w:r>
        <w:br w:type="page"/>
      </w:r>
    </w:p>
    <w:p>
      <w:pPr>
        <w:pStyle w:val="Heading1"/>
        <w:pBdr>
          <w:bottom w:val="single" w:color="0B2A4A" w:sz="12" w:space="4"/>
        </w:pBdr>
        <w:spacing w:after="180" w:before="360"/>
      </w:pPr>
      <w:r>
        <w:rPr>
          <w:rFonts w:ascii="Arial" w:cs="Arial" w:eastAsia="Arial" w:hAnsi="Arial"/>
          <w:b/>
          <w:bCs/>
          <w:color w:val="0B2A4A"/>
          <w:sz w:val="32"/>
          <w:szCs w:val="32"/>
        </w:rPr>
        <w:t xml:space="preserve">6. Seguridad transversal y observabilidad</w:t>
      </w:r>
    </w:p>
    <w:p>
      <w:pPr>
        <w:spacing w:after="60" w:before="60" w:line="300"/>
        <w:jc w:val="both"/>
      </w:pPr>
      <w:r>
        <w:rPr>
          <w:rFonts w:ascii="Arial" w:cs="Arial" w:eastAsia="Arial" w:hAnsi="Arial"/>
          <w:b w:val="false"/>
          <w:bCs w:val="false"/>
          <w:i w:val="false"/>
          <w:iCs w:val="false"/>
          <w:color w:val="1F1F1F"/>
          <w:sz w:val="22"/>
          <w:szCs w:val="22"/>
        </w:rPr>
        <w:t xml:space="preserve">Esta sección agrupa controles que no pertenecen a un único componente sino que aplican a toda la plataforma.</w:t>
      </w:r>
    </w:p>
    <w:p>
      <w:pPr>
        <w:pStyle w:val="Heading2"/>
        <w:spacing w:after="120" w:before="280"/>
      </w:pPr>
      <w:r>
        <w:rPr>
          <w:rFonts w:ascii="Arial" w:cs="Arial" w:eastAsia="Arial" w:hAnsi="Arial"/>
          <w:b/>
          <w:bCs/>
          <w:color w:val="0E7C86"/>
          <w:sz w:val="28"/>
          <w:szCs w:val="28"/>
        </w:rPr>
        <w:t xml:space="preserve">6.1 Custodia de secretos en Azure Key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Secreto / referencia</w:t>
            </w:r>
          </w:p>
        </w:tc>
        <w:tc>
          <w:tcPr>
            <w:tcW w:type="dxa" w:w="18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Tipo</w:t>
            </w:r>
          </w:p>
        </w:tc>
        <w:tc>
          <w:tcPr>
            <w:tcW w:type="dxa" w:w="43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Consumidor</w:t>
            </w:r>
          </w:p>
        </w:tc>
      </w:tr>
      <w:tr>
        <w:tc>
          <w:tcPr>
            <w:tcW w:type="dxa" w:w="3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google-client-id</w:t>
            </w:r>
          </w:p>
        </w:tc>
        <w:tc>
          <w:tcPr>
            <w:tcW w:type="dxa" w:w="18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Secret</w:t>
            </w:r>
          </w:p>
        </w:tc>
        <w:tc>
          <w:tcPr>
            <w:tcW w:type="dxa" w:w="43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Microsoft Entra External ID (configuración del IdP Google)</w:t>
            </w:r>
          </w:p>
        </w:tc>
      </w:tr>
      <w:tr>
        <w:tc>
          <w:tcPr>
            <w:tcW w:type="dxa" w:w="3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google-client-secret</w:t>
            </w:r>
          </w:p>
        </w:tc>
        <w:tc>
          <w:tcPr>
            <w:tcW w:type="dxa" w:w="18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Secret</w:t>
            </w:r>
          </w:p>
        </w:tc>
        <w:tc>
          <w:tcPr>
            <w:tcW w:type="dxa" w:w="43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Microsoft Entra External ID (configuración del IdP Google)</w:t>
            </w:r>
          </w:p>
        </w:tc>
      </w:tr>
      <w:tr>
        <w:tc>
          <w:tcPr>
            <w:tcW w:type="dxa" w:w="3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dga-webservice-credentials</w:t>
            </w:r>
          </w:p>
        </w:tc>
        <w:tc>
          <w:tcPr>
            <w:tcW w:type="dxa" w:w="18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Secret</w:t>
            </w:r>
          </w:p>
        </w:tc>
        <w:tc>
          <w:tcPr>
            <w:tcW w:type="dxa" w:w="43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Azure Function que arma y envía el XML al webservice DGA</w:t>
            </w:r>
          </w:p>
        </w:tc>
      </w:tr>
      <w:tr>
        <w:tc>
          <w:tcPr>
            <w:tcW w:type="dxa" w:w="3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cosmos-connection-string</w:t>
            </w:r>
          </w:p>
        </w:tc>
        <w:tc>
          <w:tcPr>
            <w:tcW w:type="dxa" w:w="18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Secret (referencia)</w:t>
            </w:r>
          </w:p>
        </w:tc>
        <w:tc>
          <w:tcPr>
            <w:tcW w:type="dxa" w:w="43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Idealmente reemplazada por Managed Identity de la Function</w:t>
            </w:r>
          </w:p>
        </w:tc>
      </w:tr>
      <w:tr>
        <w:tc>
          <w:tcPr>
            <w:tcW w:type="dxa" w:w="3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issuing-ca-private-key</w:t>
            </w:r>
          </w:p>
        </w:tc>
        <w:tc>
          <w:tcPr>
            <w:tcW w:type="dxa" w:w="18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Certificate (HSM)</w:t>
            </w:r>
          </w:p>
        </w:tc>
        <w:tc>
          <w:tcPr>
            <w:tcW w:type="dxa" w:w="43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Operación de firma de CSR para gateways nuevos</w:t>
            </w:r>
          </w:p>
        </w:tc>
      </w:tr>
      <w:tr>
        <w:tc>
          <w:tcPr>
            <w:tcW w:type="dxa" w:w="3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smtp-relay-password</w:t>
            </w:r>
          </w:p>
        </w:tc>
        <w:tc>
          <w:tcPr>
            <w:tcW w:type="dxa" w:w="18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Secret</w:t>
            </w:r>
          </w:p>
        </w:tc>
        <w:tc>
          <w:tcPr>
            <w:tcW w:type="dxa" w:w="43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Notificaciones por email de alarmas (fase 1)</w:t>
            </w:r>
          </w:p>
        </w:tc>
      </w:tr>
    </w:tbl>
    <w:p>
      <w:pPr>
        <w:pStyle w:val="Heading2"/>
        <w:spacing w:after="120" w:before="280"/>
      </w:pPr>
      <w:r>
        <w:rPr>
          <w:rFonts w:ascii="Arial" w:cs="Arial" w:eastAsia="Arial" w:hAnsi="Arial"/>
          <w:b/>
          <w:bCs/>
          <w:color w:val="0E7C86"/>
          <w:sz w:val="28"/>
          <w:szCs w:val="28"/>
        </w:rPr>
        <w:t xml:space="preserve">6.2 Network y exposición</w:t>
      </w:r>
    </w:p>
    <w:p>
      <w:pPr>
        <w:pStyle w:val="ListParagraph"/>
        <w:numPr>
          <w:ilvl w:val="0"/>
          <w:numId w:val="2"/>
        </w:numPr>
        <w:spacing w:after="40" w:before="40" w:line="280"/>
      </w:pPr>
      <w:r>
        <w:rPr>
          <w:rFonts w:ascii="Arial" w:cs="Arial" w:eastAsia="Arial" w:hAnsi="Arial"/>
          <w:color w:val="1F1F1F"/>
          <w:sz w:val="22"/>
          <w:szCs w:val="22"/>
        </w:rPr>
        <w:t xml:space="preserve">Toda comunicación HTTPS con TLS 1.2 mínimo (recomendado 1.3 cuando los gateways lo soporten).</w:t>
      </w:r>
    </w:p>
    <w:p>
      <w:pPr>
        <w:pStyle w:val="ListParagraph"/>
        <w:numPr>
          <w:ilvl w:val="0"/>
          <w:numId w:val="2"/>
        </w:numPr>
        <w:spacing w:after="40" w:before="40" w:line="280"/>
      </w:pPr>
      <w:r>
        <w:rPr>
          <w:rFonts w:ascii="Arial" w:cs="Arial" w:eastAsia="Arial" w:hAnsi="Arial"/>
          <w:color w:val="1F1F1F"/>
          <w:sz w:val="22"/>
          <w:szCs w:val="22"/>
        </w:rPr>
        <w:t xml:space="preserve">IoT Hub permite conexión solo por puertos 8883 (MQTT/TLS) y 443 (HTTPS).</w:t>
      </w:r>
    </w:p>
    <w:p>
      <w:pPr>
        <w:pStyle w:val="ListParagraph"/>
        <w:numPr>
          <w:ilvl w:val="0"/>
          <w:numId w:val="2"/>
        </w:numPr>
        <w:spacing w:after="40" w:before="40" w:line="280"/>
      </w:pPr>
      <w:r>
        <w:rPr>
          <w:rFonts w:ascii="Arial" w:cs="Arial" w:eastAsia="Arial" w:hAnsi="Arial"/>
          <w:color w:val="1F1F1F"/>
          <w:sz w:val="22"/>
          <w:szCs w:val="22"/>
        </w:rPr>
        <w:t xml:space="preserve">Static Web Apps con dominios personalizados telemetrias.com y aquasyncpro.com, certificados gestionados por Azure (renovación automática).</w:t>
      </w:r>
    </w:p>
    <w:p>
      <w:pPr>
        <w:pStyle w:val="ListParagraph"/>
        <w:numPr>
          <w:ilvl w:val="0"/>
          <w:numId w:val="2"/>
        </w:numPr>
        <w:spacing w:after="40" w:before="40" w:line="280"/>
      </w:pPr>
      <w:r>
        <w:rPr>
          <w:rFonts w:ascii="Arial" w:cs="Arial" w:eastAsia="Arial" w:hAnsi="Arial"/>
          <w:color w:val="1F1F1F"/>
          <w:sz w:val="22"/>
          <w:szCs w:val="22"/>
        </w:rPr>
        <w:t xml:space="preserve">API HTTP detrás de Static Web Apps con autenticación obligatoria y rate limiting (en MID se incorpora API Management).</w:t>
      </w:r>
    </w:p>
    <w:p>
      <w:pPr>
        <w:pStyle w:val="ListParagraph"/>
        <w:numPr>
          <w:ilvl w:val="0"/>
          <w:numId w:val="2"/>
        </w:numPr>
        <w:spacing w:after="40" w:before="40" w:line="280"/>
      </w:pPr>
      <w:r>
        <w:rPr>
          <w:rFonts w:ascii="Arial" w:cs="Arial" w:eastAsia="Arial" w:hAnsi="Arial"/>
          <w:color w:val="1F1F1F"/>
          <w:sz w:val="22"/>
          <w:szCs w:val="22"/>
        </w:rPr>
        <w:t xml:space="preserve">En MID: Private Endpoints para Cosmos DB y Storage; en HIGH: Front Door + WAF, segmentación por VNet y Private Link.</w:t>
      </w:r>
    </w:p>
    <w:p>
      <w:pPr>
        <w:pStyle w:val="Heading2"/>
        <w:spacing w:after="120" w:before="280"/>
      </w:pPr>
      <w:r>
        <w:rPr>
          <w:rFonts w:ascii="Arial" w:cs="Arial" w:eastAsia="Arial" w:hAnsi="Arial"/>
          <w:b/>
          <w:bCs/>
          <w:color w:val="0E7C86"/>
          <w:sz w:val="28"/>
          <w:szCs w:val="28"/>
        </w:rPr>
        <w:t xml:space="preserve">6.3 Observabilidad</w:t>
      </w:r>
    </w:p>
    <w:p>
      <w:pPr>
        <w:pStyle w:val="ListParagraph"/>
        <w:numPr>
          <w:ilvl w:val="0"/>
          <w:numId w:val="2"/>
        </w:numPr>
        <w:spacing w:after="40" w:before="40" w:line="280"/>
      </w:pPr>
      <w:r>
        <w:rPr>
          <w:rFonts w:ascii="Arial" w:cs="Arial" w:eastAsia="Arial" w:hAnsi="Arial"/>
          <w:color w:val="1F1F1F"/>
          <w:sz w:val="22"/>
          <w:szCs w:val="22"/>
        </w:rPr>
        <w:t xml:space="preserve">Log Analytics como repositorio único de logs operacionales: IoT Hub, Functions, Static Web Apps, Service Bus, Cosmos.</w:t>
      </w:r>
    </w:p>
    <w:p>
      <w:pPr>
        <w:pStyle w:val="ListParagraph"/>
        <w:numPr>
          <w:ilvl w:val="0"/>
          <w:numId w:val="2"/>
        </w:numPr>
        <w:spacing w:after="40" w:before="40" w:line="280"/>
      </w:pPr>
      <w:r>
        <w:rPr>
          <w:rFonts w:ascii="Arial" w:cs="Arial" w:eastAsia="Arial" w:hAnsi="Arial"/>
          <w:color w:val="1F1F1F"/>
          <w:sz w:val="22"/>
          <w:szCs w:val="22"/>
        </w:rPr>
        <w:t xml:space="preserve">Alertas críticas: gateway desconectado &gt;10 min, comando expirado, fallo en transmisión DGA, latencia anómala de Functions, errores 5xx en API.</w:t>
      </w:r>
    </w:p>
    <w:p>
      <w:pPr>
        <w:pStyle w:val="ListParagraph"/>
        <w:numPr>
          <w:ilvl w:val="0"/>
          <w:numId w:val="2"/>
        </w:numPr>
        <w:spacing w:after="40" w:before="40" w:line="280"/>
      </w:pPr>
      <w:r>
        <w:rPr>
          <w:rFonts w:ascii="Arial" w:cs="Arial" w:eastAsia="Arial" w:hAnsi="Arial"/>
          <w:color w:val="1F1F1F"/>
          <w:sz w:val="22"/>
          <w:szCs w:val="22"/>
        </w:rPr>
        <w:t xml:space="preserve">Workbook de operaciones: estado de sitios, salud de gateways, latencia de comandos, almacenamiento por tenant.</w:t>
      </w:r>
    </w:p>
    <w:p>
      <w:pPr>
        <w:pStyle w:val="ListParagraph"/>
        <w:numPr>
          <w:ilvl w:val="0"/>
          <w:numId w:val="2"/>
        </w:numPr>
        <w:spacing w:after="40" w:before="40" w:line="280"/>
      </w:pPr>
      <w:r>
        <w:rPr>
          <w:rFonts w:ascii="Arial" w:cs="Arial" w:eastAsia="Arial" w:hAnsi="Arial"/>
          <w:color w:val="1F1F1F"/>
          <w:sz w:val="22"/>
          <w:szCs w:val="22"/>
        </w:rPr>
        <w:t xml:space="preserve">App Insights se habilita solo en producción. En PoC se usa Live Metrics on demand para reducir costo.</w:t>
      </w:r>
    </w:p>
    <w:p>
      <w:pPr>
        <w:pStyle w:val="Heading2"/>
        <w:spacing w:after="120" w:before="280"/>
      </w:pPr>
      <w:r>
        <w:rPr>
          <w:rFonts w:ascii="Arial" w:cs="Arial" w:eastAsia="Arial" w:hAnsi="Arial"/>
          <w:b/>
          <w:bCs/>
          <w:color w:val="0E7C86"/>
          <w:sz w:val="28"/>
          <w:szCs w:val="28"/>
        </w:rPr>
        <w:t xml:space="preserve">6.4 Cumplimiento normativo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Norma / requisito</w:t>
            </w:r>
          </w:p>
        </w:tc>
        <w:tc>
          <w:tcPr>
            <w:tcW w:type="dxa" w:w="63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Cómo lo cubre la plataforma</w:t>
            </w:r>
          </w:p>
        </w:tc>
      </w:tr>
      <w:tr>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ISA/IEC-62443 SL-2</w:t>
            </w:r>
          </w:p>
        </w:tc>
        <w:tc>
          <w:tcPr>
            <w:tcW w:type="dxa" w:w="63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X.509 por gateway (sección 4), segmentación por tenant, control de comandos con auditoría, RBAC, gestión de credenciales por Key Vault.</w:t>
            </w:r>
          </w:p>
        </w:tc>
      </w:tr>
      <w:tr>
        <w:tc>
          <w:tcPr>
            <w:tcW w:type="dxa" w:w="3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Ley 21.663 — Marco de Ciberseguridad</w:t>
            </w:r>
          </w:p>
        </w:tc>
        <w:tc>
          <w:tcPr>
            <w:tcW w:type="dxa" w:w="63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Clasificación como servicio esencial cuando opera SSR; respuesta a incidentes documentada, registro de eventos por 3 años, notificación a la Agencia Nacional cuando aplique.</w:t>
            </w:r>
          </w:p>
        </w:tc>
      </w:tr>
      <w:tr>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Resolución DGA 1238 Exenta</w:t>
            </w:r>
          </w:p>
        </w:tc>
        <w:tc>
          <w:tcPr>
            <w:tcW w:type="dxa" w:w="63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Contenedor dgaTransactions, almacenamiento de XML enviado y respuesta; reintentos manuales; auditoría completa.</w:t>
            </w:r>
          </w:p>
        </w:tc>
      </w:tr>
      <w:tr>
        <w:tc>
          <w:tcPr>
            <w:tcW w:type="dxa" w:w="30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NCh 4/2003 y ETE</w:t>
            </w:r>
          </w:p>
        </w:tc>
        <w:tc>
          <w:tcPr>
            <w:tcW w:type="dxa" w:w="63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Acompañamiento del diseño eléctrico y de comunicaciones del sitio (excluido del alcance Azure pero referenciado).</w:t>
            </w:r>
          </w:p>
        </w:tc>
      </w:tr>
      <w:tr>
        <w:tc>
          <w:tcPr>
            <w:tcW w:type="dxa" w:w="30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Ley 19.628 — Datos Personales</w:t>
            </w:r>
          </w:p>
        </w:tc>
        <w:tc>
          <w:tcPr>
            <w:tcW w:type="dxa" w:w="63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Minimización de datos en External ID, derecho a eliminación, registro de consentimiento, hosting en regiones Azure con tratamiento conforme.</w:t>
            </w:r>
          </w:p>
        </w:tc>
      </w:tr>
    </w:tbl>
    <w:p>
      <w:r>
        <w:br w:type="page"/>
      </w:r>
    </w:p>
    <w:p>
      <w:pPr>
        <w:pStyle w:val="Heading1"/>
        <w:pBdr>
          <w:bottom w:val="single" w:color="0B2A4A" w:sz="12" w:space="4"/>
        </w:pBdr>
        <w:spacing w:after="180" w:before="360"/>
      </w:pPr>
      <w:r>
        <w:rPr>
          <w:rFonts w:ascii="Arial" w:cs="Arial" w:eastAsia="Arial" w:hAnsi="Arial"/>
          <w:b/>
          <w:bCs/>
          <w:color w:val="0B2A4A"/>
          <w:sz w:val="32"/>
          <w:szCs w:val="32"/>
        </w:rPr>
        <w:t xml:space="preserve">7. Plan de implementación al go-live</w:t>
      </w:r>
    </w:p>
    <w:p>
      <w:pPr>
        <w:spacing w:after="60" w:before="60" w:line="300"/>
        <w:jc w:val="both"/>
      </w:pPr>
      <w:r>
        <w:rPr>
          <w:rFonts w:ascii="Arial" w:cs="Arial" w:eastAsia="Arial" w:hAnsi="Arial"/>
          <w:b w:val="false"/>
          <w:bCs w:val="false"/>
          <w:i w:val="false"/>
          <w:iCs w:val="false"/>
          <w:color w:val="1F1F1F"/>
          <w:sz w:val="22"/>
          <w:szCs w:val="22"/>
        </w:rPr>
        <w:t xml:space="preserve">Hoja de ruta para llegar al 1 de agosto de 2026 con la plataforma operando en su nivel LOW+ y un primer tenant SSR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Hito</w:t>
            </w:r>
          </w:p>
        </w:tc>
        <w:tc>
          <w:tcPr>
            <w:tcW w:type="dxa" w:w="17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Fecha objetivo</w:t>
            </w:r>
          </w:p>
        </w:tc>
        <w:tc>
          <w:tcPr>
            <w:tcW w:type="dxa" w:w="54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Entregable</w:t>
            </w:r>
          </w:p>
        </w:tc>
      </w:tr>
      <w:tr>
        <w:tc>
          <w:tcPr>
            <w:tcW w:type="dxa" w:w="2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H1 — Aprovisionamiento Azure</w:t>
            </w:r>
          </w:p>
        </w:tc>
        <w:tc>
          <w:tcPr>
            <w:tcW w:type="dxa" w:w="17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Mayo 2026</w:t>
            </w:r>
          </w:p>
        </w:tc>
        <w:tc>
          <w:tcPr>
            <w:tcW w:type="dxa" w:w="54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Resource Group, IoT Hub, DPS, Service Bus, Cosmos, Storage, Key Vault, Static Web Apps creados con IaC (Bicep). CA raíz e intermedia generadas. Cargada la intermedia en DPS.</w:t>
            </w:r>
          </w:p>
        </w:tc>
      </w:tr>
      <w:tr>
        <w:tc>
          <w:tcPr>
            <w:tcW w:type="dxa" w:w="2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H2 — Identidad</w:t>
            </w:r>
          </w:p>
        </w:tc>
        <w:tc>
          <w:tcPr>
            <w:tcW w:type="dxa" w:w="17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Mayo 2026</w:t>
            </w:r>
          </w:p>
        </w:tc>
        <w:tc>
          <w:tcPr>
            <w:tcW w:type="dxa" w:w="54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Tenant Microsoft Entra External ID creado, IdP Google federado, user flow publicado, branding aplicado, dominios telemetrias.com y aquasyncpro.com configurados.</w:t>
            </w:r>
          </w:p>
        </w:tc>
      </w:tr>
      <w:tr>
        <w:tc>
          <w:tcPr>
            <w:tcW w:type="dxa" w:w="2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H3 — Backend mínimo</w:t>
            </w:r>
          </w:p>
        </w:tc>
        <w:tc>
          <w:tcPr>
            <w:tcW w:type="dxa" w:w="17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Junio 2026</w:t>
            </w:r>
          </w:p>
        </w:tc>
        <w:tc>
          <w:tcPr>
            <w:tcW w:type="dxa" w:w="54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Azure Functions con: ingesta IoT Hub trigger, API HTTP REST, worker comandos Service Bus, validación JWT External ID. Esquemas Cosmos creados. Pipeline JSONL a Blob diario.</w:t>
            </w:r>
          </w:p>
        </w:tc>
      </w:tr>
      <w:tr>
        <w:tc>
          <w:tcPr>
            <w:tcW w:type="dxa" w:w="2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H4 — Frontend SPA mínimo</w:t>
            </w:r>
          </w:p>
        </w:tc>
        <w:tc>
          <w:tcPr>
            <w:tcW w:type="dxa" w:w="17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Junio 2026</w:t>
            </w:r>
          </w:p>
        </w:tc>
        <w:tc>
          <w:tcPr>
            <w:tcW w:type="dxa" w:w="54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Login con Google y con email, dashboard de un sitio (nivel, caudal, estado de bomba), envío de comandos remoto, listado de alarmas, descarga de reporte Excel.</w:t>
            </w:r>
          </w:p>
        </w:tc>
      </w:tr>
      <w:tr>
        <w:tc>
          <w:tcPr>
            <w:tcW w:type="dxa" w:w="2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H5 — Gateway de referencia</w:t>
            </w:r>
          </w:p>
        </w:tc>
        <w:tc>
          <w:tcPr>
            <w:tcW w:type="dxa" w:w="17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Junio 2026</w:t>
            </w:r>
          </w:p>
        </w:tc>
        <w:tc>
          <w:tcPr>
            <w:tcW w:type="dxa" w:w="54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Gateway Linux (BeagleBone o equivalente) con cliente IoT Edge o azure-iot-device, modbus a PLC Schneider TM221, X.509 leaf y conexión por DPS.</w:t>
            </w:r>
          </w:p>
        </w:tc>
      </w:tr>
      <w:tr>
        <w:tc>
          <w:tcPr>
            <w:tcW w:type="dxa" w:w="2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H6 — Pruebas integradas</w:t>
            </w:r>
          </w:p>
        </w:tc>
        <w:tc>
          <w:tcPr>
            <w:tcW w:type="dxa" w:w="17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Julio 2026</w:t>
            </w:r>
          </w:p>
        </w:tc>
        <w:tc>
          <w:tcPr>
            <w:tcW w:type="dxa" w:w="54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Pruebas de conectividad, comandos extremo a extremo, alarmas, reportes. Pruebas de aprovisionamiento masivo simulado con 5 gateways.</w:t>
            </w:r>
          </w:p>
        </w:tc>
      </w:tr>
      <w:tr>
        <w:tc>
          <w:tcPr>
            <w:tcW w:type="dxa" w:w="22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H7 — Piloto en sitio</w:t>
            </w:r>
          </w:p>
        </w:tc>
        <w:tc>
          <w:tcPr>
            <w:tcW w:type="dxa" w:w="17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Julio 2026</w:t>
            </w:r>
          </w:p>
        </w:tc>
        <w:tc>
          <w:tcPr>
            <w:tcW w:type="dxa" w:w="54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Instalación en 1 sitio SSR como piloto, monitoreo de 14 días, ajuste fino de umbrales y reportes.</w:t>
            </w:r>
          </w:p>
        </w:tc>
      </w:tr>
      <w:tr>
        <w:tc>
          <w:tcPr>
            <w:tcW w:type="dxa" w:w="22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H8 — Go-live</w:t>
            </w:r>
          </w:p>
        </w:tc>
        <w:tc>
          <w:tcPr>
            <w:tcW w:type="dxa" w:w="17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1 agosto 2026</w:t>
            </w:r>
          </w:p>
        </w:tc>
        <w:tc>
          <w:tcPr>
            <w:tcW w:type="dxa" w:w="54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Habilitación comercial. Onboarding del primer tenant productivo. Plan de soporte 8x5 activado.</w:t>
            </w:r>
          </w:p>
        </w:tc>
      </w:tr>
    </w:tbl>
    <w:p>
      <w:pPr>
        <w:pStyle w:val="Heading2"/>
        <w:spacing w:after="120" w:before="280"/>
      </w:pPr>
      <w:r>
        <w:rPr>
          <w:rFonts w:ascii="Arial" w:cs="Arial" w:eastAsia="Arial" w:hAnsi="Arial"/>
          <w:b/>
          <w:bCs/>
          <w:color w:val="0E7C86"/>
          <w:sz w:val="28"/>
          <w:szCs w:val="28"/>
        </w:rPr>
        <w:t xml:space="preserve">7.1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Riesgo</w:t>
            </w:r>
          </w:p>
        </w:tc>
        <w:tc>
          <w:tcPr>
            <w:tcW w:type="dxa" w:w="150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Probabilidad</w:t>
            </w:r>
          </w:p>
        </w:tc>
        <w:tc>
          <w:tcPr>
            <w:tcW w:type="dxa" w:w="456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Mitigación</w:t>
            </w:r>
          </w:p>
        </w:tc>
      </w:tr>
      <w:tr>
        <w:tc>
          <w:tcPr>
            <w:tcW w:type="dxa" w:w="33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Latencia / pérdida de Starlink en sitios remotos</w:t>
            </w:r>
          </w:p>
        </w:tc>
        <w:tc>
          <w:tcPr>
            <w:tcW w:type="dxa" w:w="1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Media</w:t>
            </w:r>
          </w:p>
        </w:tc>
        <w:tc>
          <w:tcPr>
            <w:tcW w:type="dxa" w:w="45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Buffer local en gateway (SQLite), reintentos exponenciales y compresión. SCADA local fase 2 en sitios críticos.</w:t>
            </w:r>
          </w:p>
        </w:tc>
      </w:tr>
      <w:tr>
        <w:tc>
          <w:tcPr>
            <w:tcW w:type="dxa" w:w="33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Cambios en API Webservice DGA</w:t>
            </w:r>
          </w:p>
        </w:tc>
        <w:tc>
          <w:tcPr>
            <w:tcW w:type="dxa" w:w="1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Baja</w:t>
            </w:r>
          </w:p>
        </w:tc>
        <w:tc>
          <w:tcPr>
            <w:tcW w:type="dxa" w:w="45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Adaptador DGA aislado; configuración versionada; auditoría completa de XML enviado para reproducibilidad.</w:t>
            </w:r>
          </w:p>
        </w:tc>
      </w:tr>
      <w:tr>
        <w:tc>
          <w:tcPr>
            <w:tcW w:type="dxa" w:w="33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Curva de aprendizaje del equipo en Entra External ID</w:t>
            </w:r>
          </w:p>
        </w:tc>
        <w:tc>
          <w:tcPr>
            <w:tcW w:type="dxa" w:w="1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Media</w:t>
            </w:r>
          </w:p>
        </w:tc>
        <w:tc>
          <w:tcPr>
            <w:tcW w:type="dxa" w:w="45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Capacitación temprana; documentación específica (esta sección 5); tenant de pruebas separado del productivo.</w:t>
            </w:r>
          </w:p>
        </w:tc>
      </w:tr>
      <w:tr>
        <w:tc>
          <w:tcPr>
            <w:tcW w:type="dxa" w:w="33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Costo Cosmos DB superior al estimado</w:t>
            </w:r>
          </w:p>
        </w:tc>
        <w:tc>
          <w:tcPr>
            <w:tcW w:type="dxa" w:w="150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Baja</w:t>
            </w:r>
          </w:p>
        </w:tc>
        <w:tc>
          <w:tcPr>
            <w:tcW w:type="dxa" w:w="4560"/>
            <w:tcBorders>
              <w:top w:val="single" w:color="C4D2DD" w:sz="4"/>
              <w:left w:val="single" w:color="C4D2DD" w:sz="4"/>
              <w:bottom w:val="single" w:color="C4D2DD" w:sz="4"/>
              <w:right w:val="single" w:color="C4D2DD" w:sz="4"/>
            </w:tcBorders>
            <w:shd w:fill="F4F8FB" w:val="clear"/>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Modo serverless mientras el consumo sea bajo; alertas de presupuesto; revisión de índices y partición.</w:t>
            </w:r>
          </w:p>
        </w:tc>
      </w:tr>
      <w:tr>
        <w:tc>
          <w:tcPr>
            <w:tcW w:type="dxa" w:w="33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Gateway con TPM no disponible</w:t>
            </w:r>
          </w:p>
        </w:tc>
        <w:tc>
          <w:tcPr>
            <w:tcW w:type="dxa" w:w="150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Media</w:t>
            </w:r>
          </w:p>
        </w:tc>
        <w:tc>
          <w:tcPr>
            <w:tcW w:type="dxa" w:w="456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Alternativa documentada con archivo PEM cifrado y permisos estrictos; plan para incorporar TPM en revisión hardware fase 2.</w:t>
            </w:r>
          </w:p>
        </w:tc>
      </w:tr>
    </w:tbl>
    <w:p>
      <w:r>
        <w:br w:type="page"/>
      </w:r>
    </w:p>
    <w:p>
      <w:pPr>
        <w:pStyle w:val="Heading1"/>
        <w:pBdr>
          <w:bottom w:val="single" w:color="0B2A4A" w:sz="12" w:space="4"/>
        </w:pBdr>
        <w:spacing w:after="180" w:before="360"/>
      </w:pPr>
      <w:r>
        <w:rPr>
          <w:rFonts w:ascii="Arial" w:cs="Arial" w:eastAsia="Arial" w:hAnsi="Arial"/>
          <w:b/>
          <w:bCs/>
          <w:color w:val="0B2A4A"/>
          <w:sz w:val="32"/>
          <w:szCs w:val="32"/>
        </w:rPr>
        <w:t xml:space="preserve">8. Anexos</w:t>
      </w:r>
    </w:p>
    <w:p>
      <w:pPr>
        <w:pStyle w:val="Heading2"/>
        <w:spacing w:after="120" w:before="280"/>
      </w:pPr>
      <w:r>
        <w:rPr>
          <w:rFonts w:ascii="Arial" w:cs="Arial" w:eastAsia="Arial" w:hAnsi="Arial"/>
          <w:b/>
          <w:bCs/>
          <w:color w:val="0E7C86"/>
          <w:sz w:val="28"/>
          <w:szCs w:val="28"/>
        </w:rPr>
        <w:t xml:space="preserve">8.1 Glosario</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APR / SSR: </w:t>
      </w:r>
      <w:r>
        <w:rPr>
          <w:rFonts w:ascii="Arial" w:cs="Arial" w:eastAsia="Arial" w:hAnsi="Arial"/>
          <w:b w:val="false"/>
          <w:bCs w:val="false"/>
          <w:i w:val="false"/>
          <w:iCs w:val="false"/>
          <w:color w:val="1F1F1F"/>
          <w:sz w:val="22"/>
          <w:szCs w:val="22"/>
        </w:rPr>
        <w:t xml:space="preserve">Agua Potable Rural / Servicios Sanitarios Rurales (Chile).</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CA: </w:t>
      </w:r>
      <w:r>
        <w:rPr>
          <w:rFonts w:ascii="Arial" w:cs="Arial" w:eastAsia="Arial" w:hAnsi="Arial"/>
          <w:b w:val="false"/>
          <w:bCs w:val="false"/>
          <w:i w:val="false"/>
          <w:iCs w:val="false"/>
          <w:color w:val="1F1F1F"/>
          <w:sz w:val="22"/>
          <w:szCs w:val="22"/>
        </w:rPr>
        <w:t xml:space="preserve">Certificate Authority. Entidad que firma certificados digitales.</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CIAM: </w:t>
      </w:r>
      <w:r>
        <w:rPr>
          <w:rFonts w:ascii="Arial" w:cs="Arial" w:eastAsia="Arial" w:hAnsi="Arial"/>
          <w:b w:val="false"/>
          <w:bCs w:val="false"/>
          <w:i w:val="false"/>
          <w:iCs w:val="false"/>
          <w:color w:val="1F1F1F"/>
          <w:sz w:val="22"/>
          <w:szCs w:val="22"/>
        </w:rPr>
        <w:t xml:space="preserve">Customer Identity and Access Management.</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DGA: </w:t>
      </w:r>
      <w:r>
        <w:rPr>
          <w:rFonts w:ascii="Arial" w:cs="Arial" w:eastAsia="Arial" w:hAnsi="Arial"/>
          <w:b w:val="false"/>
          <w:bCs w:val="false"/>
          <w:i w:val="false"/>
          <w:iCs w:val="false"/>
          <w:color w:val="1F1F1F"/>
          <w:sz w:val="22"/>
          <w:szCs w:val="22"/>
        </w:rPr>
        <w:t xml:space="preserve">Dirección General de Aguas (Chile).</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DPS: </w:t>
      </w:r>
      <w:r>
        <w:rPr>
          <w:rFonts w:ascii="Arial" w:cs="Arial" w:eastAsia="Arial" w:hAnsi="Arial"/>
          <w:b w:val="false"/>
          <w:bCs w:val="false"/>
          <w:i w:val="false"/>
          <w:iCs w:val="false"/>
          <w:color w:val="1F1F1F"/>
          <w:sz w:val="22"/>
          <w:szCs w:val="22"/>
        </w:rPr>
        <w:t xml:space="preserve">Device Provisioning Service de Azure IoT Hub.</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External ID: </w:t>
      </w:r>
      <w:r>
        <w:rPr>
          <w:rFonts w:ascii="Arial" w:cs="Arial" w:eastAsia="Arial" w:hAnsi="Arial"/>
          <w:b w:val="false"/>
          <w:bCs w:val="false"/>
          <w:i w:val="false"/>
          <w:iCs w:val="false"/>
          <w:color w:val="1F1F1F"/>
          <w:sz w:val="22"/>
          <w:szCs w:val="22"/>
        </w:rPr>
        <w:t xml:space="preserve">Microsoft Entra External ID, sucesor de Azure AD B2C.</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JSONL: </w:t>
      </w:r>
      <w:r>
        <w:rPr>
          <w:rFonts w:ascii="Arial" w:cs="Arial" w:eastAsia="Arial" w:hAnsi="Arial"/>
          <w:b w:val="false"/>
          <w:bCs w:val="false"/>
          <w:i w:val="false"/>
          <w:iCs w:val="false"/>
          <w:color w:val="1F1F1F"/>
          <w:sz w:val="22"/>
          <w:szCs w:val="22"/>
        </w:rPr>
        <w:t xml:space="preserve">JSON Lines, un objeto JSON por línea de archivo.</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MAU: </w:t>
      </w:r>
      <w:r>
        <w:rPr>
          <w:rFonts w:ascii="Arial" w:cs="Arial" w:eastAsia="Arial" w:hAnsi="Arial"/>
          <w:b w:val="false"/>
          <w:bCs w:val="false"/>
          <w:i w:val="false"/>
          <w:iCs w:val="false"/>
          <w:color w:val="1F1F1F"/>
          <w:sz w:val="22"/>
          <w:szCs w:val="22"/>
        </w:rPr>
        <w:t xml:space="preserve">Monthly Active Users, métrica de facturación de External ID.</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MFA: </w:t>
      </w:r>
      <w:r>
        <w:rPr>
          <w:rFonts w:ascii="Arial" w:cs="Arial" w:eastAsia="Arial" w:hAnsi="Arial"/>
          <w:b w:val="false"/>
          <w:bCs w:val="false"/>
          <w:i w:val="false"/>
          <w:iCs w:val="false"/>
          <w:color w:val="1F1F1F"/>
          <w:sz w:val="22"/>
          <w:szCs w:val="22"/>
        </w:rPr>
        <w:t xml:space="preserve">Multi-Factor Authentication.</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PKCE: </w:t>
      </w:r>
      <w:r>
        <w:rPr>
          <w:rFonts w:ascii="Arial" w:cs="Arial" w:eastAsia="Arial" w:hAnsi="Arial"/>
          <w:b w:val="false"/>
          <w:bCs w:val="false"/>
          <w:i w:val="false"/>
          <w:iCs w:val="false"/>
          <w:color w:val="1F1F1F"/>
          <w:sz w:val="22"/>
          <w:szCs w:val="22"/>
        </w:rPr>
        <w:t xml:space="preserve">Proof Key for Code Exchange, protección OAuth para SPAs.</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RBAC: </w:t>
      </w:r>
      <w:r>
        <w:rPr>
          <w:rFonts w:ascii="Arial" w:cs="Arial" w:eastAsia="Arial" w:hAnsi="Arial"/>
          <w:b w:val="false"/>
          <w:bCs w:val="false"/>
          <w:i w:val="false"/>
          <w:iCs w:val="false"/>
          <w:color w:val="1F1F1F"/>
          <w:sz w:val="22"/>
          <w:szCs w:val="22"/>
        </w:rPr>
        <w:t xml:space="preserve">Role-Based Access Control.</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RU: </w:t>
      </w:r>
      <w:r>
        <w:rPr>
          <w:rFonts w:ascii="Arial" w:cs="Arial" w:eastAsia="Arial" w:hAnsi="Arial"/>
          <w:b w:val="false"/>
          <w:bCs w:val="false"/>
          <w:i w:val="false"/>
          <w:iCs w:val="false"/>
          <w:color w:val="1F1F1F"/>
          <w:sz w:val="22"/>
          <w:szCs w:val="22"/>
        </w:rPr>
        <w:t xml:space="preserve">Request Unit, unidad de medida de consumo en Cosmos DB.</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SAS: </w:t>
      </w:r>
      <w:r>
        <w:rPr>
          <w:rFonts w:ascii="Arial" w:cs="Arial" w:eastAsia="Arial" w:hAnsi="Arial"/>
          <w:b w:val="false"/>
          <w:bCs w:val="false"/>
          <w:i w:val="false"/>
          <w:iCs w:val="false"/>
          <w:color w:val="1F1F1F"/>
          <w:sz w:val="22"/>
          <w:szCs w:val="22"/>
        </w:rPr>
        <w:t xml:space="preserve">Shared Access Signature, autenticación por clave compartida.</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SPA: </w:t>
      </w:r>
      <w:r>
        <w:rPr>
          <w:rFonts w:ascii="Arial" w:cs="Arial" w:eastAsia="Arial" w:hAnsi="Arial"/>
          <w:b w:val="false"/>
          <w:bCs w:val="false"/>
          <w:i w:val="false"/>
          <w:iCs w:val="false"/>
          <w:color w:val="1F1F1F"/>
          <w:sz w:val="22"/>
          <w:szCs w:val="22"/>
        </w:rPr>
        <w:t xml:space="preserve">Single Page Application.</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TPM: </w:t>
      </w:r>
      <w:r>
        <w:rPr>
          <w:rFonts w:ascii="Arial" w:cs="Arial" w:eastAsia="Arial" w:hAnsi="Arial"/>
          <w:b w:val="false"/>
          <w:bCs w:val="false"/>
          <w:i w:val="false"/>
          <w:iCs w:val="false"/>
          <w:color w:val="1F1F1F"/>
          <w:sz w:val="22"/>
          <w:szCs w:val="22"/>
        </w:rPr>
        <w:t xml:space="preserve">Trusted Platform Module, hardware criptográfico seguro.</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TTL: </w:t>
      </w:r>
      <w:r>
        <w:rPr>
          <w:rFonts w:ascii="Arial" w:cs="Arial" w:eastAsia="Arial" w:hAnsi="Arial"/>
          <w:b w:val="false"/>
          <w:bCs w:val="false"/>
          <w:i w:val="false"/>
          <w:iCs w:val="false"/>
          <w:color w:val="1F1F1F"/>
          <w:sz w:val="22"/>
          <w:szCs w:val="22"/>
        </w:rPr>
        <w:t xml:space="preserve">Time To Live, tiempo de vida de un documento o mensaje.</w:t>
      </w:r>
    </w:p>
    <w:p>
      <w:pPr>
        <w:pStyle w:val="Heading2"/>
        <w:spacing w:after="120" w:before="280"/>
      </w:pPr>
      <w:r>
        <w:rPr>
          <w:rFonts w:ascii="Arial" w:cs="Arial" w:eastAsia="Arial" w:hAnsi="Arial"/>
          <w:b/>
          <w:bCs/>
          <w:color w:val="0E7C86"/>
          <w:sz w:val="28"/>
          <w:szCs w:val="28"/>
        </w:rPr>
        <w:t xml:space="preserve">8.2 Referencias</w:t>
      </w:r>
    </w:p>
    <w:p>
      <w:pPr>
        <w:pStyle w:val="ListParagraph"/>
        <w:numPr>
          <w:ilvl w:val="0"/>
          <w:numId w:val="2"/>
        </w:numPr>
        <w:spacing w:after="40" w:before="40" w:line="280"/>
      </w:pPr>
      <w:r>
        <w:rPr>
          <w:rFonts w:ascii="Arial" w:cs="Arial" w:eastAsia="Arial" w:hAnsi="Arial"/>
          <w:color w:val="1F1F1F"/>
          <w:sz w:val="22"/>
          <w:szCs w:val="22"/>
        </w:rPr>
        <w:t xml:space="preserve">Microsoft Learn — Azure IoT Hub Device Provisioning Service: documentación oficial de grupos de inscripción X.509.</w:t>
      </w:r>
    </w:p>
    <w:p>
      <w:pPr>
        <w:pStyle w:val="ListParagraph"/>
        <w:numPr>
          <w:ilvl w:val="0"/>
          <w:numId w:val="2"/>
        </w:numPr>
        <w:spacing w:after="40" w:before="40" w:line="280"/>
      </w:pPr>
      <w:r>
        <w:rPr>
          <w:rFonts w:ascii="Arial" w:cs="Arial" w:eastAsia="Arial" w:hAnsi="Arial"/>
          <w:color w:val="1F1F1F"/>
          <w:sz w:val="22"/>
          <w:szCs w:val="22"/>
        </w:rPr>
        <w:t xml:space="preserve">Microsoft Learn — Microsoft Entra External ID: configuración de identity providers y user flows.</w:t>
      </w:r>
    </w:p>
    <w:p>
      <w:pPr>
        <w:pStyle w:val="ListParagraph"/>
        <w:numPr>
          <w:ilvl w:val="0"/>
          <w:numId w:val="2"/>
        </w:numPr>
        <w:spacing w:after="40" w:before="40" w:line="280"/>
      </w:pPr>
      <w:r>
        <w:rPr>
          <w:rFonts w:ascii="Arial" w:cs="Arial" w:eastAsia="Arial" w:hAnsi="Arial"/>
          <w:color w:val="1F1F1F"/>
          <w:sz w:val="22"/>
          <w:szCs w:val="22"/>
        </w:rPr>
        <w:t xml:space="preserve">Microsoft Learn — Cosmos DB Serverless: límites, escenarios y comparativa con provisionado.</w:t>
      </w:r>
    </w:p>
    <w:p>
      <w:pPr>
        <w:pStyle w:val="ListParagraph"/>
        <w:numPr>
          <w:ilvl w:val="0"/>
          <w:numId w:val="2"/>
        </w:numPr>
        <w:spacing w:after="40" w:before="40" w:line="280"/>
      </w:pPr>
      <w:r>
        <w:rPr>
          <w:rFonts w:ascii="Arial" w:cs="Arial" w:eastAsia="Arial" w:hAnsi="Arial"/>
          <w:color w:val="1F1F1F"/>
          <w:sz w:val="22"/>
          <w:szCs w:val="22"/>
        </w:rPr>
        <w:t xml:space="preserve">Resolución DGA 1238 Exenta: requisitos de monitoreo y transmisión de extracciones.</w:t>
      </w:r>
    </w:p>
    <w:p>
      <w:pPr>
        <w:pStyle w:val="ListParagraph"/>
        <w:numPr>
          <w:ilvl w:val="0"/>
          <w:numId w:val="2"/>
        </w:numPr>
        <w:spacing w:after="40" w:before="40" w:line="280"/>
      </w:pPr>
      <w:r>
        <w:rPr>
          <w:rFonts w:ascii="Arial" w:cs="Arial" w:eastAsia="Arial" w:hAnsi="Arial"/>
          <w:color w:val="1F1F1F"/>
          <w:sz w:val="22"/>
          <w:szCs w:val="22"/>
        </w:rPr>
        <w:t xml:space="preserve">Ley 21.663 (Chile, 2024): Marco de Ciberseguridad e Infraestructura Crítica de la Información.</w:t>
      </w:r>
    </w:p>
    <w:p>
      <w:pPr>
        <w:pStyle w:val="ListParagraph"/>
        <w:numPr>
          <w:ilvl w:val="0"/>
          <w:numId w:val="2"/>
        </w:numPr>
        <w:spacing w:after="40" w:before="40" w:line="280"/>
      </w:pPr>
      <w:r>
        <w:rPr>
          <w:rFonts w:ascii="Arial" w:cs="Arial" w:eastAsia="Arial" w:hAnsi="Arial"/>
          <w:color w:val="1F1F1F"/>
          <w:sz w:val="22"/>
          <w:szCs w:val="22"/>
        </w:rPr>
        <w:t xml:space="preserve">ISA/IEC-62443 SL-2: requerimientos de seguridad en sistemas de automatización industrial.</w:t>
      </w:r>
    </w:p>
    <w:p>
      <w:pPr>
        <w:pStyle w:val="Heading2"/>
        <w:spacing w:after="120" w:before="280"/>
      </w:pPr>
      <w:r>
        <w:rPr>
          <w:rFonts w:ascii="Arial" w:cs="Arial" w:eastAsia="Arial" w:hAnsi="Arial"/>
          <w:b/>
          <w:bCs/>
          <w:color w:val="0E7C86"/>
          <w:sz w:val="28"/>
          <w:szCs w:val="28"/>
        </w:rPr>
        <w:t xml:space="preserve">8.3 Firma del documento</w:t>
      </w:r>
    </w:p>
    <w:p>
      <w:pPr>
        <w:spacing w:before="6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Preparado por</w:t>
            </w:r>
          </w:p>
        </w:tc>
        <w:tc>
          <w:tcPr>
            <w:tcW w:type="dxa" w:w="4680"/>
            <w:tcBorders>
              <w:top w:val="single" w:color="0B2A4A" w:sz="4"/>
              <w:left w:val="single" w:color="0B2A4A" w:sz="4"/>
              <w:bottom w:val="single" w:color="0B2A4A" w:sz="4"/>
              <w:right w:val="single" w:color="0B2A4A" w:sz="4"/>
            </w:tcBorders>
            <w:shd w:fill="0B2A4A"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Revisado y aprobado</w:t>
            </w:r>
          </w:p>
        </w:tc>
      </w:tr>
      <w:tr>
        <w:tc>
          <w:tcPr>
            <w:tcW w:type="dxa" w:w="468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
            </w:r>
          </w:p>
          <w:p>
            <w:pPr>
              <w:spacing w:after="30" w:before="30" w:line="280"/>
              <w:jc w:val="left"/>
            </w:pPr>
            <w:r>
              <w:rPr>
                <w:rFonts w:ascii="Arial" w:cs="Arial" w:eastAsia="Arial" w:hAnsi="Arial"/>
                <w:b w:val="false"/>
                <w:bCs w:val="false"/>
                <w:color w:val="1F1F1F"/>
                <w:sz w:val="21"/>
                <w:szCs w:val="21"/>
              </w:rPr>
              <w:t xml:space="preserve"/>
            </w:r>
          </w:p>
          <w:p>
            <w:pPr>
              <w:spacing w:after="30" w:before="30" w:line="280"/>
              <w:jc w:val="left"/>
            </w:pPr>
            <w:r>
              <w:rPr>
                <w:rFonts w:ascii="Arial" w:cs="Arial" w:eastAsia="Arial" w:hAnsi="Arial"/>
                <w:b w:val="false"/>
                <w:bCs w:val="false"/>
                <w:color w:val="1F1F1F"/>
                <w:sz w:val="21"/>
                <w:szCs w:val="21"/>
              </w:rPr>
              <w:t xml:space="preserve">_____________________________</w:t>
            </w:r>
          </w:p>
          <w:p>
            <w:pPr>
              <w:spacing w:after="30" w:before="30" w:line="280"/>
              <w:jc w:val="left"/>
            </w:pPr>
            <w:r>
              <w:rPr>
                <w:rFonts w:ascii="Arial" w:cs="Arial" w:eastAsia="Arial" w:hAnsi="Arial"/>
                <w:b w:val="false"/>
                <w:bCs w:val="false"/>
                <w:color w:val="1F1F1F"/>
                <w:sz w:val="21"/>
                <w:szCs w:val="21"/>
              </w:rPr>
              <w:t xml:space="preserve">Carlos —</w:t>
            </w:r>
          </w:p>
          <w:p>
            <w:pPr>
              <w:spacing w:after="30" w:before="30" w:line="280"/>
              <w:jc w:val="left"/>
            </w:pPr>
            <w:r>
              <w:rPr>
                <w:rFonts w:ascii="Arial" w:cs="Arial" w:eastAsia="Arial" w:hAnsi="Arial"/>
                <w:b w:val="false"/>
                <w:bCs w:val="false"/>
                <w:color w:val="1F1F1F"/>
                <w:sz w:val="21"/>
                <w:szCs w:val="21"/>
              </w:rPr>
              <w:t xml:space="preserve">Ingeniería de Producto</w:t>
            </w:r>
          </w:p>
          <w:p>
            <w:pPr>
              <w:spacing w:after="30" w:before="30" w:line="280"/>
              <w:jc w:val="left"/>
            </w:pPr>
            <w:r>
              <w:rPr>
                <w:rFonts w:ascii="Arial" w:cs="Arial" w:eastAsia="Arial" w:hAnsi="Arial"/>
                <w:b w:val="false"/>
                <w:bCs w:val="false"/>
                <w:color w:val="1F1F1F"/>
                <w:sz w:val="21"/>
                <w:szCs w:val="21"/>
              </w:rPr>
              <w:t xml:space="preserve">CYB Chile SPA</w:t>
            </w:r>
          </w:p>
        </w:tc>
        <w:tc>
          <w:tcPr>
            <w:tcW w:type="dxa" w:w="4680"/>
            <w:tcBorders>
              <w:top w:val="single" w:color="C4D2DD" w:sz="4"/>
              <w:left w:val="single" w:color="C4D2DD" w:sz="4"/>
              <w:bottom w:val="single" w:color="C4D2DD" w:sz="4"/>
              <w:right w:val="single" w:color="C4D2DD" w:sz="4"/>
            </w:tcBorders>
            <w:tcMar>
              <w:top w:type="dxa" w:w="90"/>
              <w:left w:type="dxa" w:w="140"/>
              <w:bottom w:type="dxa" w:w="90"/>
              <w:right w:type="dxa" w:w="140"/>
            </w:tcMar>
          </w:tcPr>
          <w:p>
            <w:pPr>
              <w:spacing w:after="30" w:before="30" w:line="280"/>
              <w:jc w:val="left"/>
            </w:pPr>
            <w:r>
              <w:rPr>
                <w:rFonts w:ascii="Arial" w:cs="Arial" w:eastAsia="Arial" w:hAnsi="Arial"/>
                <w:b w:val="false"/>
                <w:bCs w:val="false"/>
                <w:color w:val="1F1F1F"/>
                <w:sz w:val="21"/>
                <w:szCs w:val="21"/>
              </w:rPr>
              <w:t xml:space="preserve"/>
            </w:r>
          </w:p>
          <w:p>
            <w:pPr>
              <w:spacing w:after="30" w:before="30" w:line="280"/>
              <w:jc w:val="left"/>
            </w:pPr>
            <w:r>
              <w:rPr>
                <w:rFonts w:ascii="Arial" w:cs="Arial" w:eastAsia="Arial" w:hAnsi="Arial"/>
                <w:b w:val="false"/>
                <w:bCs w:val="false"/>
                <w:color w:val="1F1F1F"/>
                <w:sz w:val="21"/>
                <w:szCs w:val="21"/>
              </w:rPr>
              <w:t xml:space="preserve"/>
            </w:r>
          </w:p>
          <w:p>
            <w:pPr>
              <w:spacing w:after="30" w:before="30" w:line="280"/>
              <w:jc w:val="left"/>
            </w:pPr>
            <w:r>
              <w:rPr>
                <w:rFonts w:ascii="Arial" w:cs="Arial" w:eastAsia="Arial" w:hAnsi="Arial"/>
                <w:b w:val="false"/>
                <w:bCs w:val="false"/>
                <w:color w:val="1F1F1F"/>
                <w:sz w:val="21"/>
                <w:szCs w:val="21"/>
              </w:rPr>
              <w:t xml:space="preserve">_____________________________</w:t>
            </w:r>
          </w:p>
          <w:p>
            <w:pPr>
              <w:spacing w:after="30" w:before="30" w:line="280"/>
              <w:jc w:val="left"/>
            </w:pPr>
            <w:r>
              <w:rPr>
                <w:rFonts w:ascii="Arial" w:cs="Arial" w:eastAsia="Arial" w:hAnsi="Arial"/>
                <w:b w:val="false"/>
                <w:bCs w:val="false"/>
                <w:color w:val="1F1F1F"/>
                <w:sz w:val="21"/>
                <w:szCs w:val="21"/>
              </w:rPr>
              <w:t xml:space="preserve">Gerencia Técnica</w:t>
            </w:r>
          </w:p>
          <w:p>
            <w:pPr>
              <w:spacing w:after="30" w:before="30" w:line="280"/>
              <w:jc w:val="left"/>
            </w:pPr>
            <w:r>
              <w:rPr>
                <w:rFonts w:ascii="Arial" w:cs="Arial" w:eastAsia="Arial" w:hAnsi="Arial"/>
                <w:b w:val="false"/>
                <w:bCs w:val="false"/>
                <w:color w:val="1F1F1F"/>
                <w:sz w:val="21"/>
                <w:szCs w:val="21"/>
              </w:rPr>
              <w:t xml:space="preserve">CYB Chile SPA</w:t>
            </w:r>
          </w:p>
          <w:p>
            <w:pPr>
              <w:spacing w:after="30" w:before="30" w:line="280"/>
              <w:jc w:val="left"/>
            </w:pPr>
            <w:r>
              <w:rPr>
                <w:rFonts w:ascii="Arial" w:cs="Arial" w:eastAsia="Arial" w:hAnsi="Arial"/>
                <w:b w:val="false"/>
                <w:bCs w:val="false"/>
                <w:color w:val="1F1F1F"/>
                <w:sz w:val="21"/>
                <w:szCs w:val="21"/>
              </w:rPr>
              <w:t xml:space="preserve"/>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D2DD" w:sz="6" w:space="4"/>
      </w:pBdr>
      <w:tabs>
        <w:tab w:val="right" w:pos="9360"/>
      </w:tabs>
      <w:jc w:val="left"/>
    </w:pPr>
    <w:r>
      <w:rPr>
        <w:rFonts w:ascii="Arial" w:cs="Arial" w:eastAsia="Arial" w:hAnsi="Arial"/>
        <w:color w:val="6B7280"/>
        <w:sz w:val="18"/>
        <w:szCs w:val="18"/>
      </w:rPr>
      <w:t xml:space="preserve">Documento confidencial — CYB Chile SPA</w:t>
    </w:r>
    <w:r>
      <w:rPr>
        <w:rFonts w:ascii="Arial" w:cs="Arial" w:eastAsia="Arial" w:hAnsi="Arial"/>
      </w:rPr>
      <w:t xml:space="preserve">	</w:t>
    </w: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86" w:sz="8" w:space="4"/>
      </w:pBdr>
      <w:jc w:val="left"/>
    </w:pPr>
    <w:r>
      <w:rPr>
        <w:rFonts w:ascii="Arial" w:cs="Arial" w:eastAsia="Arial" w:hAnsi="Arial"/>
        <w:b/>
        <w:bCs/>
        <w:color w:val="0B2A4A"/>
        <w:sz w:val="20"/>
        <w:szCs w:val="20"/>
      </w:rPr>
      <w:t xml:space="preserve">AquaSync Pro</w:t>
    </w:r>
    <w:r>
      <w:rPr>
        <w:rFonts w:ascii="Arial" w:cs="Arial" w:eastAsia="Arial" w:hAnsi="Arial"/>
        <w:color w:val="6B7280"/>
        <w:sz w:val="20"/>
        <w:szCs w:val="20"/>
      </w:rPr>
      <w:t xml:space="preserve">  |  </w:t>
    </w:r>
    <w:r>
      <w:rPr>
        <w:rFonts w:ascii="Arial" w:cs="Arial" w:eastAsia="Arial" w:hAnsi="Arial"/>
        <w:color w:val="6B7280"/>
        <w:sz w:val="20"/>
        <w:szCs w:val="20"/>
      </w:rPr>
      <w:t xml:space="preserve">Propuesta Azure v4.0 — CYB Chile SPA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E7C8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F6FB2"/>
      <w:sz w:val="24"/>
      <w:szCs w:val="24"/>
    </w:rPr>
  </w:style>
  <w:style w:type="paragraph" w:styleId="Heading4">
    <w:name w:val="Heading 4"/>
    <w:basedOn w:val="Normal"/>
    <w:next w:val="Normal"/>
    <w:qFormat/>
    <w:pPr>
      <w:spacing w:after="80" w:before="160"/>
      <w:outlineLvl w:val="3"/>
    </w:pPr>
    <w:rPr>
      <w:rFonts w:ascii="Arial" w:cs="Arial" w:eastAsia="Arial" w:hAnsi="Arial"/>
      <w:b/>
      <w:bCs/>
      <w:color w:val="0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AquaSync Pro — Propuesta Azure v4.0</dc:title>
  <dc:creator>CYB Chile SPA</dc:creator>
  <dc:description>Arquitectura Azure, modelo de datos, X.509 e identidad Google</dc:description>
  <cp:lastModifiedBy>Un-named</cp:lastModifiedBy>
  <cp:revision>1</cp:revision>
  <dcterms:created xsi:type="dcterms:W3CDTF">2026-05-05T21:29:45.372Z</dcterms:created>
  <dcterms:modified xsi:type="dcterms:W3CDTF">2026-05-05T21:29:45.385Z</dcterms:modified>
</cp:coreProperties>
</file>

<file path=docProps/custom.xml><?xml version="1.0" encoding="utf-8"?>
<Properties xmlns="http://schemas.openxmlformats.org/officeDocument/2006/custom-properties" xmlns:vt="http://schemas.openxmlformats.org/officeDocument/2006/docPropsVTypes"/>
</file>