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2F5D9E"/>
          <w:sz w:val="20"/>
          <w:szCs w:val="20"/>
        </w:rPr>
        <w:t xml:space="preserve">NETGUARD AI</w:t>
      </w:r>
    </w:p>
    <w:p>
      <w:pPr>
        <w:spacing w:after="40"/>
      </w:pPr>
      <w:r>
        <w:rPr>
          <w:rFonts w:ascii="Arial" w:cs="Arial" w:eastAsia="Arial" w:hAnsi="Arial"/>
          <w:b/>
          <w:bCs/>
          <w:color w:val="14213D"/>
          <w:sz w:val="52"/>
          <w:szCs w:val="52"/>
        </w:rPr>
        <w:t xml:space="preserve">Faculty Testing Guide</w:t>
      </w:r>
    </w:p>
    <w:p>
      <w:pPr>
        <w:spacing w:after="200"/>
      </w:pPr>
      <w:r>
        <w:rPr>
          <w:rFonts w:ascii="Calibri" w:cs="Calibri" w:eastAsia="Calibri" w:hAnsi="Calibri"/>
          <w:color w:val="5B6B82"/>
          <w:sz w:val="22"/>
          <w:szCs w:val="22"/>
        </w:rPr>
        <w:t xml:space="preserve">Test files, expected results, the prediction flow, and how the F1-score is calculated.</w:t>
      </w:r>
    </w:p>
    <w:tbl>
      <w:tblPr>
        <w:tblW w:type="dxa" w:w="10080"/>
        <w:tblBorders>
          <w:top w:val="none"/>
          <w:left w:val="none"/>
          <w:bottom w:val="none"/>
          <w:right w:val="none"/>
          <w:insideH w:val="none"/>
          <w:insideV w:val="none"/>
        </w:tblBorders>
      </w:tblPr>
      <w:tblGrid>
        <w:gridCol w:w="10080"/>
      </w:tblGrid>
      <w:tr>
        <w:trPr>
          <w:cantSplit/>
        </w:trPr>
        <w:tc>
          <w:tcPr>
            <w:tcW w:type="dxa" w:w="10080"/>
            <w:tcBorders>
              <w:top w:val="single" w:color="2F5D9E" w:sz="18"/>
            </w:tcBorders>
            <w:tcMar>
              <w:top w:type="dxa" w:w="60"/>
              <w:left w:type="dxa" w:w="0"/>
              <w:bottom w:type="dxa" w:w="60"/>
              <w:right w:type="dxa" w:w="0"/>
            </w:tcMar>
          </w:tcPr>
          <w:p>
            <w:pPr>
              <w:spacing w:after="0"/>
            </w:pPr>
            <w:r>
              <w:rPr>
                <w:rFonts w:ascii="Calibri" w:cs="Calibri" w:eastAsia="Calibri" w:hAnsi="Calibri"/>
                <w:color w:val="5B6B82"/>
                <w:sz w:val="18"/>
                <w:szCs w:val="18"/>
              </w:rPr>
              <w:t xml:space="preserve">Version 1.0</w:t>
            </w:r>
            <w:r>
              <w:rPr>
                <w:rFonts w:ascii="Calibri" w:cs="Calibri" w:eastAsia="Calibri" w:hAnsi="Calibri"/>
                <w:color w:val="5B6B82"/>
                <w:sz w:val="18"/>
                <w:szCs w:val="18"/>
              </w:rPr>
              <w:t xml:space="preserve">     ·     26 October 2026</w:t>
            </w:r>
            <w:r>
              <w:rPr>
                <w:rFonts w:ascii="Calibri" w:cs="Calibri" w:eastAsia="Calibri" w:hAnsi="Calibri"/>
                <w:color w:val="5B6B82"/>
                <w:sz w:val="18"/>
                <w:szCs w:val="18"/>
              </w:rPr>
              <w:t xml:space="preserve">     ·     NetGuard AI project team</w:t>
            </w:r>
          </w:p>
        </w:tc>
      </w:tr>
    </w:tbl>
    <w:p>
      <w:pPr>
        <w:pStyle w:val="Heading1"/>
        <w:keepNext/>
        <w:pBdr>
          <w:bottom w:val="single" w:color="2F5D9E" w:sz="8" w:space="5"/>
        </w:pBdr>
        <w:spacing w:after="160" w:before="360"/>
      </w:pPr>
      <w:r>
        <w:rPr>
          <w:rFonts w:ascii="Calibri" w:cs="Calibri" w:eastAsia="Calibri" w:hAnsi="Calibri"/>
          <w:b/>
          <w:bCs/>
          <w:color w:val="1F3F6E"/>
          <w:sz w:val="30"/>
          <w:szCs w:val="30"/>
        </w:rPr>
        <w:t xml:space="preserve">1. Purpose</w:t>
      </w:r>
    </w:p>
    <w:p>
      <w:pPr>
        <w:spacing w:after="120" w:before="0" w:line="300"/>
      </w:pPr>
      <w:r>
        <w:rPr>
          <w:rFonts w:ascii="Calibri" w:cs="Calibri" w:eastAsia="Calibri" w:hAnsi="Calibri"/>
          <w:b w:val="false"/>
          <w:bCs w:val="false"/>
          <w:i w:val="false"/>
          <w:iCs w:val="false"/>
          <w:color w:val="14213D"/>
          <w:sz w:val="21"/>
          <w:szCs w:val="21"/>
        </w:rPr>
        <w:t xml:space="preserve">This guide explains how to test NetGuard AI during a faculty review. It lists the prepared CSV files, what each one is expected to produce, what the dashboard does when you click Analyze traffic, and how the reported F1-score is calculated.</w:t>
      </w:r>
    </w:p>
    <w:p>
      <w:pPr>
        <w:spacing w:after="120" w:before="0" w:line="300"/>
      </w:pPr>
      <w:r>
        <w:rPr>
          <w:rFonts w:ascii="Calibri" w:cs="Calibri" w:eastAsia="Calibri" w:hAnsi="Calibri"/>
          <w:b w:val="false"/>
          <w:bCs w:val="false"/>
          <w:i w:val="false"/>
          <w:iCs w:val="false"/>
          <w:color w:val="14213D"/>
          <w:sz w:val="21"/>
          <w:szCs w:val="21"/>
        </w:rPr>
        <w:t xml:space="preserve">The short version: the website accepts one CSV at a time, sends it to the FastAPI backend, and the backend runs every row through the saved Random Forest model. The result is a Benign, Malicious, or Review decision for each row, plus a distribution-shift check for the whole file.</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2. Before you begin</w:t>
      </w:r>
    </w:p>
    <w:p>
      <w:pPr>
        <w:spacing w:after="80" w:before="0" w:line="300"/>
      </w:pPr>
      <w:r>
        <w:rPr>
          <w:rFonts w:ascii="Calibri" w:cs="Calibri" w:eastAsia="Calibri" w:hAnsi="Calibri"/>
          <w:b w:val="false"/>
          <w:bCs w:val="false"/>
          <w:i w:val="false"/>
          <w:iCs w:val="false"/>
          <w:color w:val="14213D"/>
          <w:sz w:val="21"/>
          <w:szCs w:val="21"/>
        </w:rPr>
        <w:t xml:space="preserve">Start both servers from the project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5DEE9" w:sz="4"/>
              <w:left w:val="single" w:color="5B6B82" w:sz="24"/>
              <w:bottom w:val="single" w:color="D5DEE9" w:sz="4"/>
              <w:right w:val="single" w:color="D5DEE9" w:sz="4"/>
            </w:tcBorders>
            <w:shd w:fill="F5F7FA" w:color="auto" w:val="clear"/>
            <w:tcMar>
              <w:top w:type="dxa" w:w="160"/>
              <w:left w:type="dxa" w:w="220"/>
              <w:bottom w:type="dxa" w:w="160"/>
              <w:right w:type="dxa" w:w="220"/>
            </w:tcMar>
          </w:tcPr>
          <w:p>
            <w:pPr>
              <w:spacing w:after="40" w:line="260"/>
            </w:pPr>
            <w:r>
              <w:rPr>
                <w:rFonts w:ascii="Consolas" w:cs="Consolas" w:eastAsia="Consolas" w:hAnsi="Consolas"/>
                <w:color w:val="14213D"/>
                <w:sz w:val="18"/>
                <w:szCs w:val="18"/>
              </w:rPr>
              <w:t xml:space="preserve">cd /Users/suyashsingh/Documents/Academics/cnProject</w:t>
            </w:r>
          </w:p>
          <w:p>
            <w:pPr>
              <w:spacing w:after="40" w:line="260"/>
            </w:pPr>
            <w:r>
              <w:rPr>
                <w:rFonts w:ascii="Consolas" w:cs="Consolas" w:eastAsia="Consolas" w:hAnsi="Consolas"/>
                <w:color w:val="14213D"/>
                <w:sz w:val="18"/>
                <w:szCs w:val="18"/>
              </w:rPr>
              <w:t xml:space="preserve">./start.sh</w:t>
            </w:r>
          </w:p>
        </w:tc>
      </w:tr>
    </w:tbl>
    <w:p>
      <w:pPr>
        <w:spacing w:after="80" w:before="100" w:line="300"/>
      </w:pPr>
      <w:r>
        <w:rPr>
          <w:rFonts w:ascii="Calibri" w:cs="Calibri" w:eastAsia="Calibri" w:hAnsi="Calibri"/>
          <w:b w:val="false"/>
          <w:bCs w:val="false"/>
          <w:i w:val="false"/>
          <w:iCs w:val="false"/>
          <w:color w:val="14213D"/>
          <w:sz w:val="21"/>
          <w:szCs w:val="21"/>
        </w:rPr>
        <w:t xml:space="preserve">Then open the dashboard and, if needed, the API documentation:</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Dashboard: http://localhost:5173</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API docs: http://127.0.0.1:8000/docs</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Check server status: ./start.sh status</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Stop everything: ./stop.sh</w:t>
      </w:r>
    </w:p>
    <w:p>
      <w:pPr>
        <w:spacing w:after="120" w:before="80" w:line="300"/>
      </w:pPr>
      <w:r>
        <w:rPr>
          <w:rFonts w:ascii="Calibri" w:cs="Calibri" w:eastAsia="Calibri" w:hAnsi="Calibri"/>
          <w:b w:val="false"/>
          <w:bCs w:val="false"/>
          <w:i w:val="false"/>
          <w:iCs w:val="false"/>
          <w:color w:val="14213D"/>
          <w:sz w:val="21"/>
          <w:szCs w:val="21"/>
        </w:rPr>
        <w:t xml:space="preserve">The 14 prepared files are in dataset/faculty_tests/. Use the Choose file button on the dashboard and upload one file at a time.</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3. Test files and expected results</w:t>
      </w:r>
    </w:p>
    <w:p>
      <w:pPr>
        <w:spacing w:after="140" w:before="0" w:line="300"/>
      </w:pPr>
      <w:r>
        <w:rPr>
          <w:rFonts w:ascii="Calibri" w:cs="Calibri" w:eastAsia="Calibri" w:hAnsi="Calibri"/>
          <w:b w:val="false"/>
          <w:bCs w:val="false"/>
          <w:i w:val="false"/>
          <w:iCs w:val="false"/>
          <w:color w:val="14213D"/>
          <w:sz w:val="21"/>
          <w:szCs w:val="21"/>
        </w:rPr>
        <w:t xml:space="preserve">The table below reflects the behaviour measured on 26 October 2026 with the model currently in models/netguard_model.joblib. Counts may vary slightly only if the model is retrained.</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600"/>
        <w:gridCol w:w="3150"/>
        <w:gridCol w:w="6330"/>
      </w:tblGrid>
      <w:tr>
        <w:trPr>
          <w:cantSplit/>
          <w:tblHeader/>
        </w:trPr>
        <w:tc>
          <w:tcPr>
            <w:tcW w:type="dxa" w:w="60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w:t>
            </w:r>
          </w:p>
        </w:tc>
        <w:tc>
          <w:tcPr>
            <w:tcW w:type="dxa" w:w="315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File</w:t>
            </w:r>
          </w:p>
        </w:tc>
        <w:tc>
          <w:tcPr>
            <w:tcW w:type="dxa" w:w="633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What happens</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01</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01_small_mixed_100.csv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88 benign, 12 malicious; in distribution; 99% agreement.</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02</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02_benign_only_500.csv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497 benign, 2 malicious, 1 review; 99.6% agreement.</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03</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03_attack_only.csv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322 malicious, 1 review; shows a severe shift warning because the file contains no normal traffic.</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04</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04_large_mixed_10000.csv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8,348 benign, 1,618 malicious, 34 review; in distribution; useful for load/performance testing.</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05</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05_extra_columns_200.csv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extra columns ignored.</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06</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06_missing_values_200.csv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missing cells are filled by the imputer.</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07</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07_non_numeric_50.csv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422; "Flow Duration contains non-numeric values."</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08</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08_missing_columns_100.csv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422; lists the 5 required columns that are missing.</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09</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09_empty.csv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400; header exists but there are no data rows.</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10</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10_wrong_extension.txt</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400; file does not have a .csv extension.</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11</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11_shifted_1pct_500.csv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even a 1% feature change triggers a severe shift warning (score 6.83).</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12</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12_shifted_severe_500.csv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all 500 flows flagged malicious, plus a severe shift warning.</w:t>
            </w:r>
          </w:p>
        </w:tc>
      </w:tr>
      <w:tr>
        <w:trPr>
          <w:cantSplit/>
        </w:trPr>
        <w:tc>
          <w:tcPr>
            <w:tcW w:type="dxa" w:w="6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13</w:t>
            </w:r>
          </w:p>
        </w:tc>
        <w:tc>
          <w:tcPr>
            <w:tcW w:type="dxa" w:w="315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13_one_of_each_attack.csv</w:t>
            </w:r>
          </w:p>
        </w:tc>
        <w:tc>
          <w:tcPr>
            <w:tcW w:type="dxa" w:w="6330"/>
            <w:shd w:fill="FFFFFF"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30 rows covering every attack type present in the demo set.</w:t>
            </w:r>
          </w:p>
        </w:tc>
      </w:tr>
      <w:tr>
        <w:trPr>
          <w:cantSplit/>
        </w:trPr>
        <w:tc>
          <w:tcPr>
            <w:tcW w:type="dxa" w:w="6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14</w:t>
            </w:r>
          </w:p>
        </w:tc>
        <w:tc>
          <w:tcPr>
            <w:tcW w:type="dxa" w:w="315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14_unlabeled_200.csv</w:t>
            </w:r>
          </w:p>
        </w:tc>
        <w:tc>
          <w:tcPr>
            <w:tcW w:type="dxa" w:w="633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200 OK; no Label column, so predictions are returned without an agreement section.</w:t>
            </w:r>
          </w:p>
        </w:tc>
      </w:tr>
    </w:tbl>
    <w:p>
      <w:pPr>
        <w:spacing w:after="120" w:before="120" w:line="300"/>
      </w:pPr>
      <w:r>
        <w:rPr>
          <w:rFonts w:ascii="Calibri" w:cs="Calibri" w:eastAsia="Calibri" w:hAnsi="Calibri"/>
          <w:b w:val="false"/>
          <w:bCs w:val="false"/>
          <w:i/>
          <w:iCs/>
          <w:color w:val="5B6B82"/>
          <w:sz w:val="19"/>
          <w:szCs w:val="19"/>
        </w:rPr>
        <w:t xml:space="preserve">Note: files 07–10 are deliberately broken. Their 4xx responses are the expected behaviour, not failures.</w:t>
      </w:r>
    </w:p>
    <w:p>
      <w:pPr>
        <w:pStyle w:val="Heading1"/>
        <w:keepNext/>
        <w:pageBreakBefore/>
        <w:pBdr>
          <w:bottom w:val="single" w:color="2F5D9E" w:sz="8" w:space="5"/>
        </w:pBdr>
        <w:spacing w:after="160" w:before="360"/>
      </w:pPr>
      <w:r>
        <w:rPr>
          <w:rFonts w:ascii="Calibri" w:cs="Calibri" w:eastAsia="Calibri" w:hAnsi="Calibri"/>
          <w:b/>
          <w:bCs/>
          <w:color w:val="1F3F6E"/>
          <w:sz w:val="30"/>
          <w:szCs w:val="30"/>
        </w:rPr>
        <w:t xml:space="preserve">4. What happens when you click Analyze traffic</w:t>
      </w:r>
    </w:p>
    <w:p>
      <w:pPr>
        <w:spacing w:after="100" w:before="0" w:line="300"/>
      </w:pPr>
      <w:r>
        <w:rPr>
          <w:rFonts w:ascii="Calibri" w:cs="Calibri" w:eastAsia="Calibri" w:hAnsi="Calibri"/>
          <w:b w:val="false"/>
          <w:bCs w:val="false"/>
          <w:i w:val="false"/>
          <w:iCs w:val="false"/>
          <w:color w:val="14213D"/>
          <w:sz w:val="21"/>
          <w:szCs w:val="21"/>
        </w:rPr>
        <w:t xml:space="preserve">The dashboard sends the selected file to POST /api/predict. The backend then performs the following steps:</w:t>
      </w:r>
    </w:p>
    <w:p>
      <w:pPr>
        <w:pStyle w:val="ListParagraph"/>
        <w:numPr>
          <w:ilvl w:val="0"/>
          <w:numId w:val="3"/>
        </w:numPr>
        <w:spacing w:after="70" w:line="290"/>
      </w:pPr>
      <w:r>
        <w:rPr>
          <w:rFonts w:ascii="Calibri" w:cs="Calibri" w:eastAsia="Calibri" w:hAnsi="Calibri"/>
          <w:color w:val="14213D"/>
          <w:sz w:val="21"/>
          <w:szCs w:val="21"/>
        </w:rPr>
        <w:t xml:space="preserve">Validates the upload: .csv extension, not empty, under 100 MB.</w:t>
      </w:r>
    </w:p>
    <w:p>
      <w:pPr>
        <w:pStyle w:val="ListParagraph"/>
        <w:numPr>
          <w:ilvl w:val="0"/>
          <w:numId w:val="3"/>
        </w:numPr>
        <w:spacing w:after="70" w:line="290"/>
      </w:pPr>
      <w:r>
        <w:rPr>
          <w:rFonts w:ascii="Calibri" w:cs="Calibri" w:eastAsia="Calibri" w:hAnsi="Calibri"/>
          <w:color w:val="14213D"/>
          <w:sz w:val="21"/>
          <w:szCs w:val="21"/>
        </w:rPr>
        <w:t xml:space="preserve">Reads the CSV and checks that all 69 required feature columns are present.</w:t>
      </w:r>
    </w:p>
    <w:p>
      <w:pPr>
        <w:pStyle w:val="ListParagraph"/>
        <w:numPr>
          <w:ilvl w:val="0"/>
          <w:numId w:val="3"/>
        </w:numPr>
        <w:spacing w:after="70" w:line="290"/>
      </w:pPr>
      <w:r>
        <w:rPr>
          <w:rFonts w:ascii="Calibri" w:cs="Calibri" w:eastAsia="Calibri" w:hAnsi="Calibri"/>
          <w:color w:val="14213D"/>
          <w:sz w:val="21"/>
          <w:szCs w:val="21"/>
        </w:rPr>
        <w:t xml:space="preserve">Checks that feature values are numeric; blank cells are allowed and imputed later.</w:t>
      </w:r>
    </w:p>
    <w:p>
      <w:pPr>
        <w:pStyle w:val="ListParagraph"/>
        <w:numPr>
          <w:ilvl w:val="0"/>
          <w:numId w:val="3"/>
        </w:numPr>
        <w:spacing w:after="70" w:line="290"/>
      </w:pPr>
      <w:r>
        <w:rPr>
          <w:rFonts w:ascii="Calibri" w:cs="Calibri" w:eastAsia="Calibri" w:hAnsi="Calibri"/>
          <w:color w:val="14213D"/>
          <w:sz w:val="21"/>
          <w:szCs w:val="21"/>
        </w:rPr>
        <w:t xml:space="preserve">Selects only the 69 feature columns. The Label column, if present, is ignored.</w:t>
      </w:r>
    </w:p>
    <w:p>
      <w:pPr>
        <w:pStyle w:val="ListParagraph"/>
        <w:numPr>
          <w:ilvl w:val="0"/>
          <w:numId w:val="3"/>
        </w:numPr>
        <w:spacing w:after="70" w:line="290"/>
      </w:pPr>
      <w:r>
        <w:rPr>
          <w:rFonts w:ascii="Calibri" w:cs="Calibri" w:eastAsia="Calibri" w:hAnsi="Calibri"/>
          <w:color w:val="14213D"/>
          <w:sz w:val="21"/>
          <w:szCs w:val="21"/>
        </w:rPr>
        <w:t xml:space="preserve">Runs every row through the saved Random Forest pipeline.</w:t>
      </w:r>
    </w:p>
    <w:p>
      <w:pPr>
        <w:pStyle w:val="ListParagraph"/>
        <w:numPr>
          <w:ilvl w:val="0"/>
          <w:numId w:val="3"/>
        </w:numPr>
        <w:spacing w:after="70" w:line="290"/>
      </w:pPr>
      <w:r>
        <w:rPr>
          <w:rFonts w:ascii="Calibri" w:cs="Calibri" w:eastAsia="Calibri" w:hAnsi="Calibri"/>
          <w:color w:val="14213D"/>
          <w:sz w:val="21"/>
          <w:szCs w:val="21"/>
        </w:rPr>
        <w:t xml:space="preserve">Converts the raw vote fraction into a calibrated malicious probability.</w:t>
      </w:r>
    </w:p>
    <w:p>
      <w:pPr>
        <w:pStyle w:val="ListParagraph"/>
        <w:numPr>
          <w:ilvl w:val="0"/>
          <w:numId w:val="3"/>
        </w:numPr>
        <w:spacing w:after="70" w:line="290"/>
      </w:pPr>
      <w:r>
        <w:rPr>
          <w:rFonts w:ascii="Calibri" w:cs="Calibri" w:eastAsia="Calibri" w:hAnsi="Calibri"/>
          <w:color w:val="14213D"/>
          <w:sz w:val="21"/>
          <w:szCs w:val="21"/>
        </w:rPr>
        <w:t xml:space="preserve">Turns the probability into Benign, Malicious, or Review using the tuned thresholds.</w:t>
      </w:r>
    </w:p>
    <w:p>
      <w:pPr>
        <w:pStyle w:val="ListParagraph"/>
        <w:numPr>
          <w:ilvl w:val="0"/>
          <w:numId w:val="3"/>
        </w:numPr>
        <w:spacing w:after="70" w:line="290"/>
      </w:pPr>
      <w:r>
        <w:rPr>
          <w:rFonts w:ascii="Calibri" w:cs="Calibri" w:eastAsia="Calibri" w:hAnsi="Calibri"/>
          <w:color w:val="14213D"/>
          <w:sz w:val="21"/>
          <w:szCs w:val="21"/>
        </w:rPr>
        <w:t xml:space="preserve">Runs the batch shift gate on the traffic the model did not flag, and compares it with the benign training reference.</w:t>
      </w:r>
    </w:p>
    <w:p>
      <w:pPr>
        <w:pStyle w:val="ListParagraph"/>
        <w:numPr>
          <w:ilvl w:val="0"/>
          <w:numId w:val="3"/>
        </w:numPr>
        <w:spacing w:after="70" w:line="290"/>
      </w:pPr>
      <w:r>
        <w:rPr>
          <w:rFonts w:ascii="Calibri" w:cs="Calibri" w:eastAsia="Calibri" w:hAnsi="Calibri"/>
          <w:color w:val="14213D"/>
          <w:sz w:val="21"/>
          <w:szCs w:val="21"/>
        </w:rPr>
        <w:t xml:space="preserve">Returns counts, per-row results, calibrated probabilities, and any shift warning.</w:t>
      </w:r>
    </w:p>
    <w:p>
      <w:pPr>
        <w:spacing w:after="120" w:before="80" w:line="300"/>
      </w:pPr>
      <w:r>
        <w:rPr>
          <w:rFonts w:ascii="Calibri" w:cs="Calibri" w:eastAsia="Calibri" w:hAnsi="Calibri"/>
          <w:b w:val="false"/>
          <w:bCs w:val="false"/>
          <w:i w:val="false"/>
          <w:iCs w:val="false"/>
          <w:color w:val="14213D"/>
          <w:sz w:val="21"/>
          <w:szCs w:val="21"/>
        </w:rPr>
        <w:t xml:space="preserve">The website then renders the warning banner, summary cards, and results table. All rows are counted; the table itself shows the first 5,000 rows.</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5. Label versus prediction</w:t>
      </w:r>
    </w:p>
    <w:p>
      <w:pPr>
        <w:spacing w:after="100" w:before="0" w:line="300"/>
      </w:pPr>
      <w:r>
        <w:rPr>
          <w:rFonts w:ascii="Calibri" w:cs="Calibri" w:eastAsia="Calibri" w:hAnsi="Calibri"/>
          <w:b w:val="false"/>
          <w:bCs w:val="false"/>
          <w:i w:val="false"/>
          <w:iCs w:val="false"/>
          <w:color w:val="14213D"/>
          <w:sz w:val="21"/>
          <w:szCs w:val="21"/>
        </w:rPr>
        <w:t xml:space="preserve">The Label column is the answer key. It is not an input to the model.</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3000"/>
        <w:gridCol w:w="7080"/>
      </w:tblGrid>
      <w:tr>
        <w:trPr>
          <w:cantSplit/>
          <w:tblHeader/>
        </w:trPr>
        <w:tc>
          <w:tcPr>
            <w:tcW w:type="dxa" w:w="300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Column group</w:t>
            </w:r>
          </w:p>
        </w:tc>
        <w:tc>
          <w:tcPr>
            <w:tcW w:type="dxa" w:w="708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Role</w:t>
            </w:r>
          </w:p>
        </w:tc>
      </w:tr>
      <w:tr>
        <w:trPr>
          <w:cantSplit/>
        </w:trPr>
        <w:tc>
          <w:tcPr>
            <w:tcW w:type="dxa" w:w="3000"/>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9"/>
                <w:szCs w:val="19"/>
              </w:rPr>
              <w:t xml:space="preserve">69 feature columns</w:t>
            </w:r>
          </w:p>
        </w:tc>
        <w:tc>
          <w:tcPr>
            <w:tcW w:type="dxa" w:w="7080"/>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9"/>
                <w:szCs w:val="19"/>
              </w:rPr>
              <w:t xml:space="preserve">The model input: duration, packet counts, packet sizes, timing, and TCP flags.</w:t>
            </w:r>
          </w:p>
        </w:tc>
      </w:tr>
      <w:tr>
        <w:trPr>
          <w:cantSplit/>
        </w:trPr>
        <w:tc>
          <w:tcPr>
            <w:tcW w:type="dxa" w:w="300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9"/>
                <w:szCs w:val="19"/>
              </w:rPr>
              <w:t xml:space="preserve">Label</w:t>
            </w:r>
          </w:p>
        </w:tc>
        <w:tc>
          <w:tcPr>
            <w:tcW w:type="dxa" w:w="708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9"/>
                <w:szCs w:val="19"/>
              </w:rPr>
              <w:t xml:space="preserve">The true answer (BENIGN, DDoS, PortScan, …). Used only after prediction to measure agreement.</w:t>
            </w:r>
          </w:p>
        </w:tc>
      </w:tr>
    </w:tbl>
    <w:p>
      <w:pPr>
        <w:spacing w:after="100" w:before="140" w:line="300"/>
      </w:pPr>
      <w:r>
        <w:rPr>
          <w:rFonts w:ascii="Calibri" w:cs="Calibri" w:eastAsia="Calibri" w:hAnsi="Calibri"/>
          <w:b w:val="false"/>
          <w:bCs w:val="false"/>
          <w:i w:val="false"/>
          <w:iCs w:val="false"/>
          <w:color w:val="14213D"/>
          <w:sz w:val="21"/>
          <w:szCs w:val="21"/>
        </w:rPr>
        <w:t xml:space="preserve">To prove the Label is ignored, the same 2,000 flows were uploaded twice: once with labels and once without. The predictions were identical.</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3300"/>
        <w:gridCol w:w="1500"/>
        <w:gridCol w:w="3480"/>
        <w:gridCol w:w="1800"/>
      </w:tblGrid>
      <w:tr>
        <w:trPr>
          <w:cantSplit/>
          <w:tblHeader/>
        </w:trPr>
        <w:tc>
          <w:tcPr>
            <w:tcW w:type="dxa" w:w="330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File</w:t>
            </w:r>
          </w:p>
        </w:tc>
        <w:tc>
          <w:tcPr>
            <w:tcW w:type="dxa" w:w="150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Label?</w:t>
            </w:r>
          </w:p>
        </w:tc>
        <w:tc>
          <w:tcPr>
            <w:tcW w:type="dxa" w:w="348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Result on 2,000 flows</w:t>
            </w:r>
          </w:p>
        </w:tc>
        <w:tc>
          <w:tcPr>
            <w:tcW w:type="dxa" w:w="180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Agreement shown?</w:t>
            </w:r>
          </w:p>
        </w:tc>
      </w:tr>
      <w:tr>
        <w:trPr>
          <w:cantSplit/>
        </w:trPr>
        <w:tc>
          <w:tcPr>
            <w:tcW w:type="dxa" w:w="3300"/>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demo_test_flows.csv</w:t>
            </w:r>
          </w:p>
        </w:tc>
        <w:tc>
          <w:tcPr>
            <w:tcW w:type="dxa" w:w="1500"/>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4213D"/>
                <w:sz w:val="18"/>
                <w:szCs w:val="18"/>
              </w:rPr>
              <w:t xml:space="preserve">Yes</w:t>
            </w:r>
          </w:p>
        </w:tc>
        <w:tc>
          <w:tcPr>
            <w:tcW w:type="dxa" w:w="3480"/>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1,665 benign · 330 malicious · 5 review</w:t>
            </w:r>
          </w:p>
        </w:tc>
        <w:tc>
          <w:tcPr>
            <w:tcW w:type="dxa" w:w="1800"/>
            <w:tcMar>
              <w:top w:type="dxa" w:w="80"/>
              <w:left w:type="dxa" w:w="110"/>
              <w:bottom w:type="dxa" w:w="80"/>
              <w:right w:type="dxa" w:w="110"/>
            </w:tcMar>
            <w:vAlign w:val="center"/>
          </w:tcPr>
          <w:p>
            <w:pPr>
              <w:spacing w:after="0" w:line="240"/>
              <w:jc w:val="center"/>
            </w:pPr>
            <w:r>
              <w:rPr>
                <w:rFonts w:ascii="Calibri" w:cs="Calibri" w:eastAsia="Calibri" w:hAnsi="Calibri"/>
                <w:b/>
                <w:bCs/>
                <w:color w:val="1E7A5A"/>
                <w:sz w:val="18"/>
                <w:szCs w:val="18"/>
              </w:rPr>
              <w:t xml:space="preserve">Yes (99.9%)</w:t>
            </w:r>
          </w:p>
        </w:tc>
      </w:tr>
      <w:tr>
        <w:trPr>
          <w:cantSplit/>
        </w:trPr>
        <w:tc>
          <w:tcPr>
            <w:tcW w:type="dxa" w:w="33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demo_unlabeled_flows.csv</w:t>
            </w:r>
          </w:p>
        </w:tc>
        <w:tc>
          <w:tcPr>
            <w:tcW w:type="dxa" w:w="15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4213D"/>
                <w:sz w:val="18"/>
                <w:szCs w:val="18"/>
              </w:rPr>
              <w:t xml:space="preserve">No</w:t>
            </w:r>
          </w:p>
        </w:tc>
        <w:tc>
          <w:tcPr>
            <w:tcW w:type="dxa" w:w="3480"/>
            <w:shd w:fill="F3F7FB"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1,665 benign · 330 malicious · 5 review</w:t>
            </w:r>
          </w:p>
        </w:tc>
        <w:tc>
          <w:tcPr>
            <w:tcW w:type="dxa" w:w="1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No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5DEE9" w:sz="4"/>
              <w:left w:val="single" w:color="2F5D9E" w:sz="24"/>
              <w:bottom w:val="single" w:color="D5DEE9" w:sz="4"/>
              <w:right w:val="single" w:color="D5DEE9" w:sz="4"/>
            </w:tcBorders>
            <w:shd w:fill="F3F7FB" w:color="auto" w:val="clear"/>
            <w:tcMar>
              <w:top w:type="dxa" w:w="160"/>
              <w:left w:type="dxa" w:w="220"/>
              <w:bottom w:type="dxa" w:w="160"/>
              <w:right w:type="dxa" w:w="220"/>
            </w:tcMar>
          </w:tcPr>
          <w:p>
            <w:pPr>
              <w:spacing w:after="60"/>
            </w:pPr>
            <w:r>
              <w:rPr>
                <w:rFonts w:ascii="Calibri" w:cs="Calibri" w:eastAsia="Calibri" w:hAnsi="Calibri"/>
                <w:b/>
                <w:bCs/>
                <w:color w:val="1F3F6E"/>
                <w:sz w:val="19"/>
                <w:szCs w:val="19"/>
              </w:rPr>
              <w:t xml:space="preserve">Analogy</w:t>
            </w:r>
          </w:p>
          <w:p>
            <w:pPr>
              <w:spacing w:after="0" w:line="290"/>
            </w:pPr>
            <w:r>
              <w:rPr>
                <w:rFonts w:ascii="Calibri" w:cs="Calibri" w:eastAsia="Calibri" w:hAnsi="Calibri"/>
                <w:color w:val="14213D"/>
                <w:sz w:val="19"/>
                <w:szCs w:val="19"/>
              </w:rPr>
              <w:t xml:space="preserve">A practice test has the answers at the back. The student solves the questions without looking at them. Afterwards, the teacher uses the answer key to mark the paper. The questions are the 69 features; the answer key is the Label; the student's answers are the model's predictions.</w:t>
            </w:r>
          </w:p>
        </w:tc>
      </w:tr>
    </w:tbl>
    <w:p>
      <w:pPr>
        <w:pStyle w:val="Heading1"/>
        <w:keepNext/>
        <w:pBdr>
          <w:bottom w:val="single" w:color="2F5D9E" w:sz="8" w:space="5"/>
        </w:pBdr>
        <w:spacing w:after="160" w:before="360"/>
      </w:pPr>
      <w:r>
        <w:rPr>
          <w:rFonts w:ascii="Calibri" w:cs="Calibri" w:eastAsia="Calibri" w:hAnsi="Calibri"/>
          <w:b/>
          <w:bCs/>
          <w:color w:val="1F3F6E"/>
          <w:sz w:val="30"/>
          <w:szCs w:val="30"/>
        </w:rPr>
        <w:t xml:space="preserve">6. How the F1-score is calculated</w:t>
      </w:r>
    </w:p>
    <w:p>
      <w:pPr>
        <w:spacing w:after="120" w:before="0" w:line="300"/>
      </w:pPr>
      <w:r>
        <w:rPr>
          <w:rFonts w:ascii="Calibri" w:cs="Calibri" w:eastAsia="Calibri" w:hAnsi="Calibri"/>
          <w:b w:val="false"/>
          <w:bCs w:val="false"/>
          <w:i w:val="false"/>
          <w:iCs w:val="false"/>
          <w:color w:val="14213D"/>
          <w:sz w:val="21"/>
          <w:szCs w:val="21"/>
        </w:rPr>
        <w:t xml:space="preserve">F1 is calculated from the confusion matrix, with Malicious as the positive class. The deployed Random Forest produced this matrix on the 100,000-flow test set:</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3000"/>
        <w:gridCol w:w="3540"/>
        <w:gridCol w:w="3540"/>
      </w:tblGrid>
      <w:tr>
        <w:trPr>
          <w:cantSplit/>
          <w:tblHeader/>
        </w:trPr>
        <w:tc>
          <w:tcPr>
            <w:tcW w:type="dxa" w:w="3000"/>
            <w:shd w:fill="E8F0FA"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
            </w:r>
          </w:p>
        </w:tc>
        <w:tc>
          <w:tcPr>
            <w:tcW w:type="dxa" w:w="354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Predicted Benign</w:t>
            </w:r>
          </w:p>
        </w:tc>
        <w:tc>
          <w:tcPr>
            <w:tcW w:type="dxa" w:w="354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Predicted Malicious</w:t>
            </w:r>
          </w:p>
        </w:tc>
      </w:tr>
      <w:tr>
        <w:trPr>
          <w:cantSplit/>
        </w:trPr>
        <w:tc>
          <w:tcPr>
            <w:tcW w:type="dxa" w:w="3000"/>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Actually Benign</w:t>
            </w:r>
          </w:p>
        </w:tc>
        <w:tc>
          <w:tcPr>
            <w:tcW w:type="dxa" w:w="3540"/>
            <w:shd w:fill="E9F6F1"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E7A5A"/>
                <w:sz w:val="18"/>
                <w:szCs w:val="18"/>
              </w:rPr>
              <w:t xml:space="preserve">TN = 82,887</w:t>
            </w:r>
          </w:p>
        </w:tc>
        <w:tc>
          <w:tcPr>
            <w:tcW w:type="dxa" w:w="3540"/>
            <w:shd w:fill="FDEEEC"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B42318"/>
                <w:sz w:val="18"/>
                <w:szCs w:val="18"/>
              </w:rPr>
              <w:t xml:space="preserve">FP = 75</w:t>
            </w:r>
          </w:p>
        </w:tc>
      </w:tr>
      <w:tr>
        <w:trPr>
          <w:cantSplit/>
        </w:trPr>
        <w:tc>
          <w:tcPr>
            <w:tcW w:type="dxa" w:w="3000"/>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Actually Malicious</w:t>
            </w:r>
          </w:p>
        </w:tc>
        <w:tc>
          <w:tcPr>
            <w:tcW w:type="dxa" w:w="3540"/>
            <w:shd w:fill="FDEEEC"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B42318"/>
                <w:sz w:val="18"/>
                <w:szCs w:val="18"/>
              </w:rPr>
              <w:t xml:space="preserve">FN = 99</w:t>
            </w:r>
          </w:p>
        </w:tc>
        <w:tc>
          <w:tcPr>
            <w:tcW w:type="dxa" w:w="3540"/>
            <w:shd w:fill="E9F6F1"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E7A5A"/>
                <w:sz w:val="18"/>
                <w:szCs w:val="18"/>
              </w:rPr>
              <w:t xml:space="preserve">TP = 16,939</w:t>
            </w:r>
          </w:p>
        </w:tc>
      </w:tr>
    </w:tbl>
    <w:p>
      <w:pPr>
        <w:spacing w:after="100" w:before="140" w:line="300"/>
      </w:pPr>
      <w:r>
        <w:rPr>
          <w:rFonts w:ascii="Calibri" w:cs="Calibri" w:eastAsia="Calibri" w:hAnsi="Calibri"/>
          <w:b w:val="false"/>
          <w:bCs w:val="false"/>
          <w:i w:val="false"/>
          <w:iCs w:val="false"/>
          <w:color w:val="14213D"/>
          <w:sz w:val="21"/>
          <w:szCs w:val="21"/>
        </w:rPr>
        <w:t xml:space="preserve">Precision answers: when the model says malicious, how often is it right? Recall answers: of all real attacks, how many did it catch?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5DEE9" w:sz="4"/>
              <w:left w:val="single" w:color="5B6B82" w:sz="24"/>
              <w:bottom w:val="single" w:color="D5DEE9" w:sz="4"/>
              <w:right w:val="single" w:color="D5DEE9" w:sz="4"/>
            </w:tcBorders>
            <w:shd w:fill="F5F7FA" w:color="auto" w:val="clear"/>
            <w:tcMar>
              <w:top w:type="dxa" w:w="160"/>
              <w:left w:type="dxa" w:w="220"/>
              <w:bottom w:type="dxa" w:w="160"/>
              <w:right w:type="dxa" w:w="220"/>
            </w:tcMar>
          </w:tcPr>
          <w:p>
            <w:pPr>
              <w:spacing w:after="40" w:line="260"/>
            </w:pPr>
            <w:r>
              <w:rPr>
                <w:rFonts w:ascii="Consolas" w:cs="Consolas" w:eastAsia="Consolas" w:hAnsi="Consolas"/>
                <w:color w:val="14213D"/>
                <w:sz w:val="18"/>
                <w:szCs w:val="18"/>
              </w:rPr>
              <w:t xml:space="preserve">Precision = TP / (TP + FP) = 16,939 / (16,939 + 75) = 0.9956  (99.56%)</w:t>
            </w:r>
          </w:p>
          <w:p>
            <w:pPr>
              <w:spacing w:after="40" w:line="260"/>
            </w:pPr>
            <w:r>
              <w:rPr>
                <w:rFonts w:ascii="Consolas" w:cs="Consolas" w:eastAsia="Consolas" w:hAnsi="Consolas"/>
                <w:color w:val="14213D"/>
                <w:sz w:val="18"/>
                <w:szCs w:val="18"/>
              </w:rPr>
              <w:t xml:space="preserve">Recall    = TP / (TP + FN) = 16,939 / (16,939 + 99) = 0.9942  (99.42%)</w:t>
            </w:r>
          </w:p>
          <w:p>
            <w:pPr>
              <w:spacing w:after="40" w:line="260"/>
            </w:pPr>
            <w:r>
              <w:rPr>
                <w:rFonts w:ascii="Consolas" w:cs="Consolas" w:eastAsia="Consolas" w:hAnsi="Consolas"/>
                <w:color w:val="14213D"/>
                <w:sz w:val="18"/>
                <w:szCs w:val="18"/>
              </w:rPr>
              <w:t xml:space="preserve">F1        = 2 × (Precision × Recall) / (Precision + Recall)</w:t>
            </w:r>
          </w:p>
          <w:p>
            <w:pPr>
              <w:spacing w:after="40" w:line="260"/>
            </w:pPr>
            <w:r>
              <w:rPr>
                <w:rFonts w:ascii="Consolas" w:cs="Consolas" w:eastAsia="Consolas" w:hAnsi="Consolas"/>
                <w:color w:val="14213D"/>
                <w:sz w:val="18"/>
                <w:szCs w:val="18"/>
              </w:rPr>
              <w:t xml:space="preserve">          = 2 × (0.9956 × 0.9942) / (0.9956 + 0.9942)</w:t>
            </w:r>
          </w:p>
          <w:p>
            <w:pPr>
              <w:spacing w:after="40" w:line="260"/>
            </w:pPr>
            <w:r>
              <w:rPr>
                <w:rFonts w:ascii="Consolas" w:cs="Consolas" w:eastAsia="Consolas" w:hAnsi="Consolas"/>
                <w:color w:val="14213D"/>
                <w:sz w:val="18"/>
                <w:szCs w:val="18"/>
              </w:rPr>
              <w:t xml:space="preserve">          = 0.9949  (99.49%)</w:t>
            </w:r>
          </w:p>
        </w:tc>
      </w:tr>
    </w:tbl>
    <w:p>
      <w:pPr>
        <w:spacing w:after="70" w:before="100" w:line="300"/>
      </w:pPr>
      <w:r>
        <w:rPr>
          <w:rFonts w:ascii="Calibri" w:cs="Calibri" w:eastAsia="Calibri" w:hAnsi="Calibri"/>
          <w:b w:val="false"/>
          <w:bCs w:val="false"/>
          <w:i w:val="false"/>
          <w:iCs w:val="false"/>
          <w:color w:val="14213D"/>
          <w:sz w:val="21"/>
          <w:szCs w:val="21"/>
        </w:rPr>
        <w:t xml:space="preserve">The equivalent shortcut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D5DEE9" w:sz="4"/>
              <w:left w:val="single" w:color="5B6B82" w:sz="24"/>
              <w:bottom w:val="single" w:color="D5DEE9" w:sz="4"/>
              <w:right w:val="single" w:color="D5DEE9" w:sz="4"/>
            </w:tcBorders>
            <w:shd w:fill="F5F7FA" w:color="auto" w:val="clear"/>
            <w:tcMar>
              <w:top w:type="dxa" w:w="160"/>
              <w:left w:type="dxa" w:w="220"/>
              <w:bottom w:type="dxa" w:w="160"/>
              <w:right w:type="dxa" w:w="220"/>
            </w:tcMar>
          </w:tcPr>
          <w:p>
            <w:pPr>
              <w:spacing w:after="40" w:line="260"/>
            </w:pPr>
            <w:r>
              <w:rPr>
                <w:rFonts w:ascii="Consolas" w:cs="Consolas" w:eastAsia="Consolas" w:hAnsi="Consolas"/>
                <w:color w:val="14213D"/>
                <w:sz w:val="18"/>
                <w:szCs w:val="18"/>
              </w:rPr>
              <w:t xml:space="preserve">F1 = 2TP / (2TP + FP + FN)</w:t>
            </w:r>
          </w:p>
          <w:p>
            <w:pPr>
              <w:spacing w:after="40" w:line="260"/>
            </w:pPr>
            <w:r>
              <w:rPr>
                <w:rFonts w:ascii="Consolas" w:cs="Consolas" w:eastAsia="Consolas" w:hAnsi="Consolas"/>
                <w:color w:val="14213D"/>
                <w:sz w:val="18"/>
                <w:szCs w:val="18"/>
              </w:rPr>
              <w:t xml:space="preserve">   = 2(16,939) / (2 × 16,939 + 75 + 99)</w:t>
            </w:r>
          </w:p>
          <w:p>
            <w:pPr>
              <w:spacing w:after="40" w:line="260"/>
            </w:pPr>
            <w:r>
              <w:rPr>
                <w:rFonts w:ascii="Consolas" w:cs="Consolas" w:eastAsia="Consolas" w:hAnsi="Consolas"/>
                <w:color w:val="14213D"/>
                <w:sz w:val="18"/>
                <w:szCs w:val="18"/>
              </w:rPr>
              <w:t xml:space="preserve">   = 0.9949</w:t>
            </w:r>
          </w:p>
        </w:tc>
      </w:tr>
    </w:tbl>
    <w:p>
      <w:pPr>
        <w:spacing w:after="100" w:before="120" w:line="300"/>
      </w:pPr>
      <w:r>
        <w:rPr>
          <w:rFonts w:ascii="Calibri" w:cs="Calibri" w:eastAsia="Calibri" w:hAnsi="Calibri"/>
          <w:b w:val="false"/>
          <w:bCs w:val="false"/>
          <w:i w:val="false"/>
          <w:iCs w:val="false"/>
          <w:color w:val="14213D"/>
          <w:sz w:val="21"/>
          <w:szCs w:val="21"/>
        </w:rPr>
        <w:t xml:space="preserve">Why F1 instead of accuracy? Most traffic is benign, so a model that always answers Benign can still show high accuracy while catching zero attacks. F1 is the harmonic mean of precision and recall: if either one is poor, F1 drops. It therefore punishes both false alarms and missed attacks.</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This is binary F1 for the Malicious class only. All attack types are merged into one positive class, so the score is dominated by common attacks such as DDoS, PortScan, and DoS Hulk.</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In the reliability comparison table (B0–B3), a Review outcome counts as “not flagged.” A reviewed attack is therefore counted as a miss for recall, which also lowers F1.</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The main model comparison uses plain binary predictions at the 0.5 cut-off; the deployed decision uses the tuned thresholds described in Section 4.</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7. Top 10 Random Forest features</w:t>
      </w:r>
    </w:p>
    <w:p>
      <w:pPr>
        <w:spacing w:after="120" w:before="0" w:line="300"/>
      </w:pPr>
      <w:r>
        <w:rPr>
          <w:rFonts w:ascii="Calibri" w:cs="Calibri" w:eastAsia="Calibri" w:hAnsi="Calibri"/>
          <w:b w:val="false"/>
          <w:bCs w:val="false"/>
          <w:i w:val="false"/>
          <w:iCs w:val="false"/>
          <w:color w:val="14213D"/>
          <w:sz w:val="21"/>
          <w:szCs w:val="21"/>
        </w:rPr>
        <w:t xml:space="preserve">Feature importance estimates how much each feature contributed to reducing impurity across the 100 trees in the Random Forest. It is measured on the training data and is not a causal claim: it says which measurements the model relied on, not which ones cause an attack.</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800"/>
        <w:gridCol w:w="5800"/>
        <w:gridCol w:w="3480"/>
      </w:tblGrid>
      <w:tr>
        <w:trPr>
          <w:cantSplit/>
          <w:tblHeader/>
        </w:trPr>
        <w:tc>
          <w:tcPr>
            <w:tcW w:type="dxa" w:w="80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Rank</w:t>
            </w:r>
          </w:p>
        </w:tc>
        <w:tc>
          <w:tcPr>
            <w:tcW w:type="dxa" w:w="5800"/>
            <w:shd w:fill="E8F0FA" w:color="auto" w:val="clear"/>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Feature</w:t>
            </w:r>
          </w:p>
        </w:tc>
        <w:tc>
          <w:tcPr>
            <w:tcW w:type="dxa" w:w="348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Importance</w:t>
            </w:r>
          </w:p>
        </w:tc>
      </w:tr>
      <w:tr>
        <w:trPr>
          <w:cantSplit/>
        </w:trPr>
        <w:tc>
          <w:tcPr>
            <w:tcW w:type="dxa" w:w="8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w:t>
            </w:r>
          </w:p>
        </w:tc>
        <w:tc>
          <w:tcPr>
            <w:tcW w:type="dxa" w:w="580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Bwd Packet Length Std</w:t>
            </w:r>
          </w:p>
        </w:tc>
        <w:tc>
          <w:tcPr>
            <w:tcW w:type="dxa" w:w="3480"/>
            <w:shd w:fill="FFFFFF"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9.76%</w:t>
            </w:r>
          </w:p>
        </w:tc>
      </w:tr>
      <w:tr>
        <w:trPr>
          <w:cantSplit/>
        </w:trPr>
        <w:tc>
          <w:tcPr>
            <w:tcW w:type="dxa" w:w="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2</w:t>
            </w:r>
          </w:p>
        </w:tc>
        <w:tc>
          <w:tcPr>
            <w:tcW w:type="dxa" w:w="58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Packet Length Variance</w:t>
            </w:r>
          </w:p>
        </w:tc>
        <w:tc>
          <w:tcPr>
            <w:tcW w:type="dxa" w:w="3480"/>
            <w:shd w:fill="F3F7FB"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8.66%</w:t>
            </w:r>
          </w:p>
        </w:tc>
      </w:tr>
      <w:tr>
        <w:trPr>
          <w:cantSplit/>
        </w:trPr>
        <w:tc>
          <w:tcPr>
            <w:tcW w:type="dxa" w:w="8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3</w:t>
            </w:r>
          </w:p>
        </w:tc>
        <w:tc>
          <w:tcPr>
            <w:tcW w:type="dxa" w:w="580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Packet Length Std</w:t>
            </w:r>
          </w:p>
        </w:tc>
        <w:tc>
          <w:tcPr>
            <w:tcW w:type="dxa" w:w="3480"/>
            <w:shd w:fill="FFFFFF"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7.34%</w:t>
            </w:r>
          </w:p>
        </w:tc>
      </w:tr>
      <w:tr>
        <w:trPr>
          <w:cantSplit/>
        </w:trPr>
        <w:tc>
          <w:tcPr>
            <w:tcW w:type="dxa" w:w="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4</w:t>
            </w:r>
          </w:p>
        </w:tc>
        <w:tc>
          <w:tcPr>
            <w:tcW w:type="dxa" w:w="58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Avg Bwd Segment Size</w:t>
            </w:r>
          </w:p>
        </w:tc>
        <w:tc>
          <w:tcPr>
            <w:tcW w:type="dxa" w:w="3480"/>
            <w:shd w:fill="F3F7FB"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6.19%</w:t>
            </w:r>
          </w:p>
        </w:tc>
      </w:tr>
      <w:tr>
        <w:trPr>
          <w:cantSplit/>
        </w:trPr>
        <w:tc>
          <w:tcPr>
            <w:tcW w:type="dxa" w:w="8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5</w:t>
            </w:r>
          </w:p>
        </w:tc>
        <w:tc>
          <w:tcPr>
            <w:tcW w:type="dxa" w:w="580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Bwd Packet Length Max</w:t>
            </w:r>
          </w:p>
        </w:tc>
        <w:tc>
          <w:tcPr>
            <w:tcW w:type="dxa" w:w="3480"/>
            <w:shd w:fill="FFFFFF"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5.31%</w:t>
            </w:r>
          </w:p>
        </w:tc>
      </w:tr>
      <w:tr>
        <w:trPr>
          <w:cantSplit/>
        </w:trPr>
        <w:tc>
          <w:tcPr>
            <w:tcW w:type="dxa" w:w="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6</w:t>
            </w:r>
          </w:p>
        </w:tc>
        <w:tc>
          <w:tcPr>
            <w:tcW w:type="dxa" w:w="58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Bwd Packet Length Mean</w:t>
            </w:r>
          </w:p>
        </w:tc>
        <w:tc>
          <w:tcPr>
            <w:tcW w:type="dxa" w:w="3480"/>
            <w:shd w:fill="F3F7FB"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4.21%</w:t>
            </w:r>
          </w:p>
        </w:tc>
      </w:tr>
      <w:tr>
        <w:trPr>
          <w:cantSplit/>
        </w:trPr>
        <w:tc>
          <w:tcPr>
            <w:tcW w:type="dxa" w:w="8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7</w:t>
            </w:r>
          </w:p>
        </w:tc>
        <w:tc>
          <w:tcPr>
            <w:tcW w:type="dxa" w:w="580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Packet Length Mean</w:t>
            </w:r>
          </w:p>
        </w:tc>
        <w:tc>
          <w:tcPr>
            <w:tcW w:type="dxa" w:w="3480"/>
            <w:shd w:fill="FFFFFF"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4.09%</w:t>
            </w:r>
          </w:p>
        </w:tc>
      </w:tr>
      <w:tr>
        <w:trPr>
          <w:cantSplit/>
        </w:trPr>
        <w:tc>
          <w:tcPr>
            <w:tcW w:type="dxa" w:w="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8</w:t>
            </w:r>
          </w:p>
        </w:tc>
        <w:tc>
          <w:tcPr>
            <w:tcW w:type="dxa" w:w="58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Average Packet Size</w:t>
            </w:r>
          </w:p>
        </w:tc>
        <w:tc>
          <w:tcPr>
            <w:tcW w:type="dxa" w:w="3480"/>
            <w:shd w:fill="F3F7FB"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3.15%</w:t>
            </w:r>
          </w:p>
        </w:tc>
      </w:tr>
      <w:tr>
        <w:trPr>
          <w:cantSplit/>
        </w:trPr>
        <w:tc>
          <w:tcPr>
            <w:tcW w:type="dxa" w:w="800"/>
            <w:shd w:fill="FFFFFF"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9</w:t>
            </w:r>
          </w:p>
        </w:tc>
        <w:tc>
          <w:tcPr>
            <w:tcW w:type="dxa" w:w="5800"/>
            <w:shd w:fill="FFFFFF"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Max Packet Length</w:t>
            </w:r>
          </w:p>
        </w:tc>
        <w:tc>
          <w:tcPr>
            <w:tcW w:type="dxa" w:w="3480"/>
            <w:shd w:fill="FFFFFF"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2.98%</w:t>
            </w:r>
          </w:p>
        </w:tc>
      </w:tr>
      <w:tr>
        <w:trPr>
          <w:cantSplit/>
        </w:trPr>
        <w:tc>
          <w:tcPr>
            <w:tcW w:type="dxa" w:w="800"/>
            <w:shd w:fill="F3F7FB" w:color="auto" w:val="clear"/>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5B6B82"/>
                <w:sz w:val="18"/>
                <w:szCs w:val="18"/>
              </w:rPr>
              <w:t xml:space="preserve">10</w:t>
            </w:r>
          </w:p>
        </w:tc>
        <w:tc>
          <w:tcPr>
            <w:tcW w:type="dxa" w:w="5800"/>
            <w:shd w:fill="F3F7FB" w:color="auto" w:val="clear"/>
            <w:tcMar>
              <w:top w:type="dxa" w:w="80"/>
              <w:left w:type="dxa" w:w="110"/>
              <w:bottom w:type="dxa" w:w="80"/>
              <w:right w:type="dxa" w:w="110"/>
            </w:tcMar>
            <w:vAlign w:val="center"/>
          </w:tcPr>
          <w:p>
            <w:pPr>
              <w:spacing w:after="0" w:line="240"/>
            </w:pPr>
            <w:r>
              <w:rPr>
                <w:rFonts w:ascii="Consolas" w:cs="Consolas" w:eastAsia="Consolas" w:hAnsi="Consolas"/>
                <w:b w:val="false"/>
                <w:bCs w:val="false"/>
                <w:color w:val="14213D"/>
                <w:sz w:val="17"/>
                <w:szCs w:val="17"/>
              </w:rPr>
              <w:t xml:space="preserve">Subflow Bwd Bytes</w:t>
            </w:r>
          </w:p>
        </w:tc>
        <w:tc>
          <w:tcPr>
            <w:tcW w:type="dxa" w:w="3480"/>
            <w:shd w:fill="F3F7FB" w:color="auto" w:val="clear"/>
            <w:tcMar>
              <w:top w:type="dxa" w:w="80"/>
              <w:left w:type="dxa" w:w="110"/>
              <w:bottom w:type="dxa" w:w="80"/>
              <w:right w:type="dxa" w:w="110"/>
            </w:tcMar>
            <w:vAlign w:val="center"/>
          </w:tcPr>
          <w:p>
            <w:pPr>
              <w:spacing w:after="0" w:line="240"/>
              <w:jc w:val="right"/>
            </w:pPr>
            <w:r>
              <w:rPr>
                <w:rFonts w:ascii="Calibri" w:cs="Calibri" w:eastAsia="Calibri" w:hAnsi="Calibri"/>
                <w:b/>
                <w:bCs/>
                <w:color w:val="1F3F6E"/>
                <w:sz w:val="18"/>
                <w:szCs w:val="18"/>
              </w:rPr>
              <w:t xml:space="preserve">2.86%</w:t>
            </w:r>
          </w:p>
        </w:tc>
      </w:tr>
    </w:tbl>
    <w:p>
      <w:pPr>
        <w:spacing w:after="120" w:before="120" w:line="300"/>
      </w:pPr>
      <w:r>
        <w:rPr>
          <w:rFonts w:ascii="Calibri" w:cs="Calibri" w:eastAsia="Calibri" w:hAnsi="Calibri"/>
          <w:b w:val="false"/>
          <w:bCs w:val="false"/>
          <w:i w:val="false"/>
          <w:iCs w:val="false"/>
          <w:color w:val="14213D"/>
          <w:sz w:val="21"/>
          <w:szCs w:val="21"/>
        </w:rPr>
        <w:t xml:space="preserve">Seven of the top ten are packet-length statistics, and together the top ten account for 54.55% of total importance. This fits the dataset: scripted attacks tend to produce distinctive packet-size patterns. The dashboard shows the full top 15 in the Model evaluation section; the values above come from reports/metrics.json.</w:t>
      </w:r>
    </w:p>
    <w:p>
      <w:pPr>
        <w:spacing w:after="120" w:before="60" w:line="300"/>
      </w:pPr>
      <w:r>
        <w:rPr>
          <w:rFonts w:ascii="Calibri" w:cs="Calibri" w:eastAsia="Calibri" w:hAnsi="Calibri"/>
          <w:b w:val="false"/>
          <w:bCs w:val="false"/>
          <w:i/>
          <w:iCs/>
          <w:color w:val="5B6B82"/>
          <w:sz w:val="18"/>
          <w:szCs w:val="18"/>
        </w:rPr>
        <w:t xml:space="preserve">Source: reports/metrics.json → feature_importances (Random Forest, trained on the 500,000-flow sample).</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8. Change to demo_1.csv</w:t>
      </w:r>
    </w:p>
    <w:p>
      <w:pPr>
        <w:spacing w:after="100" w:before="0" w:line="300"/>
      </w:pPr>
      <w:r>
        <w:rPr>
          <w:rFonts w:ascii="Calibri" w:cs="Calibri" w:eastAsia="Calibri" w:hAnsi="Calibri"/>
          <w:b w:val="false"/>
          <w:bCs w:val="false"/>
          <w:i w:val="false"/>
          <w:iCs w:val="false"/>
          <w:color w:val="14213D"/>
          <w:sz w:val="21"/>
          <w:szCs w:val="21"/>
        </w:rPr>
        <w:t xml:space="preserve">The Label column and all of its values (BENIGN, DDoS, PortScan, etc.) were removed from dataset/samples/demo_1.csv.</w:t>
      </w:r>
    </w:p>
    <w:tbl>
      <w:tblPr>
        <w:tblW w:type="dxa" w:w="10080"/>
        <w:tblBorders>
          <w:top w:val="single" w:color="D5DEE9" w:sz="4"/>
          <w:left w:val="single" w:color="D5DEE9" w:sz="4"/>
          <w:bottom w:val="single" w:color="D5DEE9" w:sz="4"/>
          <w:right w:val="single" w:color="D5DEE9" w:sz="4"/>
          <w:insideH w:val="single" w:color="D5DEE9" w:sz="4"/>
          <w:insideV w:val="single" w:color="D5DEE9" w:sz="4"/>
        </w:tblBorders>
      </w:tblPr>
      <w:tblGrid>
        <w:gridCol w:w="2600"/>
        <w:gridCol w:w="3740"/>
        <w:gridCol w:w="3740"/>
      </w:tblGrid>
      <w:tr>
        <w:trPr>
          <w:cantSplit/>
          <w:tblHeader/>
        </w:trPr>
        <w:tc>
          <w:tcPr>
            <w:tcW w:type="dxa" w:w="2600"/>
            <w:shd w:fill="E8F0FA" w:color="auto" w:val="clear"/>
            <w:tcMar>
              <w:top w:type="dxa" w:w="80"/>
              <w:left w:type="dxa" w:w="110"/>
              <w:bottom w:type="dxa" w:w="80"/>
              <w:right w:type="dxa" w:w="110"/>
            </w:tcMar>
            <w:vAlign w:val="center"/>
          </w:tcPr>
          <w:p>
            <w:pPr>
              <w:spacing w:after="0" w:line="240"/>
            </w:pPr>
            <w:r>
              <w:rPr>
                <w:rFonts w:ascii="Calibri" w:cs="Calibri" w:eastAsia="Calibri" w:hAnsi="Calibri"/>
                <w:b w:val="false"/>
                <w:bCs w:val="false"/>
                <w:color w:val="14213D"/>
                <w:sz w:val="18"/>
                <w:szCs w:val="18"/>
              </w:rPr>
              <w:t xml:space="preserve"/>
            </w:r>
          </w:p>
        </w:tc>
        <w:tc>
          <w:tcPr>
            <w:tcW w:type="dxa" w:w="374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Before</w:t>
            </w:r>
          </w:p>
        </w:tc>
        <w:tc>
          <w:tcPr>
            <w:tcW w:type="dxa" w:w="3740"/>
            <w:shd w:fill="E8F0FA" w:color="auto" w:val="clear"/>
            <w:tcMar>
              <w:top w:type="dxa" w:w="80"/>
              <w:left w:type="dxa" w:w="110"/>
              <w:bottom w:type="dxa" w:w="80"/>
              <w:right w:type="dxa" w:w="110"/>
            </w:tcMar>
            <w:vAlign w:val="center"/>
          </w:tcPr>
          <w:p>
            <w:pPr>
              <w:spacing w:after="0" w:line="240"/>
              <w:jc w:val="center"/>
            </w:pPr>
            <w:r>
              <w:rPr>
                <w:rFonts w:ascii="Calibri" w:cs="Calibri" w:eastAsia="Calibri" w:hAnsi="Calibri"/>
                <w:b/>
                <w:bCs/>
                <w:color w:val="14213D"/>
                <w:sz w:val="18"/>
                <w:szCs w:val="18"/>
              </w:rPr>
              <w:t xml:space="preserve">After</w:t>
            </w:r>
          </w:p>
        </w:tc>
      </w:tr>
      <w:tr>
        <w:trPr>
          <w:cantSplit/>
        </w:trPr>
        <w:tc>
          <w:tcPr>
            <w:tcW w:type="dxa" w:w="2600"/>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Shape</w:t>
            </w:r>
          </w:p>
        </w:tc>
        <w:tc>
          <w:tcPr>
            <w:tcW w:type="dxa" w:w="3740"/>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4213D"/>
                <w:sz w:val="18"/>
                <w:szCs w:val="18"/>
              </w:rPr>
              <w:t xml:space="preserve">2,000 rows × 70 columns</w:t>
            </w:r>
          </w:p>
        </w:tc>
        <w:tc>
          <w:tcPr>
            <w:tcW w:type="dxa" w:w="3740"/>
            <w:tcMar>
              <w:top w:type="dxa" w:w="80"/>
              <w:left w:type="dxa" w:w="110"/>
              <w:bottom w:type="dxa" w:w="80"/>
              <w:right w:type="dxa" w:w="110"/>
            </w:tcMar>
            <w:vAlign w:val="center"/>
          </w:tcPr>
          <w:p>
            <w:pPr>
              <w:spacing w:after="0" w:line="240"/>
              <w:jc w:val="center"/>
            </w:pPr>
            <w:r>
              <w:rPr>
                <w:rFonts w:ascii="Calibri" w:cs="Calibri" w:eastAsia="Calibri" w:hAnsi="Calibri"/>
                <w:b/>
                <w:bCs/>
                <w:color w:val="1E7A5A"/>
                <w:sz w:val="18"/>
                <w:szCs w:val="18"/>
              </w:rPr>
              <w:t xml:space="preserve">2,000 rows × 69 columns</w:t>
            </w:r>
          </w:p>
        </w:tc>
      </w:tr>
      <w:tr>
        <w:trPr>
          <w:cantSplit/>
        </w:trPr>
        <w:tc>
          <w:tcPr>
            <w:tcW w:type="dxa" w:w="2600"/>
            <w:tcMar>
              <w:top w:type="dxa" w:w="80"/>
              <w:left w:type="dxa" w:w="110"/>
              <w:bottom w:type="dxa" w:w="80"/>
              <w:right w:type="dxa" w:w="110"/>
            </w:tcMar>
            <w:vAlign w:val="center"/>
          </w:tcPr>
          <w:p>
            <w:pPr>
              <w:spacing w:after="0" w:line="240"/>
            </w:pPr>
            <w:r>
              <w:rPr>
                <w:rFonts w:ascii="Calibri" w:cs="Calibri" w:eastAsia="Calibri" w:hAnsi="Calibri"/>
                <w:b/>
                <w:bCs/>
                <w:color w:val="14213D"/>
                <w:sz w:val="18"/>
                <w:szCs w:val="18"/>
              </w:rPr>
              <w:t xml:space="preserve">Label column</w:t>
            </w:r>
          </w:p>
        </w:tc>
        <w:tc>
          <w:tcPr>
            <w:tcW w:type="dxa" w:w="3740"/>
            <w:tcMar>
              <w:top w:type="dxa" w:w="80"/>
              <w:left w:type="dxa" w:w="110"/>
              <w:bottom w:type="dxa" w:w="80"/>
              <w:right w:type="dxa" w:w="110"/>
            </w:tcMar>
            <w:vAlign w:val="center"/>
          </w:tcPr>
          <w:p>
            <w:pPr>
              <w:spacing w:after="0" w:line="240"/>
              <w:jc w:val="center"/>
            </w:pPr>
            <w:r>
              <w:rPr>
                <w:rFonts w:ascii="Calibri" w:cs="Calibri" w:eastAsia="Calibri" w:hAnsi="Calibri"/>
                <w:b w:val="false"/>
                <w:bCs w:val="false"/>
                <w:color w:val="14213D"/>
                <w:sz w:val="18"/>
                <w:szCs w:val="18"/>
              </w:rPr>
              <w:t xml:space="preserve">Present (BENIGN / DDoS / …)</w:t>
            </w:r>
          </w:p>
        </w:tc>
        <w:tc>
          <w:tcPr>
            <w:tcW w:type="dxa" w:w="3740"/>
            <w:tcMar>
              <w:top w:type="dxa" w:w="80"/>
              <w:left w:type="dxa" w:w="110"/>
              <w:bottom w:type="dxa" w:w="80"/>
              <w:right w:type="dxa" w:w="110"/>
            </w:tcMar>
            <w:vAlign w:val="center"/>
          </w:tcPr>
          <w:p>
            <w:pPr>
              <w:spacing w:after="0" w:line="240"/>
              <w:jc w:val="center"/>
            </w:pPr>
            <w:r>
              <w:rPr>
                <w:rFonts w:ascii="Calibri" w:cs="Calibri" w:eastAsia="Calibri" w:hAnsi="Calibri"/>
                <w:b/>
                <w:bCs/>
                <w:color w:val="B42318"/>
                <w:sz w:val="18"/>
                <w:szCs w:val="18"/>
              </w:rPr>
              <w:t xml:space="preserve">Removed</w:t>
            </w:r>
          </w:p>
        </w:tc>
      </w:tr>
    </w:tbl>
    <w:p>
      <w:pPr>
        <w:spacing w:after="120" w:before="120" w:line="300"/>
      </w:pPr>
      <w:r>
        <w:rPr>
          <w:rFonts w:ascii="Calibri" w:cs="Calibri" w:eastAsia="Calibri" w:hAnsi="Calibri"/>
          <w:b w:val="false"/>
          <w:bCs w:val="false"/>
          <w:i w:val="false"/>
          <w:iCs w:val="false"/>
          <w:color w:val="14213D"/>
          <w:sz w:val="21"/>
          <w:szCs w:val="21"/>
        </w:rPr>
        <w:t xml:space="preserve">Uploading the edited file returns HTTP 200 with 1,665 benign, 330 malicious, and 5 review — exactly the same predictions as before. The only visible difference is that the agreement section is no longer shown, because there is no answer key. The original labelled file remains available as demo_test_flows.csv.</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9. Notes for the demonstration</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The CSV files are plain data, not malware. A row labelled “DDoS” is a record of attack traffic, not an executable file.</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03_attack_only.csv triggers a shift warning by design: the gate compares against normal training traffic, and this file contains none.</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11_shifted_1pct_500.csv demonstrates the gate's sensitivity: a 1% feature change already crosses the severe threshold (score 6.83).</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04_large_mixed_10000.csv is a 10,000-row load test built from real demo flows. It is useful for showing that all rows are counted, even though the table displays only the first 5,000.</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Files 07–10 must return 4xx errors. That is input validation working correctly.</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Only one file can be uploaded per request. A single file can contain thousands of flows.</w:t>
      </w:r>
    </w:p>
    <w:p>
      <w:pPr>
        <w:pStyle w:val="ListParagraph"/>
        <w:numPr>
          <w:ilvl w:val="0"/>
          <w:numId w:val="2"/>
        </w:numPr>
        <w:spacing w:after="60" w:line="280"/>
      </w:pPr>
      <w:r>
        <w:rPr>
          <w:rFonts w:ascii="Calibri" w:cs="Calibri" w:eastAsia="Calibri" w:hAnsi="Calibri"/>
          <w:b w:val="false"/>
          <w:bCs w:val="false"/>
          <w:color w:val="14213D"/>
          <w:sz w:val="20"/>
          <w:szCs w:val="20"/>
        </w:rPr>
        <w:t xml:space="preserve">The backend has a 100 MB upload limit.</w:t>
      </w:r>
    </w:p>
    <w:p>
      <w:pPr>
        <w:pStyle w:val="Heading1"/>
        <w:keepNext/>
        <w:pBdr>
          <w:bottom w:val="single" w:color="2F5D9E" w:sz="8" w:space="5"/>
        </w:pBdr>
        <w:spacing w:after="160" w:before="360"/>
      </w:pPr>
      <w:r>
        <w:rPr>
          <w:rFonts w:ascii="Calibri" w:cs="Calibri" w:eastAsia="Calibri" w:hAnsi="Calibri"/>
          <w:b/>
          <w:bCs/>
          <w:color w:val="1F3F6E"/>
          <w:sz w:val="30"/>
          <w:szCs w:val="30"/>
        </w:rPr>
        <w:t xml:space="preserve">Appendix: Suggested five-minute test sequence</w:t>
      </w:r>
    </w:p>
    <w:p>
      <w:pPr>
        <w:pStyle w:val="ListParagraph"/>
        <w:numPr>
          <w:ilvl w:val="0"/>
          <w:numId w:val="3"/>
        </w:numPr>
        <w:spacing w:after="70" w:line="290"/>
      </w:pPr>
      <w:r>
        <w:rPr>
          <w:rFonts w:ascii="Calibri" w:cs="Calibri" w:eastAsia="Calibri" w:hAnsi="Calibri"/>
          <w:color w:val="14213D"/>
          <w:sz w:val="21"/>
          <w:szCs w:val="21"/>
        </w:rPr>
        <w:t xml:space="preserve">Upload 01_small_mixed_100.csv — quick normal result and agreement with labels.</w:t>
      </w:r>
    </w:p>
    <w:p>
      <w:pPr>
        <w:pStyle w:val="ListParagraph"/>
        <w:numPr>
          <w:ilvl w:val="0"/>
          <w:numId w:val="3"/>
        </w:numPr>
        <w:spacing w:after="70" w:line="290"/>
      </w:pPr>
      <w:r>
        <w:rPr>
          <w:rFonts w:ascii="Calibri" w:cs="Calibri" w:eastAsia="Calibri" w:hAnsi="Calibri"/>
          <w:color w:val="14213D"/>
          <w:sz w:val="21"/>
          <w:szCs w:val="21"/>
        </w:rPr>
        <w:t xml:space="preserve">Upload 02_benign_only_500.csv — mostly benign traffic, minimal alerts.</w:t>
      </w:r>
    </w:p>
    <w:p>
      <w:pPr>
        <w:pStyle w:val="ListParagraph"/>
        <w:numPr>
          <w:ilvl w:val="0"/>
          <w:numId w:val="3"/>
        </w:numPr>
        <w:spacing w:after="70" w:line="290"/>
      </w:pPr>
      <w:r>
        <w:rPr>
          <w:rFonts w:ascii="Calibri" w:cs="Calibri" w:eastAsia="Calibri" w:hAnsi="Calibri"/>
          <w:color w:val="14213D"/>
          <w:sz w:val="21"/>
          <w:szCs w:val="21"/>
        </w:rPr>
        <w:t xml:space="preserve">Upload 03_attack_only.csv — attack-only file; explain the expected shift warning.</w:t>
      </w:r>
    </w:p>
    <w:p>
      <w:pPr>
        <w:pStyle w:val="ListParagraph"/>
        <w:numPr>
          <w:ilvl w:val="0"/>
          <w:numId w:val="3"/>
        </w:numPr>
        <w:spacing w:after="70" w:line="290"/>
      </w:pPr>
      <w:r>
        <w:rPr>
          <w:rFonts w:ascii="Calibri" w:cs="Calibri" w:eastAsia="Calibri" w:hAnsi="Calibri"/>
          <w:color w:val="14213D"/>
          <w:sz w:val="21"/>
          <w:szCs w:val="21"/>
        </w:rPr>
        <w:t xml:space="preserve">Upload 11_shifted_1pct_500.csv or 12_shifted_severe_500.csv — show the red distribution warning.</w:t>
      </w:r>
    </w:p>
    <w:p>
      <w:pPr>
        <w:pStyle w:val="ListParagraph"/>
        <w:numPr>
          <w:ilvl w:val="0"/>
          <w:numId w:val="3"/>
        </w:numPr>
        <w:spacing w:after="70" w:line="290"/>
      </w:pPr>
      <w:r>
        <w:rPr>
          <w:rFonts w:ascii="Calibri" w:cs="Calibri" w:eastAsia="Calibri" w:hAnsi="Calibri"/>
          <w:color w:val="14213D"/>
          <w:sz w:val="21"/>
          <w:szCs w:val="21"/>
        </w:rPr>
        <w:t xml:space="preserve">Upload 07_non_numeric_50.csv, 08_missing_columns_100.csv, 09_empty.csv, or 10_wrong_extension.txt — show clear validation errors.</w:t>
      </w:r>
    </w:p>
    <w:p>
      <w:pPr>
        <w:pStyle w:val="ListParagraph"/>
        <w:numPr>
          <w:ilvl w:val="0"/>
          <w:numId w:val="3"/>
        </w:numPr>
        <w:spacing w:after="70" w:line="290"/>
      </w:pPr>
      <w:r>
        <w:rPr>
          <w:rFonts w:ascii="Calibri" w:cs="Calibri" w:eastAsia="Calibri" w:hAnsi="Calibri"/>
          <w:color w:val="14213D"/>
          <w:sz w:val="21"/>
          <w:szCs w:val="21"/>
        </w:rPr>
        <w:t xml:space="preserve">Optionally upload 04_large_mixed_10000.csv — show that all 10,000 rows are processed.</w:t>
      </w:r>
    </w:p>
    <w:p>
      <w:pPr>
        <w:pStyle w:val="ListParagraph"/>
        <w:numPr>
          <w:ilvl w:val="0"/>
          <w:numId w:val="3"/>
        </w:numPr>
        <w:spacing w:after="70" w:line="290"/>
      </w:pPr>
      <w:r>
        <w:rPr>
          <w:rFonts w:ascii="Calibri" w:cs="Calibri" w:eastAsia="Calibri" w:hAnsi="Calibri"/>
          <w:color w:val="14213D"/>
          <w:sz w:val="21"/>
          <w:szCs w:val="21"/>
        </w:rPr>
        <w:t xml:space="preserve">Optionally upload 14_unlabeled_200.csv — simulate a real user upload with no answer key.</w:t>
      </w:r>
    </w:p>
    <w:sectPr>
      <w:headerReference w:type="default" r:id="rId6"/>
      <w:footerReference w:type="default" r:id="rId7"/>
      <w:pgSz w:w="12240" w:h="15840" w:orient="portrait"/>
      <w:pgMar w:top="1080" w:right="1080" w:bottom="1080" w:left="1080"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B6B82"/>
        <w:sz w:val="16"/>
        <w:szCs w:val="16"/>
      </w:rPr>
      <w:t xml:space="preserve">NetGuard AI · Faculty Testing Guide   ·   Page </w:t>
    </w:r>
    <w:r>
      <w:rPr>
        <w:rFonts w:ascii="Calibri" w:cs="Calibri" w:eastAsia="Calibri" w:hAnsi="Calibri"/>
        <w:color w:val="5B6B82"/>
        <w:sz w:val="16"/>
        <w:szCs w:val="16"/>
      </w:rPr>
      <w:fldChar w:fldCharType="begin"/>
    </w:r>
    <w:r>
      <w:rPr>
        <w:rFonts w:ascii="Calibri" w:cs="Calibri" w:eastAsia="Calibri" w:hAnsi="Calibri"/>
        <w:color w:val="5B6B82"/>
        <w:sz w:val="16"/>
        <w:szCs w:val="16"/>
      </w:rPr>
      <w:instrText xml:space="preserve">PAGE</w:instrText>
    </w:r>
    <w:r>
      <w:rPr>
        <w:rFonts w:ascii="Calibri" w:cs="Calibri" w:eastAsia="Calibri" w:hAnsi="Calibri"/>
        <w:color w:val="5B6B82"/>
        <w:sz w:val="16"/>
        <w:szCs w:val="16"/>
      </w:rPr>
      <w:fldChar w:fldCharType="separate"/>
    </w:r>
    <w:r>
      <w:rPr>
        <w:rFonts w:ascii="Calibri" w:cs="Calibri" w:eastAsia="Calibri" w:hAnsi="Calibri"/>
        <w:color w:val="5B6B82"/>
        <w:sz w:val="16"/>
        <w:szCs w:val="16"/>
      </w:rPr>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r>
    <w:r>
      <w:rPr>
        <w:rFonts w:ascii="Calibri" w:cs="Calibri" w:eastAsia="Calibri" w:hAnsi="Calibri"/>
        <w:color w:val="5B6B82"/>
        <w:sz w:val="16"/>
        <w:szCs w:val="16"/>
      </w:rPr>
      <w:instrText xml:space="preserve">NUMPAGES</w:instrText>
    </w:r>
    <w:r>
      <w:rPr>
        <w:rFonts w:ascii="Calibri" w:cs="Calibri" w:eastAsia="Calibri" w:hAnsi="Calibri"/>
        <w:color w:val="5B6B82"/>
        <w:sz w:val="16"/>
        <w:szCs w:val="16"/>
      </w:rPr>
      <w:fldChar w:fldCharType="separate"/>
    </w:r>
    <w:r>
      <w:rPr>
        <w:rFonts w:ascii="Calibri" w:cs="Calibri" w:eastAsia="Calibri" w:hAnsi="Calibri"/>
        <w:color w:val="5B6B8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4" w:space="4"/>
      </w:pBdr>
      <w:spacing w:after="0"/>
    </w:pPr>
    <w:r>
      <w:rPr>
        <w:rFonts w:ascii="Calibri" w:cs="Calibri" w:eastAsia="Calibri" w:hAnsi="Calibri"/>
        <w:b/>
        <w:bCs/>
        <w:color w:val="2F5D9E"/>
        <w:sz w:val="16"/>
        <w:szCs w:val="16"/>
      </w:rPr>
      <w:t xml:space="preserve">NetGuard AI</w:t>
    </w:r>
    <w:r>
      <w:rPr>
        <w:rFonts w:ascii="Calibri" w:cs="Calibri" w:eastAsia="Calibri" w:hAnsi="Calibri"/>
        <w:color w:val="5B6B82"/>
        <w:sz w:val="16"/>
        <w:szCs w:val="16"/>
      </w:rPr>
      <w:t xml:space="preserve">   ·   Faculty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abstractNum w:abstractNumId="3" w15:restartNumberingAfterBreak="0">
    <w:multiLevelType w:val="hybridMultilevel"/>
    <w:lvl w:ilvl="0" w: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 Faculty Testing Guide</dc:title>
  <dc:creator>NetGuard AI</dc:creator>
  <dc:description>Test files, expected results, prediction flow, and F1-score calculation.</dc:description>
  <cp:lastModifiedBy>Un-named</cp:lastModifiedBy>
  <cp:revision>1</cp:revision>
  <dcterms:created xsi:type="dcterms:W3CDTF">2026-10-26T06:02:24.954Z</dcterms:created>
  <dcterms:modified xsi:type="dcterms:W3CDTF">2026-10-26T06:02:24.958Z</dcterms:modified>
</cp:coreProperties>
</file>

<file path=docProps/custom.xml><?xml version="1.0" encoding="utf-8"?>
<Properties xmlns="http://schemas.openxmlformats.org/officeDocument/2006/custom-properties" xmlns:vt="http://schemas.openxmlformats.org/officeDocument/2006/docPropsVTypes"/>
</file>