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0"/>
        <w:jc w:val="center"/>
      </w:pPr>
      <w:r>
        <w:rPr>
          <w:rFonts w:ascii="Times New Roman" w:cs="Times New Roman" w:eastAsia="Times New Roman" w:hAnsi="Times New Roman"/>
          <w:b/>
          <w:bCs/>
          <w:sz w:val="28"/>
          <w:szCs w:val="28"/>
        </w:rPr>
        <w:t xml:space="preserve">GuardianWheel: An AI-Integrated Driver Fatigue Detection and Real-Time Driver Substitution System</w:t>
      </w:r>
    </w:p>
    <w:p>
      <w:pPr>
        <w:spacing w:after="45"/>
        <w:jc w:val="center"/>
      </w:pPr>
      <w:r>
        <w:rPr>
          <w:rFonts w:ascii="Times New Roman" w:cs="Times New Roman" w:eastAsia="Times New Roman" w:hAnsi="Times New Roman"/>
          <w:b/>
          <w:bCs/>
          <w:sz w:val="21"/>
          <w:szCs w:val="21"/>
        </w:rPr>
        <w:t xml:space="preserve">Sanjana Kumari</w:t>
      </w:r>
    </w:p>
    <w:p>
      <w:pPr>
        <w:spacing w:after="40"/>
        <w:jc w:val="center"/>
      </w:pPr>
      <w:r>
        <w:rPr>
          <w:rFonts w:ascii="Times New Roman" w:cs="Times New Roman" w:eastAsia="Times New Roman" w:hAnsi="Times New Roman"/>
          <w:sz w:val="19"/>
          <w:szCs w:val="19"/>
        </w:rPr>
        <w:t xml:space="preserve">Department of Computer Science and Engineering (Artificial Intelligence &amp; Machine Learning)</w:t>
      </w:r>
    </w:p>
    <w:p>
      <w:pPr>
        <w:spacing w:after="150"/>
        <w:jc w:val="center"/>
      </w:pPr>
      <w:r>
        <w:rPr>
          <w:rFonts w:ascii="Times New Roman" w:cs="Times New Roman" w:eastAsia="Times New Roman" w:hAnsi="Times New Roman"/>
          <w:sz w:val="19"/>
          <w:szCs w:val="19"/>
        </w:rPr>
        <w:t xml:space="preserve">Sathyabama Institute of Science and Technology, Chennai – 600 119, India</w:t>
      </w:r>
    </w:p>
    <w:p>
      <w:pPr>
        <w:pBdr>
          <w:bottom w:val="single" w:color="000000" w:sz="4"/>
        </w:pBdr>
        <w:spacing w:after="120" w:before="0"/>
      </w:pPr>
    </w:p>
    <w:p>
      <w:pPr>
        <w:spacing w:after="65"/>
        <w:jc w:val="center"/>
      </w:pPr>
      <w:r>
        <w:rPr>
          <w:rFonts w:ascii="Times New Roman" w:cs="Times New Roman" w:eastAsia="Times New Roman" w:hAnsi="Times New Roman"/>
          <w:b/>
          <w:bCs/>
          <w:i/>
          <w:iCs/>
          <w:sz w:val="21"/>
          <w:szCs w:val="21"/>
        </w:rPr>
        <w:t xml:space="preserve">Abstract</w:t>
      </w:r>
    </w:p>
    <w:p>
      <w:pPr>
        <w:spacing w:after="75" w:before="0" w:line="280"/>
        <w:jc w:val="both"/>
      </w:pPr>
      <w:r>
        <w:rPr>
          <w:rFonts w:ascii="Times New Roman" w:cs="Times New Roman" w:eastAsia="Times New Roman" w:hAnsi="Times New Roman"/>
          <w:b w:val="false"/>
          <w:bCs w:val="false"/>
          <w:i w:val="false"/>
          <w:iCs w:val="false"/>
          <w:color w:val="000000"/>
          <w:sz w:val="20"/>
          <w:szCs w:val="20"/>
        </w:rPr>
        <w:t xml:space="preserve">Driver fatigue and drowsiness are leading contributors to road accidents worldwide, responsible for an estimated 20–30% of all fatalities annually. Existing solutions focus on passive monitoring and alert-based interventions, leaving a critical gap between risk identification and actionable prevention. This paper presents GuardianWheel, an AI-driven driver safety framework integrating a hybrid Eye Aspect Ratio (EAR) + PERCLOS fatigue detection pipeline with real-time GPS-enabled driver substitution. The system employs OpenCV and dlib [8] for facial landmark tracking, evaluated on the NTHU Driver Drowsiness Detection Dataset (NTHU-DDD) and cross-validated on YawDD. A three-state Finite State Machine (FSM) classifies driver condition (Alert, Drowsy, Critically Fatigued) and autonomously triggers a driver booking service backed by Flask and Firebase. Experimental results achieve 91.4% accuracy, 90.9% F1-score, and AUC = 0.962 on NTHU-DDD, outperforming EAR-only (78.3%), PERCLOS-only (84.2%), and CNN baselines (88.2%). End-to-end booking confirmation completes in under 3 seconds (96th percentile). GuardianWheel is the first system to bridge the detection-intervention gap within a single deployable framework.</w:t>
      </w:r>
    </w:p>
    <w:p>
      <w:pPr>
        <w:spacing w:after="1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Driver Drowsiness Detection; Computer Vision; OpenCV; PERCLOS; Eye Aspect Ratio (EAR); Intelligent Transportation Systems; Road Safety; Artificial Intelligence; GPS Dispatch; Firebase; Real-Time Systems</w:t>
      </w:r>
    </w:p>
    <w:p>
      <w:pPr>
        <w:pBdr>
          <w:bottom w:val="single" w:color="000000" w:sz="4"/>
        </w:pBdr>
        <w:spacing w:after="120" w:before="0"/>
      </w:pPr>
    </w:p>
    <w:p>
      <w:pPr>
        <w:spacing w:after="80" w:before="180"/>
        <w:jc w:val="left"/>
      </w:pPr>
      <w:r>
        <w:rPr>
          <w:rFonts w:ascii="Times New Roman" w:cs="Times New Roman" w:eastAsia="Times New Roman" w:hAnsi="Times New Roman"/>
          <w:b/>
          <w:bCs/>
          <w:caps/>
          <w:sz w:val="22"/>
          <w:szCs w:val="22"/>
        </w:rPr>
        <w:t xml:space="preserve">I.  Introduction</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Road safety remains a persistent global challenge, with driver fatigue identified as a causative factor in approximately 20–30% of all road accidents [1]. Unlike alcohol impairment, fatigue develops progressively and is subjectively difficult for drivers to self-assess, making automated detection critical. The World Health Organization and national transportation authorities consistently rank drowsy driving among the top preventable causes of road fatalities [2].</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Contemporary fatigue detection falls into three categories: (i) camera-based vision systems [3, 4], (ii) physiological methods using EEG or ECG [5, 6], and (iii) vehicle dynamics monitoring [7]. All three share a fundamental limitation: the response terminates at the alert stage. Table I makes the novelty of GuardianWheel immediately apparent — it is the only system that detects fatigue, alerts the driver, and arranges a replacement, non-intrusively.</w:t>
      </w:r>
    </w:p>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70"/>
        <w:gridCol w:w="1470"/>
        <w:gridCol w:w="2010"/>
        <w:gridCol w:w="1710"/>
      </w:tblGrid>
      <w:tr>
        <w:trPr>
          <w:tblHeader/>
        </w:trPr>
        <w:tc>
          <w:tcPr>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pPr>
              <w:jc w:val="center"/>
            </w:pPr>
            <w:r>
              <w:rPr>
                <w:rFonts w:ascii="Times New Roman" w:cs="Times New Roman" w:eastAsia="Times New Roman" w:hAnsi="Times New Roman"/>
                <w:b/>
                <w:bCs/>
                <w:color w:val="FFFFFF"/>
                <w:sz w:val="18"/>
                <w:szCs w:val="18"/>
              </w:rPr>
              <w:t xml:space="preserve">Existing System</w:t>
            </w:r>
          </w:p>
        </w:tc>
        <w:tc>
          <w:tcPr>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pPr>
              <w:jc w:val="center"/>
            </w:pPr>
            <w:r>
              <w:rPr>
                <w:rFonts w:ascii="Times New Roman" w:cs="Times New Roman" w:eastAsia="Times New Roman" w:hAnsi="Times New Roman"/>
                <w:b/>
                <w:bCs/>
                <w:color w:val="FFFFFF"/>
                <w:sz w:val="18"/>
                <w:szCs w:val="18"/>
              </w:rPr>
              <w:t xml:space="preserve">Detect Fatigue</w:t>
            </w:r>
          </w:p>
        </w:tc>
        <w:tc>
          <w:tcPr>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pPr>
              <w:jc w:val="center"/>
            </w:pPr>
            <w:r>
              <w:rPr>
                <w:rFonts w:ascii="Times New Roman" w:cs="Times New Roman" w:eastAsia="Times New Roman" w:hAnsi="Times New Roman"/>
                <w:b/>
                <w:bCs/>
                <w:color w:val="FFFFFF"/>
                <w:sz w:val="18"/>
                <w:szCs w:val="18"/>
              </w:rPr>
              <w:t xml:space="preserve">Alert Driver</w:t>
            </w:r>
          </w:p>
        </w:tc>
        <w:tc>
          <w:tcPr>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pPr>
              <w:jc w:val="center"/>
            </w:pPr>
            <w:r>
              <w:rPr>
                <w:rFonts w:ascii="Times New Roman" w:cs="Times New Roman" w:eastAsia="Times New Roman" w:hAnsi="Times New Roman"/>
                <w:b/>
                <w:bCs/>
                <w:color w:val="FFFFFF"/>
                <w:sz w:val="18"/>
                <w:szCs w:val="18"/>
              </w:rPr>
              <w:t xml:space="preserve">Arrange Replacement</w:t>
            </w:r>
          </w:p>
        </w:tc>
        <w:tc>
          <w:tcPr>
            <w:tcBorders>
              <w:top w:val="single" w:color="CCCCCC" w:sz="1"/>
              <w:left w:val="single" w:color="CCCCCC" w:sz="1"/>
              <w:bottom w:val="single" w:color="CCCCCC" w:sz="1"/>
              <w:right w:val="single" w:color="CCCCCC" w:sz="1"/>
            </w:tcBorders>
            <w:shd w:fill="1A3A5C" w:val="clear"/>
            <w:tcMar>
              <w:top w:type="dxa" w:w="65"/>
              <w:left w:type="dxa" w:w="90"/>
              <w:bottom w:type="dxa" w:w="65"/>
              <w:right w:type="dxa" w:w="90"/>
            </w:tcMar>
          </w:tcPr>
          <w:p>
            <w:pPr>
              <w:jc w:val="center"/>
            </w:pPr>
            <w:r>
              <w:rPr>
                <w:rFonts w:ascii="Times New Roman" w:cs="Times New Roman" w:eastAsia="Times New Roman" w:hAnsi="Times New Roman"/>
                <w:b/>
                <w:bCs/>
                <w:color w:val="FFFFFF"/>
                <w:sz w:val="18"/>
                <w:szCs w:val="18"/>
              </w:rPr>
              <w:t xml:space="preserve">Non-Intrusive</w:t>
            </w:r>
          </w:p>
        </w:tc>
      </w:tr>
      <w:tr>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left"/>
            </w:pPr>
            <w:r>
              <w:rPr>
                <w:rFonts w:ascii="Times New Roman" w:cs="Times New Roman" w:eastAsia="Times New Roman" w:hAnsi="Times New Roman"/>
                <w:b w:val="false"/>
                <w:bCs w:val="false"/>
                <w:color w:val="000000"/>
                <w:sz w:val="18"/>
                <w:szCs w:val="18"/>
              </w:rPr>
              <w:t xml:space="preserve">EAR-Based [8]</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r>
      <w:tr>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left"/>
            </w:pPr>
            <w:r>
              <w:rPr>
                <w:rFonts w:ascii="Times New Roman" w:cs="Times New Roman" w:eastAsia="Times New Roman" w:hAnsi="Times New Roman"/>
                <w:b w:val="false"/>
                <w:bCs w:val="false"/>
                <w:color w:val="000000"/>
                <w:sz w:val="18"/>
                <w:szCs w:val="18"/>
              </w:rPr>
              <w:t xml:space="preserve">PERCLOS-Based [2]</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left"/>
            </w:pPr>
            <w:r>
              <w:rPr>
                <w:rFonts w:ascii="Times New Roman" w:cs="Times New Roman" w:eastAsia="Times New Roman" w:hAnsi="Times New Roman"/>
                <w:b w:val="false"/>
                <w:bCs w:val="false"/>
                <w:color w:val="000000"/>
                <w:sz w:val="18"/>
                <w:szCs w:val="18"/>
              </w:rPr>
              <w:t xml:space="preserve">CNN-Based [9]</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r>
      <w:tr>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left"/>
            </w:pPr>
            <w:r>
              <w:rPr>
                <w:rFonts w:ascii="Times New Roman" w:cs="Times New Roman" w:eastAsia="Times New Roman" w:hAnsi="Times New Roman"/>
                <w:b w:val="false"/>
                <w:bCs w:val="false"/>
                <w:color w:val="000000"/>
                <w:sz w:val="18"/>
                <w:szCs w:val="18"/>
              </w:rPr>
              <w:t xml:space="preserve">Wearable EEG [5]</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5F5F5"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left"/>
            </w:pPr>
            <w:r>
              <w:rPr>
                <w:rFonts w:ascii="Times New Roman" w:cs="Times New Roman" w:eastAsia="Times New Roman" w:hAnsi="Times New Roman"/>
                <w:b w:val="false"/>
                <w:bCs w:val="false"/>
                <w:color w:val="000000"/>
                <w:sz w:val="18"/>
                <w:szCs w:val="18"/>
              </w:rPr>
              <w:t xml:space="preserve">Ride-hailing [13]</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cc0000"/>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58"/>
              <w:left w:type="dxa" w:w="90"/>
              <w:bottom w:type="dxa" w:w="58"/>
              <w:right w:type="dxa" w:w="90"/>
            </w:tcMar>
          </w:tcPr>
          <w:p>
            <w:pPr>
              <w:jc w:val="center"/>
            </w:pPr>
            <w:r>
              <w:rPr>
                <w:rFonts w:ascii="Times New Roman" w:cs="Times New Roman" w:eastAsia="Times New Roman" w:hAnsi="Times New Roman"/>
                <w:b w:val="false"/>
                <w:bCs w:val="false"/>
                <w:color w:val="1a7a1a"/>
                <w:sz w:val="18"/>
                <w:szCs w:val="18"/>
              </w:rPr>
              <w:t xml:space="preserve">✔</w:t>
            </w:r>
          </w:p>
        </w:tc>
      </w:tr>
      <w:tr>
        <w:tc>
          <w:tcPr>
            <w:tcBorders>
              <w:top w:val="single" w:color="CCCCCC" w:sz="1"/>
              <w:left w:val="single" w:color="CCCCCC" w:sz="1"/>
              <w:bottom w:val="single" w:color="CCCCCC" w:sz="1"/>
              <w:right w:val="single" w:color="CCCCCC" w:sz="1"/>
            </w:tcBorders>
            <w:shd w:fill="D4EDDA" w:val="clear"/>
            <w:tcMar>
              <w:top w:type="dxa" w:w="58"/>
              <w:left w:type="dxa" w:w="90"/>
              <w:bottom w:type="dxa" w:w="58"/>
              <w:right w:type="dxa" w:w="90"/>
            </w:tcMar>
          </w:tcPr>
          <w:p>
            <w:pPr>
              <w:jc w:val="left"/>
            </w:pPr>
            <w:r>
              <w:rPr>
                <w:rFonts w:ascii="Times New Roman" w:cs="Times New Roman" w:eastAsia="Times New Roman" w:hAnsi="Times New Roman"/>
                <w:b/>
                <w:bCs/>
                <w:color w:val="000000"/>
                <w:sz w:val="18"/>
                <w:szCs w:val="18"/>
              </w:rPr>
              <w:t xml:space="preserve">GuardianWheel (Ours)</w:t>
            </w:r>
          </w:p>
        </w:tc>
        <w:tc>
          <w:tcPr>
            <w:tcBorders>
              <w:top w:val="single" w:color="CCCCCC" w:sz="1"/>
              <w:left w:val="single" w:color="CCCCCC" w:sz="1"/>
              <w:bottom w:val="single" w:color="CCCCCC" w:sz="1"/>
              <w:right w:val="single" w:color="CCCCCC" w:sz="1"/>
            </w:tcBorders>
            <w:shd w:fill="D4EDDA" w:val="clear"/>
            <w:tcMar>
              <w:top w:type="dxa" w:w="58"/>
              <w:left w:type="dxa" w:w="90"/>
              <w:bottom w:type="dxa" w:w="58"/>
              <w:right w:type="dxa" w:w="90"/>
            </w:tcMar>
          </w:tcPr>
          <w:p>
            <w:pPr>
              <w:jc w:val="center"/>
            </w:pPr>
            <w:r>
              <w:rPr>
                <w:rFonts w:ascii="Times New Roman" w:cs="Times New Roman" w:eastAsia="Times New Roman" w:hAnsi="Times New Roman"/>
                <w:b/>
                <w:bCs/>
                <w:color w:val="1a7a1a"/>
                <w:sz w:val="18"/>
                <w:szCs w:val="18"/>
              </w:rPr>
              <w:t xml:space="preserve">✔</w:t>
            </w:r>
          </w:p>
        </w:tc>
        <w:tc>
          <w:tcPr>
            <w:tcBorders>
              <w:top w:val="single" w:color="CCCCCC" w:sz="1"/>
              <w:left w:val="single" w:color="CCCCCC" w:sz="1"/>
              <w:bottom w:val="single" w:color="CCCCCC" w:sz="1"/>
              <w:right w:val="single" w:color="CCCCCC" w:sz="1"/>
            </w:tcBorders>
            <w:shd w:fill="D4EDDA" w:val="clear"/>
            <w:tcMar>
              <w:top w:type="dxa" w:w="58"/>
              <w:left w:type="dxa" w:w="90"/>
              <w:bottom w:type="dxa" w:w="58"/>
              <w:right w:type="dxa" w:w="90"/>
            </w:tcMar>
          </w:tcPr>
          <w:p>
            <w:pPr>
              <w:jc w:val="center"/>
            </w:pPr>
            <w:r>
              <w:rPr>
                <w:rFonts w:ascii="Times New Roman" w:cs="Times New Roman" w:eastAsia="Times New Roman" w:hAnsi="Times New Roman"/>
                <w:b/>
                <w:bCs/>
                <w:color w:val="1a7a1a"/>
                <w:sz w:val="18"/>
                <w:szCs w:val="18"/>
              </w:rPr>
              <w:t xml:space="preserve">✔</w:t>
            </w:r>
          </w:p>
        </w:tc>
        <w:tc>
          <w:tcPr>
            <w:tcBorders>
              <w:top w:val="single" w:color="CCCCCC" w:sz="1"/>
              <w:left w:val="single" w:color="CCCCCC" w:sz="1"/>
              <w:bottom w:val="single" w:color="CCCCCC" w:sz="1"/>
              <w:right w:val="single" w:color="CCCCCC" w:sz="1"/>
            </w:tcBorders>
            <w:shd w:fill="D4EDDA" w:val="clear"/>
            <w:tcMar>
              <w:top w:type="dxa" w:w="58"/>
              <w:left w:type="dxa" w:w="90"/>
              <w:bottom w:type="dxa" w:w="58"/>
              <w:right w:type="dxa" w:w="90"/>
            </w:tcMar>
          </w:tcPr>
          <w:p>
            <w:pPr>
              <w:jc w:val="center"/>
            </w:pPr>
            <w:r>
              <w:rPr>
                <w:rFonts w:ascii="Times New Roman" w:cs="Times New Roman" w:eastAsia="Times New Roman" w:hAnsi="Times New Roman"/>
                <w:b/>
                <w:bCs/>
                <w:color w:val="1a7a1a"/>
                <w:sz w:val="18"/>
                <w:szCs w:val="18"/>
              </w:rPr>
              <w:t xml:space="preserve">✔</w:t>
            </w:r>
          </w:p>
        </w:tc>
        <w:tc>
          <w:tcPr>
            <w:tcBorders>
              <w:top w:val="single" w:color="CCCCCC" w:sz="1"/>
              <w:left w:val="single" w:color="CCCCCC" w:sz="1"/>
              <w:bottom w:val="single" w:color="CCCCCC" w:sz="1"/>
              <w:right w:val="single" w:color="CCCCCC" w:sz="1"/>
            </w:tcBorders>
            <w:shd w:fill="D4EDDA" w:val="clear"/>
            <w:tcMar>
              <w:top w:type="dxa" w:w="58"/>
              <w:left w:type="dxa" w:w="90"/>
              <w:bottom w:type="dxa" w:w="58"/>
              <w:right w:type="dxa" w:w="90"/>
            </w:tcMar>
          </w:tcPr>
          <w:p>
            <w:pPr>
              <w:jc w:val="center"/>
            </w:pPr>
            <w:r>
              <w:rPr>
                <w:rFonts w:ascii="Times New Roman" w:cs="Times New Roman" w:eastAsia="Times New Roman" w:hAnsi="Times New Roman"/>
                <w:b/>
                <w:bCs/>
                <w:color w:val="1a7a1a"/>
                <w:sz w:val="18"/>
                <w:szCs w:val="18"/>
              </w:rPr>
              <w:t xml:space="preserve">✔</w:t>
            </w:r>
          </w:p>
        </w:tc>
      </w:tr>
    </w:tbl>
    <w:p>
      <w:pPr>
        <w:spacing w:after="130" w:before="0"/>
        <w:jc w:val="center"/>
      </w:pPr>
      <w:r>
        <w:rPr>
          <w:rFonts w:ascii="Times New Roman" w:cs="Times New Roman" w:eastAsia="Times New Roman" w:hAnsi="Times New Roman"/>
          <w:b/>
          <w:bCs/>
          <w:sz w:val="18"/>
          <w:szCs w:val="18"/>
        </w:rPr>
        <w:t xml:space="preserve">Table I.  GuardianWheel Novelty — Capability comparison against existing systems.</w:t>
      </w:r>
    </w:p>
    <w:p>
      <w:pPr>
        <w:spacing w:after="70"/>
      </w:pP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This paper addresses the following three research questions:</w:t>
      </w:r>
    </w:p>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799" w:sz="6"/>
              <w:left w:val="single" w:color="1e5799" w:sz="6"/>
              <w:bottom w:val="single" w:color="1e5799" w:sz="6"/>
              <w:right w:val="single" w:color="1e5799" w:sz="6"/>
            </w:tcBorders>
            <w:shd w:fill="EBF3FB" w:val="clear"/>
            <w:tcMar>
              <w:top w:type="dxa" w:w="130"/>
              <w:left w:type="dxa" w:w="220"/>
              <w:bottom w:type="dxa" w:w="130"/>
              <w:right w:type="dxa" w:w="220"/>
            </w:tcMar>
          </w:tcPr>
          <w:p>
            <w:pPr>
              <w:spacing w:after="90"/>
              <w:jc w:val="center"/>
            </w:pPr>
            <w:r>
              <w:rPr>
                <w:rFonts w:ascii="Times New Roman" w:cs="Times New Roman" w:eastAsia="Times New Roman" w:hAnsi="Times New Roman"/>
                <w:b/>
                <w:bCs/>
                <w:caps/>
                <w:color w:val="1e5799"/>
                <w:sz w:val="22"/>
                <w:szCs w:val="22"/>
              </w:rPr>
              <w:t xml:space="preserve">RESEARCH QUESTIONS</w:t>
            </w:r>
          </w:p>
          <w:p>
            <w:pPr>
              <w:spacing w:after="70" w:line="276"/>
            </w:pPr>
            <w:r>
              <w:rPr>
                <w:rFonts w:ascii="Times New Roman" w:cs="Times New Roman" w:eastAsia="Times New Roman" w:hAnsi="Times New Roman"/>
                <w:b/>
                <w:bCs/>
                <w:color w:val="1e5799"/>
                <w:sz w:val="20"/>
                <w:szCs w:val="20"/>
              </w:rPr>
              <w:t xml:space="preserve">RQ1: </w:t>
            </w:r>
            <w:r>
              <w:rPr>
                <w:rFonts w:ascii="Times New Roman" w:cs="Times New Roman" w:eastAsia="Times New Roman" w:hAnsi="Times New Roman"/>
                <w:sz w:val="20"/>
                <w:szCs w:val="20"/>
              </w:rPr>
              <w:t xml:space="preserve">Can a hybrid EAR + PERCLOS framework improve fatigue detection accuracy compared to standalone approaches?</w:t>
            </w:r>
          </w:p>
          <w:p>
            <w:pPr>
              <w:spacing w:after="70" w:line="276"/>
            </w:pPr>
            <w:r>
              <w:rPr>
                <w:rFonts w:ascii="Times New Roman" w:cs="Times New Roman" w:eastAsia="Times New Roman" w:hAnsi="Times New Roman"/>
                <w:b/>
                <w:bCs/>
                <w:color w:val="1e5799"/>
                <w:sz w:val="20"/>
                <w:szCs w:val="20"/>
              </w:rPr>
              <w:t xml:space="preserve">RQ2: </w:t>
            </w:r>
            <w:r>
              <w:rPr>
                <w:rFonts w:ascii="Times New Roman" w:cs="Times New Roman" w:eastAsia="Times New Roman" w:hAnsi="Times New Roman"/>
                <w:sz w:val="20"/>
                <w:szCs w:val="20"/>
              </w:rPr>
              <w:t xml:space="preserve">Can real-time fatigue detection be integrated with driver substitution services to effectively improve road safety outcomes?</w:t>
            </w:r>
          </w:p>
          <w:p>
            <w:pPr>
              <w:spacing w:after="70" w:line="276"/>
            </w:pPr>
            <w:r>
              <w:rPr>
                <w:rFonts w:ascii="Times New Roman" w:cs="Times New Roman" w:eastAsia="Times New Roman" w:hAnsi="Times New Roman"/>
                <w:b/>
                <w:bCs/>
                <w:color w:val="1e5799"/>
                <w:sz w:val="20"/>
                <w:szCs w:val="20"/>
              </w:rPr>
              <w:t xml:space="preserve">RQ3: </w:t>
            </w:r>
            <w:r>
              <w:rPr>
                <w:rFonts w:ascii="Times New Roman" w:cs="Times New Roman" w:eastAsia="Times New Roman" w:hAnsi="Times New Roman"/>
                <w:sz w:val="20"/>
                <w:szCs w:val="20"/>
              </w:rPr>
              <w:t xml:space="preserve">How effectively does the proposed framework perform across different driver conditions, lighting environments, and datasets?</w:t>
            </w:r>
          </w:p>
        </w:tc>
      </w:tr>
    </w:tbl>
    <w:p>
      <w:pPr>
        <w:spacing w:after="80"/>
      </w:pP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To address these questions, GuardianWheel couples a hybrid EAR+PERCLOS fatigue scoring pipeline with real-time GPS-enabled driver substitution, evaluated on the publicly available NTHU-DDD Dataset [4] for reproducible benchmarks. Key contributions are:</w:t>
      </w:r>
    </w:p>
    <w:p>
      <w:pPr>
        <w:pStyle w:val="ListParagraph"/>
        <w:numPr>
          <w:ilvl w:val="0"/>
          <w:numId w:val="2"/>
        </w:numPr>
        <w:spacing w:after="55" w:line="276"/>
      </w:pPr>
      <w:r>
        <w:rPr>
          <w:rFonts w:ascii="Times New Roman" w:cs="Times New Roman" w:eastAsia="Times New Roman" w:hAnsi="Times New Roman"/>
          <w:sz w:val="20"/>
          <w:szCs w:val="20"/>
        </w:rPr>
        <w:t xml:space="preserve">Hybrid EAR + PERCLOS fatigue scoring with FSM classification, outperforming EAR-only by 13.1 pp on NTHU-DDD (RQ1).</w:t>
      </w:r>
    </w:p>
    <w:p>
      <w:pPr>
        <w:pStyle w:val="ListParagraph"/>
        <w:numPr>
          <w:ilvl w:val="0"/>
          <w:numId w:val="2"/>
        </w:numPr>
        <w:spacing w:after="55" w:line="276"/>
      </w:pPr>
      <w:r>
        <w:rPr>
          <w:rFonts w:ascii="Times New Roman" w:cs="Times New Roman" w:eastAsia="Times New Roman" w:hAnsi="Times New Roman"/>
          <w:sz w:val="20"/>
          <w:szCs w:val="20"/>
        </w:rPr>
        <w:t xml:space="preserve">First integrated detection-to-intervention framework coupling fatigue detection with automated driver booking (RQ2).</w:t>
      </w:r>
    </w:p>
    <w:p>
      <w:pPr>
        <w:pStyle w:val="ListParagraph"/>
        <w:numPr>
          <w:ilvl w:val="0"/>
          <w:numId w:val="2"/>
        </w:numPr>
        <w:spacing w:after="55" w:line="276"/>
      </w:pPr>
      <w:r>
        <w:rPr>
          <w:rFonts w:ascii="Times New Roman" w:cs="Times New Roman" w:eastAsia="Times New Roman" w:hAnsi="Times New Roman"/>
          <w:sz w:val="20"/>
          <w:szCs w:val="20"/>
        </w:rPr>
        <w:t xml:space="preserve">GPS-enabled proximity dispatch (sub-3-second booking confirmation) with cross-dataset validation on YawDD (RQ3).</w:t>
      </w:r>
    </w:p>
    <w:p>
      <w:pPr>
        <w:pStyle w:val="ListParagraph"/>
        <w:numPr>
          <w:ilvl w:val="0"/>
          <w:numId w:val="2"/>
        </w:numPr>
        <w:spacing w:after="55" w:line="276"/>
      </w:pPr>
      <w:r>
        <w:rPr>
          <w:rFonts w:ascii="Times New Roman" w:cs="Times New Roman" w:eastAsia="Times New Roman" w:hAnsi="Times New Roman"/>
          <w:sz w:val="20"/>
          <w:szCs w:val="20"/>
        </w:rPr>
        <w:t xml:space="preserve">Comprehensive evaluation: accuracy, precision, recall, F1-score, confusion matrix, ROC (AUC=0.962), ablation study, and complexity analysis.</w:t>
      </w:r>
    </w:p>
    <w:p>
      <w:pPr>
        <w:spacing w:after="160"/>
      </w:pPr>
    </w:p>
    <w:p>
      <w:pPr>
        <w:spacing w:after="80" w:before="180"/>
        <w:jc w:val="left"/>
      </w:pPr>
      <w:r>
        <w:rPr>
          <w:rFonts w:ascii="Times New Roman" w:cs="Times New Roman" w:eastAsia="Times New Roman" w:hAnsi="Times New Roman"/>
          <w:b/>
          <w:bCs/>
          <w:caps/>
          <w:sz w:val="22"/>
          <w:szCs w:val="22"/>
        </w:rPr>
        <w:t xml:space="preserve">II.  Related Work</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The PERCLOS metric [1, 2] quantifies the proportion of time the eye is at least 80% closed over a rolling observation window, establishing a physiologically grounded drowsiness threshold. Weng et al. [3] demonstrated that PERCLOS combined with blink duration achieves significantly higher accuracy than either metric alone, motivating this hybrid design. Vision-based fatigue detection using dlib 68-point landmark localization was formalized by Soukupová and Čech [8], who introduced the EAR formula and demonstrated real-time webcam-based detection.</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Deep learning approaches achieve strong benchmark performance: Ghoddoosian et al. [9] proposed a CNN-LSTM on NTHU-DDD achieving 87–88%; Park et al. [10] combined facial action units with gradient-boosted trees. GPU inference requirements limit embedded deployment. The YawDD dataset [11] supports cross-dataset generalization studies. Physiological methods [5, 6] achieve high accuracy but require sensor contact. Alert mechanisms [12] treat the alert as the terminal output; ride-hailing dispatch [13] has never been integrated with fatigue monitoring. GuardianWheel is the first system to close this gap.</w:t>
      </w:r>
    </w:p>
    <w:p>
      <w:pPr>
        <w:spacing w:after="160"/>
      </w:pPr>
    </w:p>
    <w:p>
      <w:pPr>
        <w:spacing w:after="80" w:before="180"/>
        <w:jc w:val="left"/>
      </w:pPr>
      <w:r>
        <w:rPr>
          <w:rFonts w:ascii="Times New Roman" w:cs="Times New Roman" w:eastAsia="Times New Roman" w:hAnsi="Times New Roman"/>
          <w:b/>
          <w:bCs/>
          <w:caps/>
          <w:sz w:val="22"/>
          <w:szCs w:val="22"/>
        </w:rPr>
        <w:t xml:space="preserve">III.  System Architecture and Methodology</w:t>
      </w:r>
    </w:p>
    <w:p>
      <w:pPr>
        <w:spacing w:after="55" w:before="110"/>
        <w:jc w:val="left"/>
      </w:pPr>
      <w:r>
        <w:rPr>
          <w:rFonts w:ascii="Times New Roman" w:cs="Times New Roman" w:eastAsia="Times New Roman" w:hAnsi="Times New Roman"/>
          <w:b/>
          <w:bCs/>
          <w:sz w:val="20"/>
          <w:szCs w:val="20"/>
        </w:rPr>
        <w:t xml:space="preserve">A.  Processing Pipeline</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Figure 1 shows GuardianWheel’s 10-stage processing pipeline: camera input, face detection, landmark extraction, EAR calculation, PERCLOS scoring, FSM classification, alert engine, driver booking API, Firebase Realtime DB, and nearest driver dispatch. All stages communicate via REST APIs and Firebase events.</w:t>
      </w:r>
    </w:p>
    <w:p>
      <w:pPr>
        <w:spacing w:after="55"/>
      </w:pPr>
    </w:p>
    <w:p>
      <w:pPr>
        <w:spacing w:after="45" w:before="90"/>
        <w:jc w:val="center"/>
      </w:pPr>
      <w:r>
        <w:drawing>
          <wp:inline distT="0" distB="0" distL="0" distR="0">
            <wp:extent cx="3200400" cy="640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00400" cy="640080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1.  GuardianWheel Processing Pipeline — 10-stage draw.io-style architecture.</w:t>
      </w:r>
    </w:p>
    <w:p>
      <w:pPr>
        <w:spacing w:after="55" w:before="110"/>
        <w:jc w:val="left"/>
      </w:pPr>
      <w:r>
        <w:rPr>
          <w:rFonts w:ascii="Times New Roman" w:cs="Times New Roman" w:eastAsia="Times New Roman" w:hAnsi="Times New Roman"/>
          <w:b/>
          <w:bCs/>
          <w:sz w:val="20"/>
          <w:szCs w:val="20"/>
        </w:rPr>
        <w:t xml:space="preserve">B.  Fatigue Detection and Mathematical Formulation</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Figure 2 shows the frame-level flowchart. Frames are acquired at 30 fps; CLAHE normalizes illumination; dlib’s 68-point predictor [8] localizes landmarks. Two metrics drive classification:</w:t>
      </w:r>
    </w:p>
    <w:p>
      <w:pPr>
        <w:spacing w:after="45" w:before="90"/>
        <w:jc w:val="center"/>
      </w:pPr>
      <w:r>
        <w:drawing>
          <wp:inline distT="0" distB="0" distL="0" distR="0">
            <wp:extent cx="30480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563880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2.  Fatigue Detection Pipeline Flowchart.</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Eye Aspect Ratio (EAR):</w:t>
      </w:r>
    </w:p>
    <w:p>
      <w:pPr>
        <w:spacing w:after="80" w:before="60"/>
        <w:jc w:val="center"/>
      </w:pPr>
      <w:r>
        <w:rPr>
          <w:rFonts w:ascii="Times New Roman" w:cs="Times New Roman" w:eastAsia="Times New Roman" w:hAnsi="Times New Roman"/>
          <w:b/>
          <w:bCs/>
          <w:sz w:val="22"/>
          <w:szCs w:val="22"/>
        </w:rPr>
        <w:t xml:space="preserve">EAR  =  ( ‖P2–P6‖ + ‖P3–P5‖ )  /  ( 2 × ‖P1–P4‖ )</w:t>
      </w:r>
    </w:p>
    <w:p>
      <w:pPr>
        <w:spacing w:after="45" w:before="90"/>
        <w:jc w:val="center"/>
      </w:pPr>
      <w:r>
        <w:drawing>
          <wp:inline distT="0" distB="0" distL="0" distR="0">
            <wp:extent cx="4800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00600" cy="217170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3.  EAR Landmark Diagram — Alert (EAR=0.35, left) vs. Drowsy (EAR=0.18, right).</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PERCLOS (Percentage of Eye Closure) over rolling 30-second window:</w:t>
      </w:r>
    </w:p>
    <w:p>
      <w:pPr>
        <w:spacing w:after="80" w:before="60"/>
        <w:jc w:val="center"/>
      </w:pPr>
      <w:r>
        <w:rPr>
          <w:rFonts w:ascii="Times New Roman" w:cs="Times New Roman" w:eastAsia="Times New Roman" w:hAnsi="Times New Roman"/>
          <w:b/>
          <w:bCs/>
          <w:sz w:val="22"/>
          <w:szCs w:val="22"/>
        </w:rPr>
        <w:t xml:space="preserve">PERCLOS  =  N_closed  /  N_total</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where N_closed = frames with EAR ≤ 0.25 (eye ≥80% closed); N_total = window frames (900 at 30 fps). PERCLOS ≥ 0.15 → Drowsy; ≥ 0.30 → Critically Fatigued. Figure 4 shows temporal evolution across all three FSM states.</w:t>
      </w:r>
    </w:p>
    <w:p>
      <w:pPr>
        <w:spacing w:after="45" w:before="90"/>
        <w:jc w:val="center"/>
      </w:pPr>
      <w:r>
        <w:drawing>
          <wp:inline distT="0" distB="0" distL="0" distR="0">
            <wp:extent cx="48006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00600" cy="219075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4.  PERCLOS &amp; EAR Temporal Profile — State transitions over 60 seconds.</w:t>
      </w:r>
    </w:p>
    <w:p>
      <w:pPr>
        <w:spacing w:after="55" w:before="110"/>
        <w:jc w:val="left"/>
      </w:pPr>
      <w:r>
        <w:rPr>
          <w:rFonts w:ascii="Times New Roman" w:cs="Times New Roman" w:eastAsia="Times New Roman" w:hAnsi="Times New Roman"/>
          <w:b/>
          <w:bCs/>
          <w:sz w:val="20"/>
          <w:szCs w:val="20"/>
        </w:rPr>
        <w:t xml:space="preserve">C.  Computational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Module</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Complexity</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Throughput</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Face Detection (Haar)</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O(n) — pixels scanned</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~42 ms/frame</w:t>
            </w:r>
          </w:p>
        </w:tc>
      </w:tr>
      <w:tr>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Landmark Detection (dlib)</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O(n) — face region size</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~38 ms/frame</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EAR Computation</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O(1) — 6 distances</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&lt;1 ms/frame</w:t>
            </w:r>
          </w:p>
        </w:tc>
      </w:tr>
      <w:tr>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PERCLOS Scoring</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O(W) — window W=900</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&lt;2 ms/frame</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sz w:val="18"/>
                <w:szCs w:val="18"/>
              </w:rPr>
              <w:t xml:space="preserve">FSM Transition</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O(1) — constant</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sz w:val="18"/>
                <w:szCs w:val="18"/>
              </w:rPr>
              <w:t xml:space="preserve">&lt;1 ms/frame</w:t>
            </w:r>
          </w:p>
        </w:tc>
      </w:tr>
      <w:tr>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left"/>
            </w:pPr>
            <w:r>
              <w:rPr>
                <w:rFonts w:ascii="Times New Roman" w:cs="Times New Roman" w:eastAsia="Times New Roman" w:hAnsi="Times New Roman"/>
                <w:b/>
                <w:bCs/>
                <w:sz w:val="18"/>
                <w:szCs w:val="18"/>
              </w:rPr>
              <w:t xml:space="preserve">Overall Pipeline</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O(n) — detection-dominated</w:t>
            </w:r>
          </w:p>
        </w:tc>
        <w:tc>
          <w:tcPr>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bCs/>
                <w:sz w:val="18"/>
                <w:szCs w:val="18"/>
              </w:rPr>
              <w:t xml:space="preserve">24 fps effective</w:t>
            </w:r>
          </w:p>
        </w:tc>
      </w:tr>
    </w:tbl>
    <w:p>
      <w:pPr>
        <w:spacing w:after="130" w:before="0"/>
        <w:jc w:val="center"/>
      </w:pPr>
      <w:r>
        <w:rPr>
          <w:rFonts w:ascii="Times New Roman" w:cs="Times New Roman" w:eastAsia="Times New Roman" w:hAnsi="Times New Roman"/>
          <w:b/>
          <w:bCs/>
          <w:sz w:val="18"/>
          <w:szCs w:val="18"/>
        </w:rPr>
        <w:t xml:space="preserve">Table II.  Computational Complexity Analysis</w:t>
      </w:r>
    </w:p>
    <w:p>
      <w:pPr>
        <w:spacing w:after="55" w:before="110"/>
        <w:jc w:val="left"/>
      </w:pPr>
      <w:r>
        <w:rPr>
          <w:rFonts w:ascii="Times New Roman" w:cs="Times New Roman" w:eastAsia="Times New Roman" w:hAnsi="Times New Roman"/>
          <w:b/>
          <w:bCs/>
          <w:sz w:val="20"/>
          <w:szCs w:val="20"/>
        </w:rPr>
        <w:t xml:space="preserve">D.  Alert Module and Driver Dispatch</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Drowsy state triggers Level-1 alert (audio + overlay). Non-recovery within 10 seconds escalates to Critically Fatigued: Level-2 continuous alarm + autonomous booking activation. GPS coordinates are sent to Flask; Firebase returns proximity-ranked drivers (70% proximity, 30% rating). Figure 5 shows the booking sequence.</w:t>
      </w:r>
    </w:p>
    <w:p>
      <w:pPr>
        <w:spacing w:after="45" w:before="90"/>
        <w:jc w:val="center"/>
      </w:pPr>
      <w:r>
        <w:drawing>
          <wp:inline distT="0" distB="0" distL="0" distR="0">
            <wp:extent cx="52578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57800" cy="306705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5.  Driver Booking Sequence Diagram.</w:t>
      </w:r>
    </w:p>
    <w:p>
      <w:pPr>
        <w:spacing w:after="55" w:before="110"/>
        <w:jc w:val="left"/>
      </w:pPr>
      <w:r>
        <w:rPr>
          <w:rFonts w:ascii="Times New Roman" w:cs="Times New Roman" w:eastAsia="Times New Roman" w:hAnsi="Times New Roman"/>
          <w:b/>
          <w:bCs/>
          <w:sz w:val="20"/>
          <w:szCs w:val="20"/>
        </w:rPr>
        <w:t xml:space="preserve">E.  Research Contributions Summary</w:t>
      </w:r>
    </w:p>
    <w:p>
      <w:pPr>
        <w:spacing w:after="55"/>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799" w:sz="6"/>
              <w:left w:val="single" w:color="1e5799" w:sz="6"/>
              <w:bottom w:val="single" w:color="1e5799" w:sz="6"/>
              <w:right w:val="single" w:color="1e5799" w:sz="6"/>
            </w:tcBorders>
            <w:shd w:fill="EBF3FB" w:val="clear"/>
            <w:tcMar>
              <w:top w:type="dxa" w:w="130"/>
              <w:left w:type="dxa" w:w="220"/>
              <w:bottom w:type="dxa" w:w="130"/>
              <w:right w:type="dxa" w:w="220"/>
            </w:tcMar>
          </w:tcPr>
          <w:p>
            <w:pPr>
              <w:spacing w:after="90"/>
              <w:jc w:val="center"/>
            </w:pPr>
            <w:r>
              <w:rPr>
                <w:rFonts w:ascii="Times New Roman" w:cs="Times New Roman" w:eastAsia="Times New Roman" w:hAnsi="Times New Roman"/>
                <w:b/>
                <w:bCs/>
                <w:caps/>
                <w:color w:val="1e5799"/>
                <w:sz w:val="22"/>
                <w:szCs w:val="22"/>
              </w:rPr>
              <w:t xml:space="preserve">RESEARCH CONTRIBUTIONS</w:t>
            </w:r>
          </w:p>
          <w:p>
            <w:pPr>
              <w:pStyle w:val="ListParagraph"/>
              <w:numPr>
                <w:ilvl w:val="0"/>
                <w:numId w:val="3"/>
              </w:numPr>
              <w:spacing w:after="40" w:line="272"/>
            </w:pPr>
            <w:r>
              <w:rPr>
                <w:rFonts w:ascii="Times New Roman" w:cs="Times New Roman" w:eastAsia="Times New Roman" w:hAnsi="Times New Roman"/>
                <w:b/>
                <w:bCs/>
                <w:color w:val="1a3a5c"/>
                <w:sz w:val="20"/>
                <w:szCs w:val="20"/>
              </w:rPr>
              <w:t xml:space="preserve">Novel hybrid EAR + PERCLOS fatigue scoring with FSM classification</w:t>
            </w:r>
          </w:p>
          <w:p>
            <w:pPr>
              <w:spacing w:after="65" w:before="0" w:line="264"/>
              <w:ind w:left="400"/>
            </w:pPr>
            <w:r>
              <w:rPr>
                <w:rFonts w:ascii="Times New Roman" w:cs="Times New Roman" w:eastAsia="Times New Roman" w:hAnsi="Times New Roman"/>
                <w:i/>
                <w:iCs/>
                <w:color w:val="444444"/>
                <w:sz w:val="19"/>
                <w:szCs w:val="19"/>
              </w:rPr>
              <w:t xml:space="preserve">Empirically calibrated: EAR ≤ 0.25 + PERCLOS ≥ 0.15 (30-second rolling window) — outperforms standalone baselines by up to 13.1 pp.</w:t>
            </w:r>
          </w:p>
          <w:p>
            <w:pPr>
              <w:pStyle w:val="ListParagraph"/>
              <w:numPr>
                <w:ilvl w:val="0"/>
                <w:numId w:val="3"/>
              </w:numPr>
              <w:spacing w:after="40" w:line="272"/>
            </w:pPr>
            <w:r>
              <w:rPr>
                <w:rFonts w:ascii="Times New Roman" w:cs="Times New Roman" w:eastAsia="Times New Roman" w:hAnsi="Times New Roman"/>
                <w:b/>
                <w:bCs/>
                <w:color w:val="1a3a5c"/>
                <w:sz w:val="20"/>
                <w:szCs w:val="20"/>
              </w:rPr>
              <w:t xml:space="preserve">First integrated real-time intervention framework coupling detection with substitution</w:t>
            </w:r>
          </w:p>
          <w:p>
            <w:pPr>
              <w:spacing w:after="65" w:before="0" w:line="264"/>
              <w:ind w:left="400"/>
            </w:pPr>
            <w:r>
              <w:rPr>
                <w:rFonts w:ascii="Times New Roman" w:cs="Times New Roman" w:eastAsia="Times New Roman" w:hAnsi="Times New Roman"/>
                <w:i/>
                <w:iCs/>
                <w:color w:val="444444"/>
                <w:sz w:val="19"/>
                <w:szCs w:val="19"/>
              </w:rPr>
              <w:t xml:space="preserve">Tiered FSM escalation automatically activates booking upon critical fatigue — no manual input required.</w:t>
            </w:r>
          </w:p>
          <w:p>
            <w:pPr>
              <w:pStyle w:val="ListParagraph"/>
              <w:numPr>
                <w:ilvl w:val="0"/>
                <w:numId w:val="3"/>
              </w:numPr>
              <w:spacing w:after="40" w:line="272"/>
            </w:pPr>
            <w:r>
              <w:rPr>
                <w:rFonts w:ascii="Times New Roman" w:cs="Times New Roman" w:eastAsia="Times New Roman" w:hAnsi="Times New Roman"/>
                <w:b/>
                <w:bCs/>
                <w:color w:val="1a3a5c"/>
                <w:sz w:val="20"/>
                <w:szCs w:val="20"/>
              </w:rPr>
              <w:t xml:space="preserve">GPS-enabled proximity dispatch with composite ranking algorithm</w:t>
            </w:r>
          </w:p>
          <w:p>
            <w:pPr>
              <w:spacing w:after="65" w:before="0" w:line="264"/>
              <w:ind w:left="400"/>
            </w:pPr>
            <w:r>
              <w:rPr>
                <w:rFonts w:ascii="Times New Roman" w:cs="Times New Roman" w:eastAsia="Times New Roman" w:hAnsi="Times New Roman"/>
                <w:i/>
                <w:iCs/>
                <w:color w:val="444444"/>
                <w:sz w:val="19"/>
                <w:szCs w:val="19"/>
              </w:rPr>
              <w:t xml:space="preserve">70% proximity + 30% rating composite score; sub-3-second end-to-end booking confirmation (96th percentile).</w:t>
            </w:r>
          </w:p>
          <w:p>
            <w:pPr>
              <w:pStyle w:val="ListParagraph"/>
              <w:numPr>
                <w:ilvl w:val="0"/>
                <w:numId w:val="3"/>
              </w:numPr>
              <w:spacing w:after="40" w:line="272"/>
            </w:pPr>
            <w:r>
              <w:rPr>
                <w:rFonts w:ascii="Times New Roman" w:cs="Times New Roman" w:eastAsia="Times New Roman" w:hAnsi="Times New Roman"/>
                <w:b/>
                <w:bCs/>
                <w:color w:val="1a3a5c"/>
                <w:sz w:val="20"/>
                <w:szCs w:val="20"/>
              </w:rPr>
              <w:t xml:space="preserve">Scalable Flask–Firebase backend on embedded and cloud hardware</w:t>
            </w:r>
          </w:p>
          <w:p>
            <w:pPr>
              <w:spacing w:after="65" w:before="0" w:line="264"/>
              <w:ind w:left="400"/>
            </w:pPr>
            <w:r>
              <w:rPr>
                <w:rFonts w:ascii="Times New Roman" w:cs="Times New Roman" w:eastAsia="Times New Roman" w:hAnsi="Times New Roman"/>
                <w:i/>
                <w:iCs/>
                <w:color w:val="444444"/>
                <w:sz w:val="19"/>
                <w:szCs w:val="19"/>
              </w:rPr>
              <w:t xml:space="preserve">Single-file frontend, no build tools; sub-500 ms Firebase sync; Docker/Cloud Run ready.</w:t>
            </w:r>
          </w:p>
        </w:tc>
      </w:tr>
    </w:tbl>
    <w:p>
      <w:pPr>
        <w:spacing w:after="160"/>
      </w:pPr>
    </w:p>
    <w:p>
      <w:pPr>
        <w:spacing w:after="80" w:before="180"/>
        <w:jc w:val="left"/>
      </w:pPr>
      <w:r>
        <w:rPr>
          <w:rFonts w:ascii="Times New Roman" w:cs="Times New Roman" w:eastAsia="Times New Roman" w:hAnsi="Times New Roman"/>
          <w:b/>
          <w:bCs/>
          <w:caps/>
          <w:sz w:val="22"/>
          <w:szCs w:val="22"/>
        </w:rPr>
        <w:t xml:space="preserve">IV.  Dataset</w:t>
      </w:r>
    </w:p>
    <w:p>
      <w:pPr>
        <w:spacing w:after="55" w:before="110"/>
        <w:jc w:val="left"/>
      </w:pPr>
      <w:r>
        <w:rPr>
          <w:rFonts w:ascii="Times New Roman" w:cs="Times New Roman" w:eastAsia="Times New Roman" w:hAnsi="Times New Roman"/>
          <w:b/>
          <w:bCs/>
          <w:sz w:val="20"/>
          <w:szCs w:val="20"/>
        </w:rPr>
        <w:t xml:space="preserve">A.  NTHU Driver Drowsiness Detection Dataset</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The NTHU-DDD [4] comprises real-world driving videos with frame-level drowsiness annotations across diverse lighting (50–800 lux), eyewear types, and head-pose variations.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40"/>
        <w:gridCol w:w="1940"/>
        <w:gridCol w:w="1940"/>
        <w:gridCol w:w="94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Split</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Total Frames</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Alert</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Drowsy</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Subjects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Times New Roman" w:cs="Times New Roman" w:eastAsia="Times New Roman" w:hAnsi="Times New Roman"/>
                <w:b w:val="false"/>
                <w:bCs w:val="false"/>
                <w:sz w:val="18"/>
                <w:szCs w:val="18"/>
              </w:rPr>
              <w:t xml:space="preserve">Training Set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12,000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6,150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5,850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18</w:t>
            </w:r>
          </w:p>
        </w:tc>
      </w:tr>
      <w:tr>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left"/>
            </w:pPr>
            <w:r>
              <w:rPr>
                <w:rFonts w:ascii="Times New Roman" w:cs="Times New Roman" w:eastAsia="Times New Roman" w:hAnsi="Times New Roman"/>
                <w:b w:val="false"/>
                <w:bCs w:val="false"/>
                <w:sz w:val="18"/>
                <w:szCs w:val="18"/>
              </w:rPr>
              <w:t xml:space="preserve">Validation Set</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2,000</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1,020</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980</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5</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Times New Roman" w:cs="Times New Roman" w:eastAsia="Times New Roman" w:hAnsi="Times New Roman"/>
                <w:b w:val="false"/>
                <w:bCs w:val="false"/>
                <w:sz w:val="18"/>
                <w:szCs w:val="18"/>
              </w:rPr>
              <w:t xml:space="preserve">Test Set</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4,000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2,050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1,950</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sz w:val="18"/>
                <w:szCs w:val="18"/>
              </w:rPr>
              <w:t xml:space="preserve">5</w:t>
            </w:r>
          </w:p>
        </w:tc>
      </w:tr>
      <w:tr>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left"/>
            </w:pPr>
            <w:r>
              <w:rPr>
                <w:rFonts w:ascii="Times New Roman" w:cs="Times New Roman" w:eastAsia="Times New Roman" w:hAnsi="Times New Roman"/>
                <w:b/>
                <w:bCs/>
                <w:sz w:val="18"/>
                <w:szCs w:val="18"/>
              </w:rPr>
              <w:t xml:space="preserve">Total</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sz w:val="18"/>
                <w:szCs w:val="18"/>
              </w:rPr>
              <w:t xml:space="preserve">18,000</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sz w:val="18"/>
                <w:szCs w:val="18"/>
              </w:rPr>
              <w:t xml:space="preserve">9,220</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sz w:val="18"/>
                <w:szCs w:val="18"/>
              </w:rPr>
              <w:t xml:space="preserve">8,780</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sz w:val="18"/>
                <w:szCs w:val="18"/>
              </w:rPr>
              <w:t xml:space="preserve">28</w:t>
            </w:r>
          </w:p>
        </w:tc>
      </w:tr>
    </w:tbl>
    <w:p>
      <w:pPr>
        <w:spacing w:after="130" w:before="0"/>
        <w:jc w:val="center"/>
      </w:pPr>
      <w:r>
        <w:rPr>
          <w:rFonts w:ascii="Times New Roman" w:cs="Times New Roman" w:eastAsia="Times New Roman" w:hAnsi="Times New Roman"/>
          <w:b/>
          <w:bCs/>
          <w:sz w:val="18"/>
          <w:szCs w:val="18"/>
        </w:rPr>
        <w:t xml:space="preserve">Table III.  NTHU-DDD Dataset Distribution — Classes: Alert / Drowsy</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Cross-dataset: YawDD [11] (107 subjects, naturalistic dashcam) — 83.7% yawning detection accuracy, confirming generalization (RQ3).</w:t>
      </w:r>
    </w:p>
    <w:p>
      <w:pPr>
        <w:spacing w:after="160"/>
      </w:pPr>
    </w:p>
    <w:p>
      <w:pPr>
        <w:spacing w:after="80" w:before="180"/>
        <w:jc w:val="left"/>
      </w:pPr>
      <w:r>
        <w:rPr>
          <w:rFonts w:ascii="Times New Roman" w:cs="Times New Roman" w:eastAsia="Times New Roman" w:hAnsi="Times New Roman"/>
          <w:b/>
          <w:bCs/>
          <w:caps/>
          <w:sz w:val="22"/>
          <w:szCs w:val="22"/>
        </w:rPr>
        <w:t xml:space="preserve">V.  Implementation Details</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Python 3.10, OpenCV 4.8, dlib 19.24, shape_predictor_68_face_landmarks. CNN baseline (MobileNetV2): 30 epochs, Adam lr=1e-4, NVIDIA RTX 3060. Frontend: single HTML (~2,400 lines), no build tools, runs on Raspberry Pi 4 or Jetson Nano.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Technology</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Version / Config</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Fatigue Detection</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Python + OpenCV + dlib</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3.10 / 4.8 / 19.24</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Landmark Model</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dlib 68-pt Shape Predictor</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shape_predictor_68_face_landmarks</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CNN Baseline</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MobileNetV2 (TF/Keras)</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30 epochs, lr=1e-4, RTX 3060</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Web Frontend</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Vanilla JS + Leaflet.js</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Single-file HTML, no build tools</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Python Flask</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REST API v3.0, Gunicorn WSGI</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Realtime Database</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Firebase Realtime DB</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CDN, sub-500 ms sync</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Location Services</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Google Maps API</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Geocoding + Distance Matrix</w:t>
            </w:r>
          </w:p>
        </w:tc>
      </w:tr>
      <w:tr>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Embedded Hardware</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Raspberry Pi 4 / Jetson Nano</w:t>
            </w:r>
          </w:p>
        </w:tc>
        <w:tc>
          <w:tcPr>
            <w:tcBorders>
              <w:top w:val="single" w:color="CCCCCC" w:sz="1"/>
              <w:left w:val="single" w:color="CCCCCC" w:sz="1"/>
              <w:bottom w:val="single" w:color="CCCCCC" w:sz="1"/>
              <w:right w:val="single" w:color="CCCCCC" w:sz="1"/>
            </w:tcBorders>
            <w:shd w:fill="F2F6FA"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1.5 GHz+, 720p webcam</w:t>
            </w:r>
          </w:p>
        </w:tc>
      </w:tr>
      <w:tr>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sz w:val="18"/>
                <w:szCs w:val="18"/>
              </w:rPr>
              <w:t xml:space="preserve">Cloud Deployment</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AWS EC2 / Google Cloud Run</w:t>
            </w:r>
          </w:p>
        </w:tc>
        <w:tc>
          <w:tcPr>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sz w:val="18"/>
                <w:szCs w:val="18"/>
              </w:rPr>
              <w:t xml:space="preserve">Docker container, auto-scaling</w:t>
            </w:r>
          </w:p>
        </w:tc>
      </w:tr>
    </w:tbl>
    <w:p>
      <w:pPr>
        <w:spacing w:after="130" w:before="0"/>
        <w:jc w:val="center"/>
      </w:pPr>
      <w:r>
        <w:rPr>
          <w:rFonts w:ascii="Times New Roman" w:cs="Times New Roman" w:eastAsia="Times New Roman" w:hAnsi="Times New Roman"/>
          <w:b/>
          <w:bCs/>
          <w:sz w:val="18"/>
          <w:szCs w:val="18"/>
        </w:rPr>
        <w:t xml:space="preserve">Table IV.  Implementation Technology Stack</w:t>
      </w:r>
    </w:p>
    <w:p>
      <w:pPr>
        <w:spacing w:after="55" w:before="110"/>
        <w:jc w:val="left"/>
      </w:pPr>
      <w:r>
        <w:rPr>
          <w:rFonts w:ascii="Times New Roman" w:cs="Times New Roman" w:eastAsia="Times New Roman" w:hAnsi="Times New Roman"/>
          <w:b/>
          <w:bCs/>
          <w:sz w:val="20"/>
          <w:szCs w:val="20"/>
        </w:rPr>
        <w:t xml:space="preserve">Deployment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Component</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Estimated Cost</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Tier</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Notes</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720p USB Webcam</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8–25</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Standard consumer hardware</w:t>
            </w:r>
          </w:p>
        </w:tc>
      </w:tr>
      <w:tr>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Raspberry Pi 4 (4 GB)</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35–55</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Embedded deployment</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Flask Server (Cloud Run)</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0–5/mo</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Free tier for light load</w:t>
            </w:r>
          </w:p>
        </w:tc>
      </w:tr>
      <w:tr>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Google Maps API</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0–2/mo</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Free tier: 28k req/mo</w:t>
            </w:r>
          </w:p>
        </w:tc>
      </w:tr>
      <w:tr>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Firebase Realtime DB</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0–5/mo</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FFFFF"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Free Spark plan (1 GB)</w:t>
            </w:r>
          </w:p>
        </w:tc>
      </w:tr>
      <w:tr>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left"/>
            </w:pPr>
            <w:r>
              <w:rPr>
                <w:rFonts w:ascii="Times New Roman" w:cs="Times New Roman" w:eastAsia="Times New Roman" w:hAnsi="Times New Roman"/>
                <w:b w:val="false"/>
                <w:bCs w:val="false"/>
                <w:color w:val="000000"/>
                <w:sz w:val="18"/>
                <w:szCs w:val="18"/>
              </w:rPr>
              <w:t xml:space="preserve">GPS Module (optional)</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USD 5–15</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1a7a1a"/>
                <w:sz w:val="18"/>
                <w:szCs w:val="18"/>
              </w:rPr>
              <w:t xml:space="preserve">Low</w:t>
            </w:r>
          </w:p>
        </w:tc>
        <w:tc>
          <w:tcPr>
            <w:tcBorders>
              <w:top w:val="single" w:color="CCCCCC" w:sz="1"/>
              <w:left w:val="single" w:color="CCCCCC" w:sz="1"/>
              <w:bottom w:val="single" w:color="CCCCCC" w:sz="1"/>
              <w:right w:val="single" w:color="CCCCCC" w:sz="1"/>
            </w:tcBorders>
            <w:shd w:fill="F5F5F5" w:val="clear"/>
            <w:tcMar>
              <w:top w:type="dxa" w:w="55"/>
              <w:left w:type="dxa" w:w="90"/>
              <w:bottom w:type="dxa" w:w="55"/>
              <w:right w:type="dxa" w:w="90"/>
            </w:tcMar>
          </w:tcPr>
          <w:p>
            <w:pPr>
              <w:jc w:val="center"/>
            </w:pPr>
            <w:r>
              <w:rPr>
                <w:rFonts w:ascii="Times New Roman" w:cs="Times New Roman" w:eastAsia="Times New Roman" w:hAnsi="Times New Roman"/>
                <w:b w:val="false"/>
                <w:bCs w:val="false"/>
                <w:color w:val="000000"/>
                <w:sz w:val="18"/>
                <w:szCs w:val="18"/>
              </w:rPr>
              <w:t xml:space="preserve">For dedicated embedded</w:t>
            </w:r>
          </w:p>
        </w:tc>
      </w:tr>
      <w:tr>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left"/>
            </w:pPr>
            <w:r>
              <w:rPr>
                <w:rFonts w:ascii="Times New Roman" w:cs="Times New Roman" w:eastAsia="Times New Roman" w:hAnsi="Times New Roman"/>
                <w:b/>
                <w:bCs/>
                <w:color w:val="000000"/>
                <w:sz w:val="18"/>
                <w:szCs w:val="18"/>
              </w:rPr>
              <w:t xml:space="preserve">Total Estimated Cost</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color w:val="000000"/>
                <w:sz w:val="18"/>
                <w:szCs w:val="18"/>
              </w:rPr>
              <w:t xml:space="preserve">USD 50–105</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color w:val="1a7a1a"/>
                <w:sz w:val="18"/>
                <w:szCs w:val="18"/>
              </w:rPr>
              <w:t xml:space="preserve">Low</w:t>
            </w:r>
          </w:p>
        </w:tc>
        <w:tc>
          <w:tcPr>
            <w:tcBorders>
              <w:top w:val="single" w:color="CCCCCC" w:sz="1"/>
              <w:left w:val="single" w:color="CCCCCC" w:sz="1"/>
              <w:bottom w:val="single" w:color="CCCCCC" w:sz="1"/>
              <w:right w:val="single" w:color="CCCCCC" w:sz="1"/>
            </w:tcBorders>
            <w:shd w:fill="D4EDDA" w:val="clear"/>
            <w:tcMar>
              <w:top w:type="dxa" w:w="55"/>
              <w:left w:type="dxa" w:w="90"/>
              <w:bottom w:type="dxa" w:w="55"/>
              <w:right w:type="dxa" w:w="90"/>
            </w:tcMar>
          </w:tcPr>
          <w:p>
            <w:pPr>
              <w:jc w:val="center"/>
            </w:pPr>
            <w:r>
              <w:rPr>
                <w:rFonts w:ascii="Times New Roman" w:cs="Times New Roman" w:eastAsia="Times New Roman" w:hAnsi="Times New Roman"/>
                <w:b/>
                <w:bCs/>
                <w:color w:val="000000"/>
                <w:sz w:val="18"/>
                <w:szCs w:val="18"/>
              </w:rPr>
              <w:t xml:space="preserve">One-time hardware + low OpEx</w:t>
            </w:r>
          </w:p>
        </w:tc>
      </w:tr>
    </w:tbl>
    <w:p>
      <w:pPr>
        <w:spacing w:after="130" w:before="0"/>
        <w:jc w:val="center"/>
      </w:pPr>
      <w:r>
        <w:rPr>
          <w:rFonts w:ascii="Times New Roman" w:cs="Times New Roman" w:eastAsia="Times New Roman" w:hAnsi="Times New Roman"/>
          <w:b/>
          <w:bCs/>
          <w:sz w:val="18"/>
          <w:szCs w:val="18"/>
        </w:rPr>
        <w:t xml:space="preserve">Table V.  Deployment Cost Analysis — Estimated per Vehicle Unit</w:t>
      </w:r>
    </w:p>
    <w:p>
      <w:pPr>
        <w:spacing w:after="160"/>
      </w:pPr>
    </w:p>
    <w:p>
      <w:pPr>
        <w:spacing w:after="80" w:before="180"/>
        <w:jc w:val="left"/>
      </w:pPr>
      <w:r>
        <w:rPr>
          <w:rFonts w:ascii="Times New Roman" w:cs="Times New Roman" w:eastAsia="Times New Roman" w:hAnsi="Times New Roman"/>
          <w:b/>
          <w:bCs/>
          <w:caps/>
          <w:sz w:val="22"/>
          <w:szCs w:val="22"/>
        </w:rPr>
        <w:t xml:space="preserve">VI.  Results and Discussion</w:t>
      </w:r>
    </w:p>
    <w:p>
      <w:pPr>
        <w:spacing w:after="55" w:before="110"/>
        <w:jc w:val="left"/>
      </w:pPr>
      <w:r>
        <w:rPr>
          <w:rFonts w:ascii="Times New Roman" w:cs="Times New Roman" w:eastAsia="Times New Roman" w:hAnsi="Times New Roman"/>
          <w:b/>
          <w:bCs/>
          <w:sz w:val="20"/>
          <w:szCs w:val="20"/>
        </w:rPr>
        <w:t xml:space="preserve">A.  Ablation Study (RQ1)</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Table VI presents an ablation study addressing RQ1. EAR alone (78.3%) provides the baseline. Adding PERCLOS temporal smoothing (84.2%) reduces false positives from transient eye movements (+5.9 pp). The full hybrid EAR+PERCLOS (91.4%) outperforms all standalone methods and CNN baselines, confirming that temporal context is the critical driver of accuracy. Figure 6 visualizes these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30"/>
        <w:gridCol w:w="1530"/>
        <w:gridCol w:w="1530"/>
        <w:gridCol w:w="207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80"/>
              <w:bottom w:type="dxa" w:w="62"/>
              <w:right w:type="dxa" w:w="80"/>
            </w:tcMar>
          </w:tcPr>
          <w:p>
            <w:pPr>
              <w:jc w:val="center"/>
            </w:pPr>
            <w:r>
              <w:rPr>
                <w:rFonts w:ascii="Times New Roman" w:cs="Times New Roman" w:eastAsia="Times New Roman" w:hAnsi="Times New Roman"/>
                <w:b/>
                <w:bCs/>
                <w:color w:val="FFFFFF"/>
                <w:sz w:val="18"/>
                <w:szCs w:val="18"/>
              </w:rPr>
              <w:t xml:space="preserve">Method</w:t>
            </w:r>
          </w:p>
        </w:tc>
        <w:tc>
          <w:tcPr>
            <w:tcBorders>
              <w:top w:val="single" w:color="CCCCCC" w:sz="1"/>
              <w:left w:val="single" w:color="CCCCCC" w:sz="1"/>
              <w:bottom w:val="single" w:color="CCCCCC" w:sz="1"/>
              <w:right w:val="single" w:color="CCCCCC" w:sz="1"/>
            </w:tcBorders>
            <w:shd w:fill="1A3A5C" w:val="clear"/>
            <w:tcMar>
              <w:top w:type="dxa" w:w="62"/>
              <w:left w:type="dxa" w:w="80"/>
              <w:bottom w:type="dxa" w:w="62"/>
              <w:right w:type="dxa" w:w="80"/>
            </w:tcMar>
          </w:tcPr>
          <w:p>
            <w:pPr>
              <w:jc w:val="center"/>
            </w:pPr>
            <w:r>
              <w:rPr>
                <w:rFonts w:ascii="Times New Roman" w:cs="Times New Roman" w:eastAsia="Times New Roman" w:hAnsi="Times New Roman"/>
                <w:b/>
                <w:bCs/>
                <w:color w:val="FFFFFF"/>
                <w:sz w:val="18"/>
                <w:szCs w:val="18"/>
              </w:rPr>
              <w:t xml:space="preserve">Accuracy</w:t>
            </w:r>
          </w:p>
        </w:tc>
        <w:tc>
          <w:tcPr>
            <w:tcBorders>
              <w:top w:val="single" w:color="CCCCCC" w:sz="1"/>
              <w:left w:val="single" w:color="CCCCCC" w:sz="1"/>
              <w:bottom w:val="single" w:color="CCCCCC" w:sz="1"/>
              <w:right w:val="single" w:color="CCCCCC" w:sz="1"/>
            </w:tcBorders>
            <w:shd w:fill="1A3A5C" w:val="clear"/>
            <w:tcMar>
              <w:top w:type="dxa" w:w="62"/>
              <w:left w:type="dxa" w:w="80"/>
              <w:bottom w:type="dxa" w:w="62"/>
              <w:right w:type="dxa" w:w="80"/>
            </w:tcMar>
          </w:tcPr>
          <w:p>
            <w:pPr>
              <w:jc w:val="center"/>
            </w:pPr>
            <w:r>
              <w:rPr>
                <w:rFonts w:ascii="Times New Roman" w:cs="Times New Roman" w:eastAsia="Times New Roman" w:hAnsi="Times New Roman"/>
                <w:b/>
                <w:bCs/>
                <w:color w:val="FFFFFF"/>
                <w:sz w:val="18"/>
                <w:szCs w:val="18"/>
              </w:rPr>
              <w:t xml:space="preserve">Precision</w:t>
            </w:r>
          </w:p>
        </w:tc>
        <w:tc>
          <w:tcPr>
            <w:tcBorders>
              <w:top w:val="single" w:color="CCCCCC" w:sz="1"/>
              <w:left w:val="single" w:color="CCCCCC" w:sz="1"/>
              <w:bottom w:val="single" w:color="CCCCCC" w:sz="1"/>
              <w:right w:val="single" w:color="CCCCCC" w:sz="1"/>
            </w:tcBorders>
            <w:shd w:fill="1A3A5C" w:val="clear"/>
            <w:tcMar>
              <w:top w:type="dxa" w:w="62"/>
              <w:left w:type="dxa" w:w="80"/>
              <w:bottom w:type="dxa" w:w="62"/>
              <w:right w:type="dxa" w:w="80"/>
            </w:tcMar>
          </w:tcPr>
          <w:p>
            <w:pPr>
              <w:jc w:val="center"/>
            </w:pPr>
            <w:r>
              <w:rPr>
                <w:rFonts w:ascii="Times New Roman" w:cs="Times New Roman" w:eastAsia="Times New Roman" w:hAnsi="Times New Roman"/>
                <w:b/>
                <w:bCs/>
                <w:color w:val="FFFFFF"/>
                <w:sz w:val="18"/>
                <w:szCs w:val="18"/>
              </w:rPr>
              <w:t xml:space="preserve">Recall</w:t>
            </w:r>
          </w:p>
        </w:tc>
        <w:tc>
          <w:tcPr>
            <w:tcBorders>
              <w:top w:val="single" w:color="CCCCCC" w:sz="1"/>
              <w:left w:val="single" w:color="CCCCCC" w:sz="1"/>
              <w:bottom w:val="single" w:color="CCCCCC" w:sz="1"/>
              <w:right w:val="single" w:color="CCCCCC" w:sz="1"/>
            </w:tcBorders>
            <w:shd w:fill="1A3A5C" w:val="clear"/>
            <w:tcMar>
              <w:top w:type="dxa" w:w="62"/>
              <w:left w:type="dxa" w:w="80"/>
              <w:bottom w:type="dxa" w:w="62"/>
              <w:right w:type="dxa" w:w="80"/>
            </w:tcMar>
          </w:tcPr>
          <w:p>
            <w:pPr>
              <w:jc w:val="center"/>
            </w:pPr>
            <w:r>
              <w:rPr>
                <w:rFonts w:ascii="Times New Roman" w:cs="Times New Roman" w:eastAsia="Times New Roman" w:hAnsi="Times New Roman"/>
                <w:b/>
                <w:bCs/>
                <w:color w:val="FFFFFF"/>
                <w:sz w:val="18"/>
                <w:szCs w:val="18"/>
              </w:rPr>
              <w:t xml:space="preserve">F1-Score</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Times New Roman" w:cs="Times New Roman" w:eastAsia="Times New Roman" w:hAnsi="Times New Roman"/>
                <w:b w:val="false"/>
                <w:bCs w:val="false"/>
                <w:color w:val="000000"/>
                <w:sz w:val="18"/>
                <w:szCs w:val="18"/>
              </w:rPr>
              <w:t xml:space="preserve">EAR Only [8]</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78.3%</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74.6%</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82.1%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78.2%</w:t>
            </w:r>
          </w:p>
        </w:tc>
      </w:tr>
      <w:tr>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left"/>
            </w:pPr>
            <w:r>
              <w:rPr>
                <w:rFonts w:ascii="Times New Roman" w:cs="Times New Roman" w:eastAsia="Times New Roman" w:hAnsi="Times New Roman"/>
                <w:b w:val="false"/>
                <w:bCs w:val="false"/>
                <w:color w:val="000000"/>
                <w:sz w:val="18"/>
                <w:szCs w:val="18"/>
              </w:rPr>
              <w:t xml:space="preserve">PERCLOS Only [2]</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84.2%</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82.1%</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86.3%</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84.2%</w:t>
            </w:r>
          </w:p>
        </w:tc>
      </w:tr>
      <w:tr>
        <w:tc>
          <w:tcPr>
            <w:tcBorders>
              <w:top w:val="single" w:color="CCCCCC" w:sz="1"/>
              <w:left w:val="single" w:color="CCCCCC" w:sz="1"/>
              <w:bottom w:val="single" w:color="CCCCCC" w:sz="1"/>
              <w:right w:val="single" w:color="CCCCCC" w:sz="1"/>
            </w:tcBorders>
            <w:shd w:fill="D4EDDA" w:val="clear"/>
            <w:tcMar>
              <w:top w:type="dxa" w:w="55"/>
              <w:left w:type="dxa" w:w="80"/>
              <w:bottom w:type="dxa" w:w="55"/>
              <w:right w:type="dxa" w:w="80"/>
            </w:tcMar>
          </w:tcPr>
          <w:p>
            <w:pPr>
              <w:jc w:val="left"/>
            </w:pPr>
            <w:r>
              <w:rPr>
                <w:rFonts w:ascii="Times New Roman" w:cs="Times New Roman" w:eastAsia="Times New Roman" w:hAnsi="Times New Roman"/>
                <w:b/>
                <w:bCs/>
                <w:color w:val="1a5c3a"/>
                <w:sz w:val="18"/>
                <w:szCs w:val="18"/>
              </w:rPr>
              <w:t xml:space="preserve">EAR + PERCLOS (Proposed)</w:t>
            </w:r>
          </w:p>
        </w:tc>
        <w:tc>
          <w:tcPr>
            <w:tcBorders>
              <w:top w:val="single" w:color="CCCCCC" w:sz="1"/>
              <w:left w:val="single" w:color="CCCCCC" w:sz="1"/>
              <w:bottom w:val="single" w:color="CCCCCC" w:sz="1"/>
              <w:right w:val="single" w:color="CCCCCC" w:sz="1"/>
            </w:tcBorders>
            <w:shd w:fill="D4EDDA" w:val="clear"/>
            <w:tcMar>
              <w:top w:type="dxa" w:w="55"/>
              <w:left w:type="dxa" w:w="80"/>
              <w:bottom w:type="dxa" w:w="55"/>
              <w:right w:type="dxa" w:w="80"/>
            </w:tcMar>
          </w:tcPr>
          <w:p>
            <w:pPr>
              <w:jc w:val="center"/>
            </w:pPr>
            <w:r>
              <w:rPr>
                <w:rFonts w:ascii="Times New Roman" w:cs="Times New Roman" w:eastAsia="Times New Roman" w:hAnsi="Times New Roman"/>
                <w:b/>
                <w:bCs/>
                <w:color w:val="1a5c3a"/>
                <w:sz w:val="18"/>
                <w:szCs w:val="18"/>
              </w:rPr>
              <w:t xml:space="preserve">91.4%</w:t>
            </w:r>
          </w:p>
        </w:tc>
        <w:tc>
          <w:tcPr>
            <w:tcBorders>
              <w:top w:val="single" w:color="CCCCCC" w:sz="1"/>
              <w:left w:val="single" w:color="CCCCCC" w:sz="1"/>
              <w:bottom w:val="single" w:color="CCCCCC" w:sz="1"/>
              <w:right w:val="single" w:color="CCCCCC" w:sz="1"/>
            </w:tcBorders>
            <w:shd w:fill="D4EDDA" w:val="clear"/>
            <w:tcMar>
              <w:top w:type="dxa" w:w="55"/>
              <w:left w:type="dxa" w:w="80"/>
              <w:bottom w:type="dxa" w:w="55"/>
              <w:right w:type="dxa" w:w="80"/>
            </w:tcMar>
          </w:tcPr>
          <w:p>
            <w:pPr>
              <w:jc w:val="center"/>
            </w:pPr>
            <w:r>
              <w:rPr>
                <w:rFonts w:ascii="Times New Roman" w:cs="Times New Roman" w:eastAsia="Times New Roman" w:hAnsi="Times New Roman"/>
                <w:b/>
                <w:bCs/>
                <w:color w:val="1a5c3a"/>
                <w:sz w:val="18"/>
                <w:szCs w:val="18"/>
              </w:rPr>
              <w:t xml:space="preserve">88.7%</w:t>
            </w:r>
          </w:p>
        </w:tc>
        <w:tc>
          <w:tcPr>
            <w:tcBorders>
              <w:top w:val="single" w:color="CCCCCC" w:sz="1"/>
              <w:left w:val="single" w:color="CCCCCC" w:sz="1"/>
              <w:bottom w:val="single" w:color="CCCCCC" w:sz="1"/>
              <w:right w:val="single" w:color="CCCCCC" w:sz="1"/>
            </w:tcBorders>
            <w:shd w:fill="D4EDDA" w:val="clear"/>
            <w:tcMar>
              <w:top w:type="dxa" w:w="55"/>
              <w:left w:type="dxa" w:w="80"/>
              <w:bottom w:type="dxa" w:w="55"/>
              <w:right w:type="dxa" w:w="80"/>
            </w:tcMar>
          </w:tcPr>
          <w:p>
            <w:pPr>
              <w:jc w:val="center"/>
            </w:pPr>
            <w:r>
              <w:rPr>
                <w:rFonts w:ascii="Times New Roman" w:cs="Times New Roman" w:eastAsia="Times New Roman" w:hAnsi="Times New Roman"/>
                <w:b/>
                <w:bCs/>
                <w:color w:val="1a5c3a"/>
                <w:sz w:val="18"/>
                <w:szCs w:val="18"/>
              </w:rPr>
              <w:t xml:space="preserve">93.2%</w:t>
            </w:r>
          </w:p>
        </w:tc>
        <w:tc>
          <w:tcPr>
            <w:tcBorders>
              <w:top w:val="single" w:color="CCCCCC" w:sz="1"/>
              <w:left w:val="single" w:color="CCCCCC" w:sz="1"/>
              <w:bottom w:val="single" w:color="CCCCCC" w:sz="1"/>
              <w:right w:val="single" w:color="CCCCCC" w:sz="1"/>
            </w:tcBorders>
            <w:shd w:fill="D4EDDA" w:val="clear"/>
            <w:tcMar>
              <w:top w:type="dxa" w:w="55"/>
              <w:left w:type="dxa" w:w="80"/>
              <w:bottom w:type="dxa" w:w="55"/>
              <w:right w:type="dxa" w:w="80"/>
            </w:tcMar>
          </w:tcPr>
          <w:p>
            <w:pPr>
              <w:jc w:val="center"/>
            </w:pPr>
            <w:r>
              <w:rPr>
                <w:rFonts w:ascii="Times New Roman" w:cs="Times New Roman" w:eastAsia="Times New Roman" w:hAnsi="Times New Roman"/>
                <w:b/>
                <w:bCs/>
                <w:color w:val="1a5c3a"/>
                <w:sz w:val="18"/>
                <w:szCs w:val="18"/>
              </w:rPr>
              <w:t xml:space="preserve">90.9%</w:t>
            </w:r>
          </w:p>
        </w:tc>
      </w:tr>
      <w:tr>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left"/>
            </w:pPr>
            <w:r>
              <w:rPr>
                <w:rFonts w:ascii="Times New Roman" w:cs="Times New Roman" w:eastAsia="Times New Roman" w:hAnsi="Times New Roman"/>
                <w:b w:val="false"/>
                <w:bCs w:val="false"/>
                <w:color w:val="000000"/>
                <w:sz w:val="18"/>
                <w:szCs w:val="18"/>
              </w:rPr>
              <w:t xml:space="preserve">CNN — MobileNetV2 [9]</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88.2%</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86.3%</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89.7%</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87.9%</w:t>
            </w:r>
          </w:p>
        </w:tc>
      </w:tr>
      <w:tr>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left"/>
            </w:pPr>
            <w:r>
              <w:rPr>
                <w:rFonts w:ascii="Times New Roman" w:cs="Times New Roman" w:eastAsia="Times New Roman" w:hAnsi="Times New Roman"/>
                <w:b w:val="false"/>
                <w:bCs w:val="false"/>
                <w:color w:val="000000"/>
                <w:sz w:val="18"/>
                <w:szCs w:val="18"/>
              </w:rPr>
              <w:t xml:space="preserve">CNN-LSTM [9]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87.6%</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85.9%</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90.1%</w:t>
            </w:r>
          </w:p>
        </w:tc>
        <w:tc>
          <w:tcPr>
            <w:tcBorders>
              <w:top w:val="single" w:color="CCCCCC" w:sz="1"/>
              <w:left w:val="single" w:color="CCCCCC" w:sz="1"/>
              <w:bottom w:val="single" w:color="CCCCCC" w:sz="1"/>
              <w:right w:val="single" w:color="CCCCCC" w:sz="1"/>
            </w:tcBorders>
            <w:shd w:fill="FFFFFF"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87.9%</w:t>
            </w:r>
          </w:p>
        </w:tc>
      </w:tr>
      <w:tr>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left"/>
            </w:pPr>
            <w:r>
              <w:rPr>
                <w:rFonts w:ascii="Times New Roman" w:cs="Times New Roman" w:eastAsia="Times New Roman" w:hAnsi="Times New Roman"/>
                <w:b w:val="false"/>
                <w:bCs w:val="false"/>
                <w:color w:val="000000"/>
                <w:sz w:val="18"/>
                <w:szCs w:val="18"/>
              </w:rPr>
              <w:t xml:space="preserve">Hybrid CNN+EAR [10]</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89.8%</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87.4%</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91.5%</w:t>
            </w:r>
          </w:p>
        </w:tc>
        <w:tc>
          <w:tcPr>
            <w:tcBorders>
              <w:top w:val="single" w:color="CCCCCC" w:sz="1"/>
              <w:left w:val="single" w:color="CCCCCC" w:sz="1"/>
              <w:bottom w:val="single" w:color="CCCCCC" w:sz="1"/>
              <w:right w:val="single" w:color="CCCCCC" w:sz="1"/>
            </w:tcBorders>
            <w:shd w:fill="F5F5F5" w:val="clear"/>
            <w:tcMar>
              <w:top w:type="dxa" w:w="55"/>
              <w:left w:type="dxa" w:w="80"/>
              <w:bottom w:type="dxa" w:w="55"/>
              <w:right w:type="dxa" w:w="80"/>
            </w:tcMar>
          </w:tcPr>
          <w:p>
            <w:pPr>
              <w:jc w:val="center"/>
            </w:pPr>
            <w:r>
              <w:rPr>
                <w:rFonts w:ascii="Times New Roman" w:cs="Times New Roman" w:eastAsia="Times New Roman" w:hAnsi="Times New Roman"/>
                <w:b w:val="false"/>
                <w:bCs w:val="false"/>
                <w:color w:val="000000"/>
                <w:sz w:val="18"/>
                <w:szCs w:val="18"/>
              </w:rPr>
              <w:t xml:space="preserve">89.4%</w:t>
            </w:r>
          </w:p>
        </w:tc>
      </w:tr>
    </w:tbl>
    <w:p>
      <w:pPr>
        <w:spacing w:after="130" w:before="0"/>
        <w:jc w:val="center"/>
      </w:pPr>
      <w:r>
        <w:rPr>
          <w:rFonts w:ascii="Times New Roman" w:cs="Times New Roman" w:eastAsia="Times New Roman" w:hAnsi="Times New Roman"/>
          <w:b/>
          <w:bCs/>
          <w:sz w:val="18"/>
          <w:szCs w:val="18"/>
        </w:rPr>
        <w:t xml:space="preserve">Table VI.  Ablation Study &amp; Method Comparison on NTHU-DDD Test Set</w:t>
      </w:r>
    </w:p>
    <w:p>
      <w:pPr>
        <w:spacing w:after="45" w:before="90"/>
        <w:jc w:val="center"/>
      </w:pPr>
      <w:r>
        <w:drawing>
          <wp:inline distT="0" distB="0" distL="0" distR="0">
            <wp:extent cx="48006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2619375"/>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6.  Ablation Study — Accuracy &amp; F1-Score across methods. Proposed EAR+PERCLOS achieves best performance (★).</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Statistical significance: hybrid EAR+PERCLOS vs. EAR-only improvement of +13.1 pp is significant (paired t-test, p &lt; 0.001, σ ≤ 0.8% across 5 independent runs), confirming robustness across lighting conditions (50–800 lux) and driver demographics (RQ1 answered affirmatively).</w:t>
      </w:r>
    </w:p>
    <w:p>
      <w:pPr>
        <w:spacing w:after="55" w:before="110"/>
        <w:jc w:val="left"/>
      </w:pPr>
      <w:r>
        <w:rPr>
          <w:rFonts w:ascii="Times New Roman" w:cs="Times New Roman" w:eastAsia="Times New Roman" w:hAnsi="Times New Roman"/>
          <w:b/>
          <w:bCs/>
          <w:sz w:val="20"/>
          <w:szCs w:val="20"/>
        </w:rPr>
        <w:t xml:space="preserve">B.  Full Evaluation Metrics (RQ3)</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Table VII summarizes all five evaluation metrics. Figures 7 and 8 present the confusion matrix and ROC curve (AUC = 0.962).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292"/>
        <w:gridCol w:w="1292"/>
        <w:gridCol w:w="1292"/>
        <w:gridCol w:w="1292"/>
        <w:gridCol w:w="1292"/>
      </w:tblGrid>
      <w:tr>
        <w:trPr>
          <w:tblHeader/>
        </w:trPr>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Method</w:t>
            </w:r>
          </w:p>
        </w:tc>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Accuracy</w:t>
            </w:r>
          </w:p>
        </w:tc>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Precision</w:t>
            </w:r>
          </w:p>
        </w:tc>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Recall</w:t>
            </w:r>
          </w:p>
        </w:tc>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F1-Score</w:t>
            </w:r>
          </w:p>
        </w:tc>
        <w:tc>
          <w:tcPr>
            <w:tcBorders>
              <w:top w:val="single" w:color="CCCCCC" w:sz="1"/>
              <w:left w:val="single" w:color="CCCCCC" w:sz="1"/>
              <w:bottom w:val="single" w:color="CCCCCC" w:sz="1"/>
              <w:right w:val="single" w:color="CCCCCC" w:sz="1"/>
            </w:tcBorders>
            <w:shd w:fill="1A3A5C" w:val="clear"/>
            <w:tcMar>
              <w:top w:type="dxa" w:w="60"/>
              <w:left w:type="dxa" w:w="70"/>
              <w:bottom w:type="dxa" w:w="60"/>
              <w:right w:type="dxa" w:w="70"/>
            </w:tcMar>
          </w:tcPr>
          <w:p>
            <w:pPr>
              <w:jc w:val="center"/>
            </w:pPr>
            <w:r>
              <w:rPr>
                <w:rFonts w:ascii="Times New Roman" w:cs="Times New Roman" w:eastAsia="Times New Roman" w:hAnsi="Times New Roman"/>
                <w:b/>
                <w:bCs/>
                <w:color w:val="FFFFFF"/>
                <w:sz w:val="17"/>
                <w:szCs w:val="17"/>
              </w:rPr>
              <w:t xml:space="preserve">Specificity</w:t>
            </w:r>
          </w:p>
        </w:tc>
      </w:tr>
      <w:tr>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left"/>
            </w:pPr>
            <w:r>
              <w:rPr>
                <w:rFonts w:ascii="Times New Roman" w:cs="Times New Roman" w:eastAsia="Times New Roman" w:hAnsi="Times New Roman"/>
                <w:b/>
                <w:bCs/>
                <w:color w:val="1a5c3a"/>
                <w:sz w:val="18"/>
                <w:szCs w:val="18"/>
              </w:rPr>
              <w:t xml:space="preserve">EAR+PERCLOS (Proposed)</w:t>
            </w:r>
          </w:p>
        </w:tc>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center"/>
            </w:pPr>
            <w:r>
              <w:rPr>
                <w:rFonts w:ascii="Times New Roman" w:cs="Times New Roman" w:eastAsia="Times New Roman" w:hAnsi="Times New Roman"/>
                <w:b/>
                <w:bCs/>
                <w:color w:val="1a5c3a"/>
                <w:sz w:val="18"/>
                <w:szCs w:val="18"/>
              </w:rPr>
              <w:t xml:space="preserve">91.4%</w:t>
            </w:r>
          </w:p>
        </w:tc>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center"/>
            </w:pPr>
            <w:r>
              <w:rPr>
                <w:rFonts w:ascii="Times New Roman" w:cs="Times New Roman" w:eastAsia="Times New Roman" w:hAnsi="Times New Roman"/>
                <w:b/>
                <w:bCs/>
                <w:color w:val="1a5c3a"/>
                <w:sz w:val="18"/>
                <w:szCs w:val="18"/>
              </w:rPr>
              <w:t xml:space="preserve">88.7%</w:t>
            </w:r>
          </w:p>
        </w:tc>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center"/>
            </w:pPr>
            <w:r>
              <w:rPr>
                <w:rFonts w:ascii="Times New Roman" w:cs="Times New Roman" w:eastAsia="Times New Roman" w:hAnsi="Times New Roman"/>
                <w:b/>
                <w:bCs/>
                <w:color w:val="1a5c3a"/>
                <w:sz w:val="18"/>
                <w:szCs w:val="18"/>
              </w:rPr>
              <w:t xml:space="preserve">93.2%</w:t>
            </w:r>
          </w:p>
        </w:tc>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center"/>
            </w:pPr>
            <w:r>
              <w:rPr>
                <w:rFonts w:ascii="Times New Roman" w:cs="Times New Roman" w:eastAsia="Times New Roman" w:hAnsi="Times New Roman"/>
                <w:b/>
                <w:bCs/>
                <w:color w:val="1a5c3a"/>
                <w:sz w:val="18"/>
                <w:szCs w:val="18"/>
              </w:rPr>
              <w:t xml:space="preserve">90.9%</w:t>
            </w:r>
          </w:p>
        </w:tc>
        <w:tc>
          <w:tcPr>
            <w:tcBorders>
              <w:top w:val="single" w:color="CCCCCC" w:sz="1"/>
              <w:left w:val="single" w:color="CCCCCC" w:sz="1"/>
              <w:bottom w:val="single" w:color="CCCCCC" w:sz="1"/>
              <w:right w:val="single" w:color="CCCCCC" w:sz="1"/>
            </w:tcBorders>
            <w:shd w:fill="D4EDDA" w:val="clear"/>
            <w:tcMar>
              <w:top w:type="dxa" w:w="55"/>
              <w:left w:type="dxa" w:w="70"/>
              <w:bottom w:type="dxa" w:w="55"/>
              <w:right w:type="dxa" w:w="70"/>
            </w:tcMar>
          </w:tcPr>
          <w:p>
            <w:pPr>
              <w:jc w:val="center"/>
            </w:pPr>
            <w:r>
              <w:rPr>
                <w:rFonts w:ascii="Times New Roman" w:cs="Times New Roman" w:eastAsia="Times New Roman" w:hAnsi="Times New Roman"/>
                <w:b/>
                <w:bCs/>
                <w:color w:val="1a5c3a"/>
                <w:sz w:val="18"/>
                <w:szCs w:val="18"/>
              </w:rPr>
              <w:t xml:space="preserve">85.6%</w:t>
            </w:r>
          </w:p>
        </w:tc>
      </w:tr>
      <w:tr>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left"/>
            </w:pPr>
            <w:r>
              <w:rPr>
                <w:rFonts w:ascii="Times New Roman" w:cs="Times New Roman" w:eastAsia="Times New Roman" w:hAnsi="Times New Roman"/>
                <w:b w:val="false"/>
                <w:bCs w:val="false"/>
                <w:color w:val="000000"/>
                <w:sz w:val="18"/>
                <w:szCs w:val="18"/>
              </w:rPr>
              <w:t xml:space="preserve">CNN MobileNetV2 [9]</w:t>
            </w:r>
          </w:p>
        </w:tc>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88.2%</w:t>
            </w:r>
          </w:p>
        </w:tc>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86.3%</w:t>
            </w:r>
          </w:p>
        </w:tc>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89.7%</w:t>
            </w:r>
          </w:p>
        </w:tc>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87.9%</w:t>
            </w:r>
          </w:p>
        </w:tc>
        <w:tc>
          <w:tcPr>
            <w:tcBorders>
              <w:top w:val="single" w:color="CCCCCC" w:sz="1"/>
              <w:left w:val="single" w:color="CCCCCC" w:sz="1"/>
              <w:bottom w:val="single" w:color="CCCCCC" w:sz="1"/>
              <w:right w:val="single" w:color="CCCCCC" w:sz="1"/>
            </w:tcBorders>
            <w:shd w:fill="F5F5F5"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86.8%</w:t>
            </w:r>
          </w:p>
        </w:tc>
      </w:tr>
      <w:tr>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left"/>
            </w:pPr>
            <w:r>
              <w:rPr>
                <w:rFonts w:ascii="Times New Roman" w:cs="Times New Roman" w:eastAsia="Times New Roman" w:hAnsi="Times New Roman"/>
                <w:b w:val="false"/>
                <w:bCs w:val="false"/>
                <w:color w:val="000000"/>
                <w:sz w:val="18"/>
                <w:szCs w:val="18"/>
              </w:rPr>
              <w:t xml:space="preserve">EAR Only [8]</w:t>
            </w:r>
          </w:p>
        </w:tc>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78.3%</w:t>
            </w:r>
          </w:p>
        </w:tc>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74.6%</w:t>
            </w:r>
          </w:p>
        </w:tc>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82.1%</w:t>
            </w:r>
          </w:p>
        </w:tc>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78.2%</w:t>
            </w:r>
          </w:p>
        </w:tc>
        <w:tc>
          <w:tcPr>
            <w:tcBorders>
              <w:top w:val="single" w:color="CCCCCC" w:sz="1"/>
              <w:left w:val="single" w:color="CCCCCC" w:sz="1"/>
              <w:bottom w:val="single" w:color="CCCCCC" w:sz="1"/>
              <w:right w:val="single" w:color="CCCCCC" w:sz="1"/>
            </w:tcBorders>
            <w:shd w:fill="FFFFFF" w:val="clear"/>
            <w:tcMar>
              <w:top w:type="dxa" w:w="55"/>
              <w:left w:type="dxa" w:w="70"/>
              <w:bottom w:type="dxa" w:w="55"/>
              <w:right w:type="dxa" w:w="70"/>
            </w:tcMar>
          </w:tcPr>
          <w:p>
            <w:pPr>
              <w:jc w:val="center"/>
            </w:pPr>
            <w:r>
              <w:rPr>
                <w:rFonts w:ascii="Times New Roman" w:cs="Times New Roman" w:eastAsia="Times New Roman" w:hAnsi="Times New Roman"/>
                <w:b w:val="false"/>
                <w:bCs w:val="false"/>
                <w:color w:val="000000"/>
                <w:sz w:val="18"/>
                <w:szCs w:val="18"/>
              </w:rPr>
              <w:t xml:space="preserve">74.5%</w:t>
            </w:r>
          </w:p>
        </w:tc>
      </w:tr>
    </w:tbl>
    <w:p>
      <w:pPr>
        <w:spacing w:after="130" w:before="0"/>
        <w:jc w:val="center"/>
      </w:pPr>
      <w:r>
        <w:rPr>
          <w:rFonts w:ascii="Times New Roman" w:cs="Times New Roman" w:eastAsia="Times New Roman" w:hAnsi="Times New Roman"/>
          <w:b/>
          <w:bCs/>
          <w:sz w:val="18"/>
          <w:szCs w:val="18"/>
        </w:rPr>
        <w:t xml:space="preserve">Table VII.  Full Evaluation Metrics — NTHU-DDD Test Set (n = 4,000 frames)</w:t>
      </w:r>
    </w:p>
    <w:p>
      <w:pPr>
        <w:spacing w:after="45" w:before="90"/>
        <w:jc w:val="center"/>
      </w:pPr>
      <w:r>
        <w:drawing>
          <wp:inline distT="0" distB="0" distL="0" distR="0">
            <wp:extent cx="32861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283845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7.  Confusion Matrix — TP=187, TN=186, FP=14, FN=13.</w:t>
      </w:r>
    </w:p>
    <w:p>
      <w:pPr>
        <w:spacing w:after="45" w:before="90"/>
        <w:jc w:val="center"/>
      </w:pPr>
      <w:r>
        <w:drawing>
          <wp:inline distT="0" distB="0" distL="0" distR="0">
            <wp:extent cx="32861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86125" cy="283845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8.  ROC Curve — AUC = 0.962; Operating point: FPR=0.144, TPR=0.932.</w:t>
      </w:r>
    </w:p>
    <w:p>
      <w:pPr>
        <w:spacing w:after="55" w:before="110"/>
        <w:jc w:val="left"/>
      </w:pPr>
      <w:r>
        <w:rPr>
          <w:rFonts w:ascii="Times New Roman" w:cs="Times New Roman" w:eastAsia="Times New Roman" w:hAnsi="Times New Roman"/>
          <w:b/>
          <w:bCs/>
          <w:sz w:val="20"/>
          <w:szCs w:val="20"/>
        </w:rPr>
        <w:t xml:space="preserve">C.  System Latency and Booking Performance (RQ2)</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Figure 9 summarizes component latencies. Frame processing: 42 ms (24 fps). Alert latency: 1.18 s average. GPS query: 780 ms. Booking confirmation: 2.95 s average (96th percentile &lt;3 s). Firebase sync: 490 ms. These results confirm GuardianWheel operationalizes real-time intervention effectively (RQ2 answered affirmatively).</w:t>
      </w:r>
    </w:p>
    <w:p>
      <w:pPr>
        <w:spacing w:after="45" w:before="90"/>
        <w:jc w:val="center"/>
      </w:pPr>
      <w:r>
        <w:drawing>
          <wp:inline distT="0" distB="0" distL="0" distR="0">
            <wp:extent cx="4800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800600" cy="217170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9.  System Response Latency Per Component (ms, avg. 100 trials).</w:t>
      </w:r>
    </w:p>
    <w:p>
      <w:pPr>
        <w:spacing w:after="55" w:before="110"/>
        <w:jc w:val="left"/>
      </w:pPr>
      <w:r>
        <w:rPr>
          <w:rFonts w:ascii="Times New Roman" w:cs="Times New Roman" w:eastAsia="Times New Roman" w:hAnsi="Times New Roman"/>
          <w:b/>
          <w:bCs/>
          <w:sz w:val="20"/>
          <w:szCs w:val="20"/>
        </w:rPr>
        <w:t xml:space="preserve">D.  Real-World Scenario</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Figure 10 illustrates GuardianWheel’s complete real-world deployment scenario for a long-haul trip, demonstrating the end-to-end safety guarantee from trip start to safe completion.</w:t>
      </w:r>
    </w:p>
    <w:p>
      <w:pPr>
        <w:spacing w:after="45" w:before="90"/>
        <w:jc w:val="center"/>
      </w:pPr>
      <w:r>
        <w:drawing>
          <wp:inline distT="0" distB="0" distL="0" distR="0">
            <wp:extent cx="52578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57800" cy="2409825"/>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10.  Real-World Deployment Scenario — 6-step safety workflow from trip start to driver substitution.</w:t>
      </w:r>
    </w:p>
    <w:p>
      <w:pPr>
        <w:spacing w:after="55" w:before="110"/>
        <w:jc w:val="left"/>
      </w:pPr>
      <w:r>
        <w:rPr>
          <w:rFonts w:ascii="Times New Roman" w:cs="Times New Roman" w:eastAsia="Times New Roman" w:hAnsi="Times New Roman"/>
          <w:b/>
          <w:bCs/>
          <w:sz w:val="20"/>
          <w:szCs w:val="20"/>
        </w:rPr>
        <w:t xml:space="preserve">E.  Application Domains</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Figure 11 maps GuardianWheel’s primary and extended deployment sectors.</w:t>
      </w:r>
    </w:p>
    <w:p>
      <w:pPr>
        <w:spacing w:after="45" w:before="90"/>
        <w:jc w:val="center"/>
      </w:pPr>
      <w:r>
        <w:drawing>
          <wp:inline distT="0" distB="0" distL="0" distR="0">
            <wp:extent cx="52578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57800" cy="2409825"/>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11.  GuardianWheel Application Domains — Primary and extended deployment sectors.</w:t>
      </w:r>
    </w:p>
    <w:p>
      <w:pPr>
        <w:spacing w:after="160"/>
      </w:pPr>
    </w:p>
    <w:p>
      <w:pPr>
        <w:spacing w:after="80" w:before="180"/>
        <w:jc w:val="left"/>
      </w:pPr>
      <w:r>
        <w:rPr>
          <w:rFonts w:ascii="Times New Roman" w:cs="Times New Roman" w:eastAsia="Times New Roman" w:hAnsi="Times New Roman"/>
          <w:b/>
          <w:bCs/>
          <w:caps/>
          <w:sz w:val="22"/>
          <w:szCs w:val="22"/>
        </w:rPr>
        <w:t xml:space="preserve">VII.  Threats to Validity</w:t>
      </w:r>
    </w:p>
    <w:p>
      <w:pPr>
        <w:spacing w:after="55" w:before="110"/>
        <w:jc w:val="left"/>
      </w:pPr>
      <w:r>
        <w:rPr>
          <w:rFonts w:ascii="Times New Roman" w:cs="Times New Roman" w:eastAsia="Times New Roman" w:hAnsi="Times New Roman"/>
          <w:b/>
          <w:bCs/>
          <w:sz w:val="20"/>
          <w:szCs w:val="20"/>
        </w:rPr>
        <w:t xml:space="preserve">Internal Validity</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EAR and PERCLOS thresholds (0.25 and 0.15 respectively) were calibrated on the NTHU-DDD validation set. While this maximizes F1-score at the selected operating point, the thresholds may not generalize optimally to all driver populations without recalibration. Mitigation: threshold sensitivity analysis was conducted across ±15% variation with &lt;1.2 pp F1-score change.</w:t>
      </w:r>
    </w:p>
    <w:p>
      <w:pPr>
        <w:spacing w:after="55" w:before="110"/>
        <w:jc w:val="left"/>
      </w:pPr>
      <w:r>
        <w:rPr>
          <w:rFonts w:ascii="Times New Roman" w:cs="Times New Roman" w:eastAsia="Times New Roman" w:hAnsi="Times New Roman"/>
          <w:b/>
          <w:bCs/>
          <w:sz w:val="20"/>
          <w:szCs w:val="20"/>
        </w:rPr>
        <w:t xml:space="preserve">External Validity</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Experiments were conducted on the NTHU-DDD and YawDD benchmarks, which, while widely used, represent a limited demographic and environmental range. Real-world performance under conditions not represented in these datasets — including extreme weather, high-vibration environments, and non-standard camera placements — requires further validation through naturalistic driving studies.</w:t>
      </w:r>
    </w:p>
    <w:p>
      <w:pPr>
        <w:spacing w:after="55" w:before="110"/>
        <w:jc w:val="left"/>
      </w:pPr>
      <w:r>
        <w:rPr>
          <w:rFonts w:ascii="Times New Roman" w:cs="Times New Roman" w:eastAsia="Times New Roman" w:hAnsi="Times New Roman"/>
          <w:b/>
          <w:bCs/>
          <w:sz w:val="20"/>
          <w:szCs w:val="20"/>
        </w:rPr>
        <w:t xml:space="preserve">Construct Validity</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PERCLOS and EAR are established proxies for fatigue but do not directly measure cognitive impairment. Environmental factors including partial occlusions (sunglasses, face masks), extreme lighting (direct sunlight glare, sub-50-lux night driving), and multi-occupant vehicle scenarios may affect detection reliability. Sensor fusion with physiological signals is identified as a priority mitigation in future work.</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Statistical threats: reported metrics are averages across 5 independent runs (σ ≤ 0.8%); all key comparisons are statistically significant (paired t-test, p &lt; 0.001).</w:t>
      </w:r>
    </w:p>
    <w:p>
      <w:pPr>
        <w:spacing w:after="160"/>
      </w:pPr>
    </w:p>
    <w:p>
      <w:pPr>
        <w:spacing w:after="80" w:before="180"/>
        <w:jc w:val="left"/>
      </w:pPr>
      <w:r>
        <w:rPr>
          <w:rFonts w:ascii="Times New Roman" w:cs="Times New Roman" w:eastAsia="Times New Roman" w:hAnsi="Times New Roman"/>
          <w:b/>
          <w:bCs/>
          <w:caps/>
          <w:sz w:val="22"/>
          <w:szCs w:val="22"/>
        </w:rPr>
        <w:t xml:space="preserve">VIII.  Ethical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34700" w:sz="6"/>
              <w:left w:val="single" w:color="b34700" w:sz="6"/>
              <w:bottom w:val="single" w:color="b34700" w:sz="6"/>
              <w:right w:val="single" w:color="b34700" w:sz="6"/>
            </w:tcBorders>
            <w:shd w:fill="FFF3E0" w:val="clear"/>
            <w:tcMar>
              <w:top w:type="dxa" w:w="130"/>
              <w:left w:type="dxa" w:w="220"/>
              <w:bottom w:type="dxa" w:w="130"/>
              <w:right w:type="dxa" w:w="220"/>
            </w:tcMar>
          </w:tcPr>
          <w:p>
            <w:pPr>
              <w:spacing w:after="90"/>
              <w:jc w:val="center"/>
            </w:pPr>
            <w:r>
              <w:rPr>
                <w:rFonts w:ascii="Times New Roman" w:cs="Times New Roman" w:eastAsia="Times New Roman" w:hAnsi="Times New Roman"/>
                <w:b/>
                <w:bCs/>
                <w:caps/>
                <w:color w:val="b34700"/>
                <w:sz w:val="22"/>
                <w:szCs w:val="22"/>
              </w:rPr>
              <w:t xml:space="preserve">ETHICAL FRAMEWORK</w:t>
            </w:r>
          </w:p>
          <w:p>
            <w:pPr>
              <w:spacing w:after="70"/>
            </w:pPr>
            <w:r>
              <w:rPr>
                <w:rFonts w:ascii="Times New Roman" w:cs="Times New Roman" w:eastAsia="Times New Roman" w:hAnsi="Times New Roman"/>
                <w:b/>
                <w:bCs/>
                <w:color w:val="b34700"/>
                <w:sz w:val="20"/>
                <w:szCs w:val="20"/>
              </w:rPr>
              <w:t xml:space="preserve">Privacy: </w:t>
            </w:r>
            <w:r>
              <w:rPr>
                <w:rFonts w:ascii="Times New Roman" w:cs="Times New Roman" w:eastAsia="Times New Roman" w:hAnsi="Times New Roman"/>
                <w:sz w:val="20"/>
                <w:szCs w:val="20"/>
              </w:rPr>
              <w:t xml:space="preserve">GuardianWheel processes facial video frames solely for real-time fatigue indicator computation. No raw facial images, biometric templates, or video recordings are stored or transmitted. All processing occurs locally on the vehicle device; only anonymized fatigue state signals (Alert/Drowsy/Critical) and GPS coordinates are sent to the backend.</w:t>
            </w:r>
          </w:p>
          <w:p>
            <w:pPr>
              <w:spacing w:after="70"/>
            </w:pPr>
            <w:r>
              <w:rPr>
                <w:rFonts w:ascii="Times New Roman" w:cs="Times New Roman" w:eastAsia="Times New Roman" w:hAnsi="Times New Roman"/>
                <w:b/>
                <w:bCs/>
                <w:color w:val="b34700"/>
                <w:sz w:val="20"/>
                <w:szCs w:val="20"/>
              </w:rPr>
              <w:t xml:space="preserve">Data Minimization: </w:t>
            </w:r>
            <w:r>
              <w:rPr>
                <w:rFonts w:ascii="Times New Roman" w:cs="Times New Roman" w:eastAsia="Times New Roman" w:hAnsi="Times New Roman"/>
                <w:sz w:val="20"/>
                <w:szCs w:val="20"/>
              </w:rPr>
              <w:t xml:space="preserve">In compliance with GDPR Article 5 and India’s Digital Personal Data Protection Act 2023, only the minimum data required for booking (GPS coordinates, anonymized user ID) is transmitted. Driver personal data is stored with role-based access controls and automatic expiry.</w:t>
            </w:r>
          </w:p>
          <w:p>
            <w:pPr>
              <w:spacing w:after="70"/>
            </w:pPr>
            <w:r>
              <w:rPr>
                <w:rFonts w:ascii="Times New Roman" w:cs="Times New Roman" w:eastAsia="Times New Roman" w:hAnsi="Times New Roman"/>
                <w:b/>
                <w:bCs/>
                <w:color w:val="b34700"/>
                <w:sz w:val="20"/>
                <w:szCs w:val="20"/>
              </w:rPr>
              <w:t xml:space="preserve">Consent and Transparency: </w:t>
            </w:r>
            <w:r>
              <w:rPr>
                <w:rFonts w:ascii="Times New Roman" w:cs="Times New Roman" w:eastAsia="Times New Roman" w:hAnsi="Times New Roman"/>
                <w:sz w:val="20"/>
                <w:szCs w:val="20"/>
              </w:rPr>
              <w:t xml:space="preserve">Drivers are informed of monitoring at system initialization via explicit opt-in consent. The system displays a persistent monitoring indicator throughout the journey. Alert escalation logic is fully documented and auditable.</w:t>
            </w:r>
          </w:p>
          <w:p>
            <w:pPr>
              <w:spacing w:after="0"/>
            </w:pPr>
            <w:r>
              <w:rPr>
                <w:rFonts w:ascii="Times New Roman" w:cs="Times New Roman" w:eastAsia="Times New Roman" w:hAnsi="Times New Roman"/>
                <w:b/>
                <w:bCs/>
                <w:color w:val="b34700"/>
                <w:sz w:val="20"/>
                <w:szCs w:val="20"/>
              </w:rPr>
              <w:t xml:space="preserve">Responsible AI Alignment: </w:t>
            </w:r>
            <w:r>
              <w:rPr>
                <w:rFonts w:ascii="Times New Roman" w:cs="Times New Roman" w:eastAsia="Times New Roman" w:hAnsi="Times New Roman"/>
                <w:sz w:val="20"/>
                <w:szCs w:val="20"/>
              </w:rPr>
              <w:t xml:space="preserve">GuardianWheel aligns with Google’s Responsible AI Principles (beneficence, safety, privacy, fairness) and Anthropic’s AI safety guidelines. The system is designed to augment rather than replace human judgment, with all fatigue classifications being advisory and all driver substitution decisions requiring explicit user confirmation.</w:t>
            </w:r>
          </w:p>
        </w:tc>
      </w:tr>
    </w:tbl>
    <w:p>
      <w:pPr>
        <w:spacing w:after="160"/>
      </w:pPr>
    </w:p>
    <w:p>
      <w:pPr>
        <w:spacing w:after="80" w:before="180"/>
        <w:jc w:val="left"/>
      </w:pPr>
      <w:r>
        <w:rPr>
          <w:rFonts w:ascii="Times New Roman" w:cs="Times New Roman" w:eastAsia="Times New Roman" w:hAnsi="Times New Roman"/>
          <w:b/>
          <w:bCs/>
          <w:caps/>
          <w:sz w:val="22"/>
          <w:szCs w:val="22"/>
        </w:rPr>
        <w:t xml:space="preserve">IX.  United Nations SDG Alignment</w:t>
      </w:r>
    </w:p>
    <w:p>
      <w:pPr>
        <w:spacing w:after="45" w:before="90"/>
        <w:jc w:val="center"/>
      </w:pPr>
      <w:r>
        <w:drawing>
          <wp:inline distT="0" distB="0" distL="0" distR="0">
            <wp:extent cx="4800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00600" cy="2171700"/>
                    </a:xfrm>
                    <a:prstGeom prst="rect">
                      <a:avLst/>
                    </a:prstGeom>
                  </pic:spPr>
                </pic:pic>
              </a:graphicData>
            </a:graphic>
          </wp:inline>
        </w:drawing>
      </w:r>
    </w:p>
    <w:p>
      <w:pPr>
        <w:spacing w:after="130" w:before="0"/>
        <w:jc w:val="center"/>
      </w:pPr>
      <w:r>
        <w:rPr>
          <w:rFonts w:ascii="Times New Roman" w:cs="Times New Roman" w:eastAsia="Times New Roman" w:hAnsi="Times New Roman"/>
          <w:i/>
          <w:iCs/>
          <w:color w:val="333333"/>
          <w:sz w:val="18"/>
          <w:szCs w:val="18"/>
        </w:rPr>
        <w:t xml:space="preserve">Fig. 12.  GuardianWheel UN SDG Alignment — SDG 3, SDG 9, and SDG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2900"/>
        <w:gridCol w:w="286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SDG</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Goal</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GuardianWheel Contribution</w:t>
            </w:r>
          </w:p>
        </w:tc>
        <w:tc>
          <w:tcPr>
            <w:tcBorders>
              <w:top w:val="single" w:color="CCCCCC" w:sz="1"/>
              <w:left w:val="single" w:color="CCCCCC" w:sz="1"/>
              <w:bottom w:val="single" w:color="CCCCCC" w:sz="1"/>
              <w:right w:val="single" w:color="CCCCCC" w:sz="1"/>
            </w:tcBorders>
            <w:shd w:fill="1A3A5C" w:val="clear"/>
            <w:tcMar>
              <w:top w:type="dxa" w:w="62"/>
              <w:left w:type="dxa" w:w="90"/>
              <w:bottom w:type="dxa" w:w="62"/>
              <w:right w:type="dxa" w:w="90"/>
            </w:tcMar>
          </w:tcPr>
          <w:p>
            <w:pPr>
              <w:jc w:val="center"/>
            </w:pPr>
            <w:r>
              <w:rPr>
                <w:rFonts w:ascii="Times New Roman" w:cs="Times New Roman" w:eastAsia="Times New Roman" w:hAnsi="Times New Roman"/>
                <w:b/>
                <w:bCs/>
                <w:color w:val="FFFFFF"/>
                <w:sz w:val="18"/>
                <w:szCs w:val="18"/>
              </w:rPr>
              <w:t xml:space="preserve">Impact Metric</w:t>
            </w:r>
          </w:p>
        </w:tc>
      </w:tr>
      <w:tr>
        <w:tc>
          <w:tcPr>
            <w:tcBorders>
              <w:top w:val="single" w:color="CCCCCC" w:sz="1"/>
              <w:left w:val="single" w:color="CCCCCC" w:sz="1"/>
              <w:bottom w:val="single" w:color="CCCCCC" w:sz="1"/>
              <w:right w:val="single" w:color="CCCCCC" w:sz="1"/>
            </w:tcBorders>
            <w:shd w:fill="FFE0B2" w:val="clear"/>
            <w:tcMar>
              <w:top w:type="dxa" w:w="58"/>
              <w:left w:type="dxa" w:w="90"/>
              <w:bottom w:type="dxa" w:w="58"/>
              <w:right w:type="dxa" w:w="90"/>
            </w:tcMar>
          </w:tcPr>
          <w:p>
            <w:pPr>
              <w:jc w:val="center"/>
            </w:pPr>
            <w:r>
              <w:rPr>
                <w:rFonts w:ascii="Times New Roman" w:cs="Times New Roman" w:eastAsia="Times New Roman" w:hAnsi="Times New Roman"/>
                <w:b/>
                <w:bCs/>
                <w:sz w:val="18"/>
                <w:szCs w:val="18"/>
              </w:rPr>
              <w:t xml:space="preserve">SDG 3</w:t>
            </w:r>
          </w:p>
        </w:tc>
        <w:tc>
          <w:tcPr>
            <w:tcBorders>
              <w:top w:val="single" w:color="CCCCCC" w:sz="1"/>
              <w:left w:val="single" w:color="CCCCCC" w:sz="1"/>
              <w:bottom w:val="single" w:color="CCCCCC" w:sz="1"/>
              <w:right w:val="single" w:color="CCCCCC" w:sz="1"/>
            </w:tcBorders>
            <w:shd w:fill="FFE0B2"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Good Health
&amp; Well-being</w:t>
            </w:r>
          </w:p>
        </w:tc>
        <w:tc>
          <w:tcPr>
            <w:tcBorders>
              <w:top w:val="single" w:color="CCCCCC" w:sz="1"/>
              <w:left w:val="single" w:color="CCCCCC" w:sz="1"/>
              <w:bottom w:val="single" w:color="CCCCCC" w:sz="1"/>
              <w:right w:val="single" w:color="CCCCCC" w:sz="1"/>
            </w:tcBorders>
            <w:shd w:fill="FFE0B2"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Reduces fatigue-related road fatalities through early detection and driver substitution</w:t>
            </w:r>
          </w:p>
        </w:tc>
        <w:tc>
          <w:tcPr>
            <w:tcBorders>
              <w:top w:val="single" w:color="CCCCCC" w:sz="1"/>
              <w:left w:val="single" w:color="CCCCCC" w:sz="1"/>
              <w:bottom w:val="single" w:color="CCCCCC" w:sz="1"/>
              <w:right w:val="single" w:color="CCCCCC" w:sz="1"/>
            </w:tcBorders>
            <w:shd w:fill="FFE0B2"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Target 3.6: Halve global road traffic deaths by 2030</w:t>
            </w:r>
          </w:p>
        </w:tc>
      </w:tr>
      <w:tr>
        <w:tc>
          <w:tcPr>
            <w:tcBorders>
              <w:top w:val="single" w:color="CCCCCC" w:sz="1"/>
              <w:left w:val="single" w:color="CCCCCC" w:sz="1"/>
              <w:bottom w:val="single" w:color="CCCCCC" w:sz="1"/>
              <w:right w:val="single" w:color="CCCCCC" w:sz="1"/>
            </w:tcBorders>
            <w:shd w:fill="E8F5E9" w:val="clear"/>
            <w:tcMar>
              <w:top w:type="dxa" w:w="58"/>
              <w:left w:type="dxa" w:w="90"/>
              <w:bottom w:type="dxa" w:w="58"/>
              <w:right w:type="dxa" w:w="90"/>
            </w:tcMar>
          </w:tcPr>
          <w:p>
            <w:pPr>
              <w:jc w:val="center"/>
            </w:pPr>
            <w:r>
              <w:rPr>
                <w:rFonts w:ascii="Times New Roman" w:cs="Times New Roman" w:eastAsia="Times New Roman" w:hAnsi="Times New Roman"/>
                <w:b/>
                <w:bCs/>
                <w:sz w:val="18"/>
                <w:szCs w:val="18"/>
              </w:rPr>
              <w:t xml:space="preserve">SDG 9</w:t>
            </w:r>
          </w:p>
        </w:tc>
        <w:tc>
          <w:tcPr>
            <w:tcBorders>
              <w:top w:val="single" w:color="CCCCCC" w:sz="1"/>
              <w:left w:val="single" w:color="CCCCCC" w:sz="1"/>
              <w:bottom w:val="single" w:color="CCCCCC" w:sz="1"/>
              <w:right w:val="single" w:color="CCCCCC" w:sz="1"/>
            </w:tcBorders>
            <w:shd w:fill="E8F5E9"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Industry, Innovation
&amp; Infrastructure</w:t>
            </w:r>
          </w:p>
        </w:tc>
        <w:tc>
          <w:tcPr>
            <w:tcBorders>
              <w:top w:val="single" w:color="CCCCCC" w:sz="1"/>
              <w:left w:val="single" w:color="CCCCCC" w:sz="1"/>
              <w:bottom w:val="single" w:color="CCCCCC" w:sz="1"/>
              <w:right w:val="single" w:color="CCCCCC" w:sz="1"/>
            </w:tcBorders>
            <w:shd w:fill="E8F5E9"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AI-driven ITS infrastructure for safer and more efficient road transportation systems</w:t>
            </w:r>
          </w:p>
        </w:tc>
        <w:tc>
          <w:tcPr>
            <w:tcBorders>
              <w:top w:val="single" w:color="CCCCCC" w:sz="1"/>
              <w:left w:val="single" w:color="CCCCCC" w:sz="1"/>
              <w:bottom w:val="single" w:color="CCCCCC" w:sz="1"/>
              <w:right w:val="single" w:color="CCCCCC" w:sz="1"/>
            </w:tcBorders>
            <w:shd w:fill="E8F5E9"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Target 9.1: Develop sustainable, resilient, inclusive infrastructure</w:t>
            </w:r>
          </w:p>
        </w:tc>
      </w:tr>
      <w:tr>
        <w:tc>
          <w:tcPr>
            <w:tcBorders>
              <w:top w:val="single" w:color="CCCCCC" w:sz="1"/>
              <w:left w:val="single" w:color="CCCCCC" w:sz="1"/>
              <w:bottom w:val="single" w:color="CCCCCC" w:sz="1"/>
              <w:right w:val="single" w:color="CCCCCC" w:sz="1"/>
            </w:tcBorders>
            <w:shd w:fill="E3F2FD" w:val="clear"/>
            <w:tcMar>
              <w:top w:type="dxa" w:w="58"/>
              <w:left w:type="dxa" w:w="90"/>
              <w:bottom w:type="dxa" w:w="58"/>
              <w:right w:type="dxa" w:w="90"/>
            </w:tcMar>
          </w:tcPr>
          <w:p>
            <w:pPr>
              <w:jc w:val="center"/>
            </w:pPr>
            <w:r>
              <w:rPr>
                <w:rFonts w:ascii="Times New Roman" w:cs="Times New Roman" w:eastAsia="Times New Roman" w:hAnsi="Times New Roman"/>
                <w:b/>
                <w:bCs/>
                <w:sz w:val="18"/>
                <w:szCs w:val="18"/>
              </w:rPr>
              <w:t xml:space="preserve">SDG 11</w:t>
            </w:r>
          </w:p>
        </w:tc>
        <w:tc>
          <w:tcPr>
            <w:tcBorders>
              <w:top w:val="single" w:color="CCCCCC" w:sz="1"/>
              <w:left w:val="single" w:color="CCCCCC" w:sz="1"/>
              <w:bottom w:val="single" w:color="CCCCCC" w:sz="1"/>
              <w:right w:val="single" w:color="CCCCCC" w:sz="1"/>
            </w:tcBorders>
            <w:shd w:fill="E3F2FD"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Sustainable Cities
&amp; Communities</w:t>
            </w:r>
          </w:p>
        </w:tc>
        <w:tc>
          <w:tcPr>
            <w:tcBorders>
              <w:top w:val="single" w:color="CCCCCC" w:sz="1"/>
              <w:left w:val="single" w:color="CCCCCC" w:sz="1"/>
              <w:bottom w:val="single" w:color="CCCCCC" w:sz="1"/>
              <w:right w:val="single" w:color="CCCCCC" w:sz="1"/>
            </w:tcBorders>
            <w:shd w:fill="E3F2FD"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Smart city integration enabling safer urban mobility through real-time monitoring</w:t>
            </w:r>
          </w:p>
        </w:tc>
        <w:tc>
          <w:tcPr>
            <w:tcBorders>
              <w:top w:val="single" w:color="CCCCCC" w:sz="1"/>
              <w:left w:val="single" w:color="CCCCCC" w:sz="1"/>
              <w:bottom w:val="single" w:color="CCCCCC" w:sz="1"/>
              <w:right w:val="single" w:color="CCCCCC" w:sz="1"/>
            </w:tcBorders>
            <w:shd w:fill="E3F2FD" w:val="clear"/>
            <w:tcMar>
              <w:top w:type="dxa" w:w="58"/>
              <w:left w:type="dxa" w:w="90"/>
              <w:bottom w:type="dxa" w:w="58"/>
              <w:right w:type="dxa" w:w="90"/>
            </w:tcMar>
          </w:tcPr>
          <w:p>
            <w:pPr>
              <w:jc w:val="left"/>
            </w:pPr>
            <w:r>
              <w:rPr>
                <w:rFonts w:ascii="Times New Roman" w:cs="Times New Roman" w:eastAsia="Times New Roman" w:hAnsi="Times New Roman"/>
                <w:b w:val="false"/>
                <w:bCs w:val="false"/>
                <w:sz w:val="18"/>
                <w:szCs w:val="18"/>
              </w:rPr>
              <w:t xml:space="preserve">Target 11.2: Safe, affordable, accessible transport systems for all</w:t>
            </w:r>
          </w:p>
        </w:tc>
      </w:tr>
    </w:tbl>
    <w:p>
      <w:pPr>
        <w:spacing w:after="130" w:before="0"/>
        <w:jc w:val="center"/>
      </w:pPr>
      <w:r>
        <w:rPr>
          <w:rFonts w:ascii="Times New Roman" w:cs="Times New Roman" w:eastAsia="Times New Roman" w:hAnsi="Times New Roman"/>
          <w:b/>
          <w:bCs/>
          <w:sz w:val="18"/>
          <w:szCs w:val="18"/>
        </w:rPr>
        <w:t xml:space="preserve">Table VIII.  United Nations SDG Alignment — GuardianWheel’s contribution to global sustainability goals.</w:t>
      </w:r>
    </w:p>
    <w:p>
      <w:pPr>
        <w:spacing w:after="160"/>
      </w:pPr>
    </w:p>
    <w:p>
      <w:pPr>
        <w:spacing w:after="80" w:before="180"/>
        <w:jc w:val="left"/>
      </w:pPr>
      <w:r>
        <w:rPr>
          <w:rFonts w:ascii="Times New Roman" w:cs="Times New Roman" w:eastAsia="Times New Roman" w:hAnsi="Times New Roman"/>
          <w:b/>
          <w:bCs/>
          <w:caps/>
          <w:sz w:val="22"/>
          <w:szCs w:val="22"/>
        </w:rPr>
        <w:t xml:space="preserve">X.  Limitations and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Limitation</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Impact</w:t>
            </w:r>
          </w:p>
        </w:tc>
        <w:tc>
          <w:tcPr>
            <w:tcBorders>
              <w:top w:val="single" w:color="CCCCCC" w:sz="1"/>
              <w:left w:val="single" w:color="CCCCCC" w:sz="1"/>
              <w:bottom w:val="single" w:color="CCCCCC" w:sz="1"/>
              <w:right w:val="single" w:color="CCCCCC" w:sz="1"/>
            </w:tcBorders>
            <w:shd w:fill="1A3A5C" w:val="clear"/>
            <w:tcMar>
              <w:top w:type="dxa" w:w="62"/>
              <w:left w:type="dxa" w:w="100"/>
              <w:bottom w:type="dxa" w:w="62"/>
              <w:right w:type="dxa" w:w="100"/>
            </w:tcMar>
          </w:tcPr>
          <w:p>
            <w:pPr>
              <w:jc w:val="center"/>
            </w:pPr>
            <w:r>
              <w:rPr>
                <w:rFonts w:ascii="Times New Roman" w:cs="Times New Roman" w:eastAsia="Times New Roman" w:hAnsi="Times New Roman"/>
                <w:b/>
                <w:bCs/>
                <w:color w:val="FFFFFF"/>
                <w:sz w:val="18"/>
                <w:szCs w:val="18"/>
              </w:rPr>
              <w:t xml:space="preserve">Proposed Future Solution</w:t>
            </w:r>
          </w:p>
        </w:tc>
      </w:tr>
      <w:tr>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Low-light conditions
(&lt;50 lux)</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Accuracy drops to ~74%</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IR illumination + MobileNetV3 night model</w:t>
            </w:r>
          </w:p>
        </w:tc>
      </w:tr>
      <w:tr>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Single camera dependency</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Occlusion vulnerability</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Multi-camera array + sensor fusion</w:t>
            </w:r>
          </w:p>
        </w:tc>
      </w:tr>
      <w:tr>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Weather/fog sensitivity</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Landmark detection degradation</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Depth sensor + thermal camera fusion</w:t>
            </w:r>
          </w:p>
        </w:tc>
      </w:tr>
      <w:tr>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Limited dataset demographics</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Generalization uncertainty</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Naturalistic multi-country driving study</w:t>
            </w:r>
          </w:p>
        </w:tc>
      </w:tr>
      <w:tr>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High-load booking latency
(&gt;50 users)</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Confirmation &gt;5 s</w:t>
            </w:r>
          </w:p>
        </w:tc>
        <w:tc>
          <w:tcPr>
            <w:tcBorders>
              <w:top w:val="single" w:color="CCCCCC" w:sz="1"/>
              <w:left w:val="single" w:color="CCCCCC" w:sz="1"/>
              <w:bottom w:val="single" w:color="CCCCCC" w:sz="1"/>
              <w:right w:val="single" w:color="CCCCCC" w:sz="1"/>
            </w:tcBorders>
            <w:shd w:fill="FFFFFF"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Docker/Kubernetes horizontal auto-scaling</w:t>
            </w:r>
          </w:p>
        </w:tc>
      </w:tr>
      <w:tr>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No physiological validation</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Cognitive fatigue missed</w:t>
            </w:r>
          </w:p>
        </w:tc>
        <w:tc>
          <w:tcPr>
            <w:tcBorders>
              <w:top w:val="single" w:color="CCCCCC" w:sz="1"/>
              <w:left w:val="single" w:color="CCCCCC" w:sz="1"/>
              <w:bottom w:val="single" w:color="CCCCCC" w:sz="1"/>
              <w:right w:val="single" w:color="CCCCCC" w:sz="1"/>
            </w:tcBorders>
            <w:shd w:fill="FFF8F0" w:val="clear"/>
            <w:tcMar>
              <w:top w:type="dxa" w:w="58"/>
              <w:left w:type="dxa" w:w="100"/>
              <w:bottom w:type="dxa" w:w="58"/>
              <w:right w:type="dxa" w:w="100"/>
            </w:tcMar>
          </w:tcPr>
          <w:p>
            <w:pPr>
              <w:jc w:val="left"/>
            </w:pPr>
            <w:r>
              <w:rPr>
                <w:rFonts w:ascii="Times New Roman" w:cs="Times New Roman" w:eastAsia="Times New Roman" w:hAnsi="Times New Roman"/>
                <w:sz w:val="18"/>
                <w:szCs w:val="18"/>
              </w:rPr>
              <w:t xml:space="preserve">EEG/HR smartwatch API integration</w:t>
            </w:r>
          </w:p>
        </w:tc>
      </w:tr>
    </w:tbl>
    <w:p>
      <w:pPr>
        <w:spacing w:after="130" w:before="0"/>
        <w:jc w:val="center"/>
      </w:pPr>
      <w:r>
        <w:rPr>
          <w:rFonts w:ascii="Times New Roman" w:cs="Times New Roman" w:eastAsia="Times New Roman" w:hAnsi="Times New Roman"/>
          <w:b/>
          <w:bCs/>
          <w:sz w:val="18"/>
          <w:szCs w:val="18"/>
        </w:rPr>
        <w:t xml:space="preserve">Table IX.  Limitations and Proposed Future Solutions</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Platform-level future work: federated learning [14] for privacy-preserving cross-fleet model improvement; Ola/Uber/Rapido API integration to expand driver pools; predictive fatigue modeling using circadian rhythm data. Regulatory collaboration with MoRTH (India) and NHTSA (USA) for deployment approval and insurance incentive integration.</w:t>
      </w:r>
    </w:p>
    <w:p>
      <w:pPr>
        <w:spacing w:after="160"/>
      </w:pPr>
    </w:p>
    <w:p>
      <w:pPr>
        <w:spacing w:after="80" w:before="180"/>
        <w:jc w:val="left"/>
      </w:pPr>
      <w:r>
        <w:rPr>
          <w:rFonts w:ascii="Times New Roman" w:cs="Times New Roman" w:eastAsia="Times New Roman" w:hAnsi="Times New Roman"/>
          <w:b/>
          <w:bCs/>
          <w:caps/>
          <w:sz w:val="22"/>
          <w:szCs w:val="22"/>
        </w:rPr>
        <w:t xml:space="preserve">XI.  Conclusion</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This paper presented GuardianWheel, an AI-integrated driver safety framework coupling a hybrid EAR+PERCLOS fatigue detection pipeline with real-time GPS-enabled driver substitution. Three research questions were posed and answered: (RQ1) The hybrid EAR+PERCLOS framework significantly outperforms standalone approaches, achieving 91.4% accuracy on NTHU-DDD — a +13.1 pp gain over EAR-only (p &lt; 0.001). (RQ2) Real-time fatigue detection is successfully integrated with driver substitution, with sub-3-second booking confirmation in 96% of scenarios. (RQ3) The framework generalizes effectively across datasets, achieving 83.7% yawning detection on YawDD.</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GuardianWheel bridges the detection-intervention gap: FSM-driven autonomous escalation triggers driver substitution without manual input, making it the first system to operationalize road safety as an active service. Aligned with UN SDGs 3, 9, and 11, and designed with privacy-by-default and Responsible AI principles, GuardianWheel provides a reproducible open-source baseline for future intelligent transportation safety research.</w:t>
      </w:r>
    </w:p>
    <w:p>
      <w:pPr>
        <w:spacing w:after="160"/>
      </w:pPr>
    </w:p>
    <w:p>
      <w:pPr>
        <w:spacing w:after="80" w:before="180"/>
        <w:jc w:val="left"/>
      </w:pPr>
      <w:r>
        <w:rPr>
          <w:rFonts w:ascii="Times New Roman" w:cs="Times New Roman" w:eastAsia="Times New Roman" w:hAnsi="Times New Roman"/>
          <w:b/>
          <w:bCs/>
          <w:caps/>
          <w:sz w:val="22"/>
          <w:szCs w:val="22"/>
        </w:rPr>
        <w:t xml:space="preserve">Code Availability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a3e8a" w:sz="6"/>
              <w:left w:val="single" w:color="5a3e8a" w:sz="6"/>
              <w:bottom w:val="single" w:color="5a3e8a" w:sz="6"/>
              <w:right w:val="single" w:color="5a3e8a" w:sz="6"/>
            </w:tcBorders>
            <w:shd w:fill="F3EEF9" w:val="clear"/>
            <w:tcMar>
              <w:top w:type="dxa" w:w="110"/>
              <w:left w:type="dxa" w:w="220"/>
              <w:bottom w:type="dxa" w:w="110"/>
              <w:right w:type="dxa" w:w="220"/>
            </w:tcMar>
          </w:tcPr>
          <w:p>
            <w:pPr>
              <w:spacing w:after="70"/>
              <w:jc w:val="center"/>
            </w:pPr>
            <w:r>
              <w:rPr>
                <w:rFonts w:ascii="Times New Roman" w:cs="Times New Roman" w:eastAsia="Times New Roman" w:hAnsi="Times New Roman"/>
                <w:b/>
                <w:bCs/>
                <w:caps/>
                <w:color w:val="5a3e8a"/>
                <w:sz w:val="21"/>
                <w:szCs w:val="21"/>
              </w:rPr>
              <w:t xml:space="preserve">CODE &amp; DATA AVAILABILITY</w:t>
            </w:r>
          </w:p>
          <w:p>
            <w:pPr>
              <w:spacing w:after="50"/>
              <w:jc w:val="both"/>
            </w:pPr>
            <w:r>
              <w:rPr>
                <w:rFonts w:ascii="Times New Roman" w:cs="Times New Roman" w:eastAsia="Times New Roman" w:hAnsi="Times New Roman"/>
                <w:sz w:val="19"/>
                <w:szCs w:val="19"/>
              </w:rPr>
              <w:t xml:space="preserve">Full implementation, trained model weights, and evaluation scripts are publicly available. The repository includes fatigue detection module (OpenCV + dlib), Flask backend, Firebase configuration, and NTHU-DDD evaluation pipeline.</w:t>
            </w:r>
          </w:p>
          <w:p>
            <w:pPr>
              <w:spacing w:after="40"/>
              <w:jc w:val="center"/>
            </w:pPr>
            <w:r>
              <w:rPr>
                <w:rFonts w:ascii="Times New Roman" w:cs="Times New Roman" w:eastAsia="Times New Roman" w:hAnsi="Times New Roman"/>
                <w:b/>
                <w:bCs/>
                <w:color w:val="5a3e8a"/>
                <w:sz w:val="20"/>
                <w:szCs w:val="20"/>
              </w:rPr>
              <w:t xml:space="preserve">GitHub: </w:t>
            </w:r>
            <w:r>
              <w:rPr>
                <w:rFonts w:ascii="Times New Roman" w:cs="Times New Roman" w:eastAsia="Times New Roman" w:hAnsi="Times New Roman"/>
                <w:b/>
                <w:bCs/>
                <w:color w:val="1e5799"/>
                <w:sz w:val="20"/>
                <w:szCs w:val="20"/>
              </w:rPr>
              <w:t xml:space="preserve">https://github.com/sanjana-kumari/guardianwheel</w:t>
            </w:r>
          </w:p>
          <w:p>
            <w:pPr>
              <w:spacing w:after="0"/>
              <w:jc w:val="center"/>
            </w:pPr>
            <w:r>
              <w:rPr>
                <w:rFonts w:ascii="Times New Roman" w:cs="Times New Roman" w:eastAsia="Times New Roman" w:hAnsi="Times New Roman"/>
                <w:b/>
                <w:bCs/>
                <w:color w:val="555555"/>
                <w:sz w:val="19"/>
                <w:szCs w:val="19"/>
              </w:rPr>
              <w:t xml:space="preserve">Datasets: </w:t>
            </w:r>
            <w:r>
              <w:rPr>
                <w:rFonts w:ascii="Times New Roman" w:cs="Times New Roman" w:eastAsia="Times New Roman" w:hAnsi="Times New Roman"/>
                <w:color w:val="555555"/>
                <w:sz w:val="19"/>
                <w:szCs w:val="19"/>
              </w:rPr>
              <w:t xml:space="preserve">NTHU-DDD (cv.cs.nthu.edu.tw)  •  YawDD (publicly available)</w:t>
            </w:r>
          </w:p>
        </w:tc>
      </w:tr>
    </w:tbl>
    <w:p>
      <w:pPr>
        <w:spacing w:after="160"/>
      </w:pPr>
    </w:p>
    <w:p>
      <w:pPr>
        <w:spacing w:after="80" w:before="180"/>
        <w:jc w:val="left"/>
      </w:pPr>
      <w:r>
        <w:rPr>
          <w:rFonts w:ascii="Times New Roman" w:cs="Times New Roman" w:eastAsia="Times New Roman" w:hAnsi="Times New Roman"/>
          <w:b/>
          <w:bCs/>
          <w:caps/>
          <w:sz w:val="22"/>
          <w:szCs w:val="22"/>
        </w:rPr>
        <w:t xml:space="preserve">Author Contributions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3a" w:sz="6"/>
              <w:left w:val="single" w:color="1a5c3a" w:sz="6"/>
              <w:bottom w:val="single" w:color="1a5c3a" w:sz="6"/>
              <w:right w:val="single" w:color="1a5c3a" w:sz="6"/>
            </w:tcBorders>
            <w:shd w:fill="EBF7ED" w:val="clear"/>
            <w:tcMar>
              <w:top w:type="dxa" w:w="120"/>
              <w:left w:type="dxa" w:w="220"/>
              <w:bottom w:type="dxa" w:w="120"/>
              <w:right w:type="dxa" w:w="220"/>
            </w:tcMar>
          </w:tcPr>
          <w:p>
            <w:pPr>
              <w:spacing w:after="90"/>
              <w:jc w:val="center"/>
            </w:pPr>
            <w:r>
              <w:rPr>
                <w:rFonts w:ascii="Times New Roman" w:cs="Times New Roman" w:eastAsia="Times New Roman" w:hAnsi="Times New Roman"/>
                <w:b/>
                <w:bCs/>
                <w:caps/>
                <w:color w:val="1a5c3a"/>
                <w:sz w:val="22"/>
                <w:szCs w:val="22"/>
              </w:rPr>
              <w:t xml:space="preserve">AUTHOR CONTRIBUTIONS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500"/>
              <w:gridCol w:w="3300"/>
            </w:tblGrid>
            <w:tr>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System Design &amp; Architecture</w:t>
                  </w:r>
                </w:p>
              </w:tc>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r>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Dataset Preparation &amp; Preprocessing</w:t>
                  </w:r>
                </w:p>
              </w:tc>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r>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Model Development (EAR+PERCLOS+FSM)</w:t>
                  </w:r>
                </w:p>
              </w:tc>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r>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Backend &amp; Booking System Implementation</w:t>
                  </w:r>
                </w:p>
              </w:tc>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r>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Experimental Evaluation &amp; Statistical Analysis</w:t>
                  </w:r>
                </w:p>
              </w:tc>
              <w:tc>
                <w:tcPr>
                  <w:tcBorders>
                    <w:top w:val="none" w:color="FFFFFF" w:sz="0"/>
                    <w:left w:val="none" w:color="FFFFFF" w:sz="0"/>
                    <w:bottom w:val="none" w:color="FFFFFF" w:sz="0"/>
                    <w:right w:val="none" w:color="FFFFFF" w:sz="0"/>
                  </w:tcBorders>
                  <w:shd w:fill="EBF7E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r>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r>
                    <w:rPr>
                      <w:rFonts w:ascii="Times New Roman" w:cs="Times New Roman" w:eastAsia="Times New Roman" w:hAnsi="Times New Roman"/>
                      <w:color w:val="1a3a5c"/>
                      <w:sz w:val="19"/>
                      <w:szCs w:val="19"/>
                    </w:rPr>
                    <w:t xml:space="preserve">•  Manuscript Writing &amp; Revision</w:t>
                  </w:r>
                </w:p>
              </w:tc>
              <w:tc>
                <w:tcPr>
                  <w:tcBorders>
                    <w:top w:val="none" w:color="FFFFFF" w:sz="0"/>
                    <w:left w:val="none" w:color="FFFFFF" w:sz="0"/>
                    <w:bottom w:val="none" w:color="FFFFFF" w:sz="0"/>
                    <w:right w:val="none" w:color="FFFFFF" w:sz="0"/>
                  </w:tcBorders>
                  <w:shd w:fill="DDEFDD" w:val="clear"/>
                  <w:tcMar>
                    <w:top w:type="dxa" w:w="50"/>
                    <w:left w:type="dxa" w:w="100"/>
                    <w:bottom w:type="dxa" w:w="50"/>
                    <w:right w:type="dxa" w:w="100"/>
                  </w:tcMar>
                </w:tcPr>
                <w:p>
                  <w:pPr>
                    <w:jc w:val="center"/>
                  </w:pPr>
                  <w:r>
                    <w:rPr>
                      <w:rFonts w:ascii="Times New Roman" w:cs="Times New Roman" w:eastAsia="Times New Roman" w:hAnsi="Times New Roman"/>
                      <w:b/>
                      <w:bCs/>
                      <w:color w:val="1a5c3a"/>
                      <w:sz w:val="19"/>
                      <w:szCs w:val="19"/>
                    </w:rPr>
                    <w:t xml:space="preserve">Sanjana Kumari</w:t>
                  </w:r>
                </w:p>
              </w:tc>
            </w:tr>
          </w:tbl>
          <w:p/>
        </w:tc>
      </w:tr>
    </w:tbl>
    <w:p>
      <w:pPr>
        <w:spacing w:after="160"/>
      </w:pPr>
    </w:p>
    <w:p>
      <w:pPr>
        <w:spacing w:after="80" w:before="180"/>
        <w:jc w:val="left"/>
      </w:pPr>
      <w:r>
        <w:rPr>
          <w:rFonts w:ascii="Times New Roman" w:cs="Times New Roman" w:eastAsia="Times New Roman" w:hAnsi="Times New Roman"/>
          <w:b/>
          <w:bCs/>
          <w:caps/>
          <w:sz w:val="22"/>
          <w:szCs w:val="22"/>
        </w:rPr>
        <w:t xml:space="preserve">Acknowledgment</w:t>
      </w:r>
    </w:p>
    <w:p>
      <w:pPr>
        <w:spacing w:after="90" w:before="0" w:line="280"/>
        <w:jc w:val="both"/>
      </w:pPr>
      <w:r>
        <w:rPr>
          <w:rFonts w:ascii="Times New Roman" w:cs="Times New Roman" w:eastAsia="Times New Roman" w:hAnsi="Times New Roman"/>
          <w:b w:val="false"/>
          <w:bCs w:val="false"/>
          <w:i w:val="false"/>
          <w:iCs w:val="false"/>
          <w:color w:val="000000"/>
          <w:sz w:val="20"/>
          <w:szCs w:val="20"/>
        </w:rPr>
        <w:t xml:space="preserve">The author thanks Dr. B.S. Kiruthika Devi, M.S. (By Research), Ph.D. (Internal Guide), and the Department of Computer Science and Engineering at Sathyabama Institute of Science and Technology, Chennai, India, for their guidance and support throughout this research.</w:t>
      </w:r>
    </w:p>
    <w:p>
      <w:pPr>
        <w:spacing w:after="160"/>
      </w:pPr>
    </w:p>
    <w:p>
      <w:pPr>
        <w:spacing w:after="80" w:before="180"/>
        <w:jc w:val="left"/>
      </w:pPr>
      <w:r>
        <w:rPr>
          <w:rFonts w:ascii="Times New Roman" w:cs="Times New Roman" w:eastAsia="Times New Roman" w:hAnsi="Times New Roman"/>
          <w:b/>
          <w:bCs/>
          <w:caps/>
          <w:sz w:val="22"/>
          <w:szCs w:val="22"/>
        </w:rPr>
        <w:t xml:space="preserve">Author Biography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6"/>
              <w:left w:val="single" w:color="1a3a5c" w:sz="6"/>
              <w:bottom w:val="single" w:color="1a3a5c" w:sz="6"/>
              <w:right w:val="single" w:color="1a3a5c" w:sz="6"/>
            </w:tcBorders>
            <w:shd w:fill="EDF2F7" w:val="clear"/>
            <w:tcMar>
              <w:top w:type="dxa" w:w="130"/>
              <w:left w:type="dxa" w:w="220"/>
              <w:bottom w:type="dxa" w:w="130"/>
              <w:right w:type="dxa" w:w="220"/>
            </w:tcMar>
          </w:tcPr>
          <w:p>
            <w:pPr>
              <w:spacing w:after="70"/>
            </w:pPr>
            <w:r>
              <w:rPr>
                <w:rFonts w:ascii="Times New Roman" w:cs="Times New Roman" w:eastAsia="Times New Roman" w:hAnsi="Times New Roman"/>
                <w:b/>
                <w:bCs/>
                <w:color w:val="1a3a5c"/>
                <w:sz w:val="21"/>
                <w:szCs w:val="21"/>
              </w:rPr>
              <w:t xml:space="preserve">Sanjana Kumari</w:t>
            </w:r>
          </w:p>
          <w:p>
            <w:pPr>
              <w:spacing w:after="55"/>
              <w:jc w:val="both"/>
            </w:pPr>
            <w:r>
              <w:rPr>
                <w:rFonts w:ascii="Times New Roman" w:cs="Times New Roman" w:eastAsia="Times New Roman" w:hAnsi="Times New Roman"/>
                <w:sz w:val="20"/>
                <w:szCs w:val="20"/>
              </w:rPr>
              <w:t xml:space="preserve">Sanjana Kumari is a final-year B.E. student in Computer Science and Engineering (Artificial Intelligence &amp; Machine Learning) at Sathyabama Institute of Science and Technology, Chennai, India. Her research interests include Machine Learning, Computer Vision, Intelligent Transportation Systems, and AI-driven safety applications.</w:t>
            </w:r>
          </w:p>
          <w:p>
            <w:pPr>
              <w:spacing w:after="55"/>
              <w:jc w:val="both"/>
            </w:pPr>
            <w:r>
              <w:rPr>
                <w:rFonts w:ascii="Times New Roman" w:cs="Times New Roman" w:eastAsia="Times New Roman" w:hAnsi="Times New Roman"/>
                <w:sz w:val="20"/>
                <w:szCs w:val="20"/>
              </w:rPr>
              <w:t xml:space="preserve">She has worked on multiple interdisciplinary projects involving real-time AI systems, full-stack web development (Flask, Firebase, Leaflet.js), and software quality assurance. She is particularly focused on applying AI responsibly to solve real-world safety challenges, with a strong interest in Google’s Responsible AI and sustainable technology initiatives.</w:t>
            </w:r>
          </w:p>
          <w:p>
            <w:pPr>
              <w:spacing w:after="0"/>
            </w:pPr>
            <w:r>
              <w:rPr>
                <w:rFonts w:ascii="Times New Roman" w:cs="Times New Roman" w:eastAsia="Times New Roman" w:hAnsi="Times New Roman"/>
                <w:b/>
                <w:bCs/>
                <w:color w:val="1a3a5c"/>
                <w:sz w:val="19"/>
                <w:szCs w:val="19"/>
              </w:rPr>
              <w:t xml:space="preserve">Research Areas: </w:t>
            </w:r>
            <w:r>
              <w:rPr>
                <w:rFonts w:ascii="Times New Roman" w:cs="Times New Roman" w:eastAsia="Times New Roman" w:hAnsi="Times New Roman"/>
                <w:color w:val="444444"/>
                <w:sz w:val="19"/>
                <w:szCs w:val="19"/>
              </w:rPr>
              <w:t xml:space="preserve">Computer Vision  •  Driver Safety Systems  •  Intelligent Transportation  •  Federated Learning  •  Responsible AI</w:t>
            </w:r>
          </w:p>
        </w:tc>
      </w:tr>
    </w:tbl>
    <w:p>
      <w:pPr>
        <w:spacing w:after="160"/>
      </w:pPr>
    </w:p>
    <w:p>
      <w:pPr>
        <w:spacing w:after="80" w:before="180"/>
        <w:jc w:val="left"/>
      </w:pPr>
      <w:r>
        <w:rPr>
          <w:rFonts w:ascii="Times New Roman" w:cs="Times New Roman" w:eastAsia="Times New Roman" w:hAnsi="Times New Roman"/>
          <w:b/>
          <w:bCs/>
          <w:caps/>
          <w:sz w:val="22"/>
          <w:szCs w:val="22"/>
        </w:rPr>
        <w:t xml:space="preserve">References</w:t>
      </w:r>
    </w:p>
    <w:p>
      <w:pPr>
        <w:spacing w:after="65" w:line="260"/>
        <w:ind w:left="360" w:hanging="360"/>
        <w:jc w:val="both"/>
      </w:pPr>
      <w:r>
        <w:rPr>
          <w:rFonts w:ascii="Times New Roman" w:cs="Times New Roman" w:eastAsia="Times New Roman" w:hAnsi="Times New Roman"/>
          <w:sz w:val="18"/>
          <w:szCs w:val="18"/>
        </w:rPr>
        <w:t xml:space="preserve">[1]  W. W. Wierwille and L. A. Ellsworth, "Evaluation of driver drowsiness by trained raters," Accident Analysis &amp; Prevention, vol. 26, no. 5, pp. 571–581, 1994.</w:t>
      </w:r>
    </w:p>
    <w:p>
      <w:pPr>
        <w:spacing w:after="65" w:line="260"/>
        <w:ind w:left="360" w:hanging="360"/>
        <w:jc w:val="both"/>
      </w:pPr>
      <w:r>
        <w:rPr>
          <w:rFonts w:ascii="Times New Roman" w:cs="Times New Roman" w:eastAsia="Times New Roman" w:hAnsi="Times New Roman"/>
          <w:sz w:val="18"/>
          <w:szCs w:val="18"/>
        </w:rPr>
        <w:t xml:space="preserve">[2]  D. F. Dinges, M. Mallis, G. Maislin, and J. W. Powell, "Evaluation of techniques for ocular measurement as an index of fatigue and the basis for alertness management," NHTSA Report DOT HS 808 762, 1998.</w:t>
      </w:r>
    </w:p>
    <w:p>
      <w:pPr>
        <w:spacing w:after="65" w:line="260"/>
        <w:ind w:left="360" w:hanging="360"/>
        <w:jc w:val="both"/>
      </w:pPr>
      <w:r>
        <w:rPr>
          <w:rFonts w:ascii="Times New Roman" w:cs="Times New Roman" w:eastAsia="Times New Roman" w:hAnsi="Times New Roman"/>
          <w:sz w:val="18"/>
          <w:szCs w:val="18"/>
        </w:rPr>
        <w:t xml:space="preserve">[3]  C. Weng, Y. Wu, and L. Du, "Driver drowsiness detection via a hierarchical temporal deep belief network," in Proc. ECCV Workshops, 2016, pp. 117–133.</w:t>
      </w:r>
    </w:p>
    <w:p>
      <w:pPr>
        <w:spacing w:after="65" w:line="260"/>
        <w:ind w:left="360" w:hanging="360"/>
        <w:jc w:val="both"/>
      </w:pPr>
      <w:r>
        <w:rPr>
          <w:rFonts w:ascii="Times New Roman" w:cs="Times New Roman" w:eastAsia="Times New Roman" w:hAnsi="Times New Roman"/>
          <w:sz w:val="18"/>
          <w:szCs w:val="18"/>
        </w:rPr>
        <w:t xml:space="preserve">[4]  W.-H. Weng, Y.-H. Li, B.-S. Lin, and C.-T. Lin, "Driver drowsiness detection based on multisource information fusion," IET Intelligent Transport Systems, vol. 11, no. 7, pp. 417–425, 2017. [NTHU-DDD: https://cv.cs.nthu.edu.tw/php/callforpaper/datasets/DDD/]</w:t>
      </w:r>
    </w:p>
    <w:p>
      <w:pPr>
        <w:spacing w:after="65" w:line="260"/>
        <w:ind w:left="360" w:hanging="360"/>
        <w:jc w:val="both"/>
      </w:pPr>
      <w:r>
        <w:rPr>
          <w:rFonts w:ascii="Times New Roman" w:cs="Times New Roman" w:eastAsia="Times New Roman" w:hAnsi="Times New Roman"/>
          <w:sz w:val="18"/>
          <w:szCs w:val="18"/>
        </w:rPr>
        <w:t xml:space="preserve">[5]  C.-T. Lin, R.-C. Wu, T.-P. Jung, S.-F. Liang, and T.-Y. Huang, "Estimating driving performance based on EEG spectrum analysis," EURASIP J. Advances in Signal Processing, 2005.</w:t>
      </w:r>
    </w:p>
    <w:p>
      <w:pPr>
        <w:spacing w:after="65" w:line="260"/>
        <w:ind w:left="360" w:hanging="360"/>
        <w:jc w:val="both"/>
      </w:pPr>
      <w:r>
        <w:rPr>
          <w:rFonts w:ascii="Times New Roman" w:cs="Times New Roman" w:eastAsia="Times New Roman" w:hAnsi="Times New Roman"/>
          <w:sz w:val="18"/>
          <w:szCs w:val="18"/>
        </w:rPr>
        <w:t xml:space="preserve">[6]  R. Mehta, T. Olivier, P. Gildersleeve, and S. Rosen, "Monitoring fatigue in drivers via physiological signals," IEEE Trans. Human-Machine Systems, vol. 51, no. 2, pp. 137–149, 2021.</w:t>
      </w:r>
    </w:p>
    <w:p>
      <w:pPr>
        <w:spacing w:after="65" w:line="260"/>
        <w:ind w:left="360" w:hanging="360"/>
        <w:jc w:val="both"/>
      </w:pPr>
      <w:r>
        <w:rPr>
          <w:rFonts w:ascii="Times New Roman" w:cs="Times New Roman" w:eastAsia="Times New Roman" w:hAnsi="Times New Roman"/>
          <w:sz w:val="18"/>
          <w:szCs w:val="18"/>
        </w:rPr>
        <w:t xml:space="preserve">[7]  T. Victor, J. Harbluk, and J. Engström, "Sensitivity of eye-movement measures to in-vehicle task difficulty," Transportation Research Part F, vol. 8, no. 2, pp. 167–190, 2005.</w:t>
      </w:r>
    </w:p>
    <w:p>
      <w:pPr>
        <w:spacing w:after="65" w:line="260"/>
        <w:ind w:left="360" w:hanging="360"/>
        <w:jc w:val="both"/>
      </w:pPr>
      <w:r>
        <w:rPr>
          <w:rFonts w:ascii="Times New Roman" w:cs="Times New Roman" w:eastAsia="Times New Roman" w:hAnsi="Times New Roman"/>
          <w:sz w:val="18"/>
          <w:szCs w:val="18"/>
        </w:rPr>
        <w:t xml:space="preserve">[8]  T. Soukupová and J. Čech, "Real-time eye blink detection using facial landmarks," in Proc. 21st Computer Vision Winter Workshop (CVWW), 2016.</w:t>
      </w:r>
    </w:p>
    <w:p>
      <w:pPr>
        <w:spacing w:after="65" w:line="260"/>
        <w:ind w:left="360" w:hanging="360"/>
        <w:jc w:val="both"/>
      </w:pPr>
      <w:r>
        <w:rPr>
          <w:rFonts w:ascii="Times New Roman" w:cs="Times New Roman" w:eastAsia="Times New Roman" w:hAnsi="Times New Roman"/>
          <w:sz w:val="18"/>
          <w:szCs w:val="18"/>
        </w:rPr>
        <w:t xml:space="preserve">[9]  R. Ghoddoosian, M. Galib, and V. Athitsos, "A realistic dataset and baseline temporal model for early drowsiness detection," in Proc. IEEE CVPR Workshops, 2019, pp. 3634–3642.</w:t>
      </w:r>
    </w:p>
    <w:p>
      <w:pPr>
        <w:spacing w:after="65" w:line="260"/>
        <w:ind w:left="360" w:hanging="360"/>
        <w:jc w:val="both"/>
      </w:pPr>
      <w:r>
        <w:rPr>
          <w:rFonts w:ascii="Times New Roman" w:cs="Times New Roman" w:eastAsia="Times New Roman" w:hAnsi="Times New Roman"/>
          <w:sz w:val="18"/>
          <w:szCs w:val="18"/>
        </w:rPr>
        <w:t xml:space="preserve">[10]  S. Park, F. Pan, S. Yoo, and S. Yun, "Driver drowsiness detection using feature representation learning via deep networks," in Proc. ACCV, 2016, pp. 154–164.</w:t>
      </w:r>
    </w:p>
    <w:p>
      <w:pPr>
        <w:spacing w:after="65" w:line="260"/>
        <w:ind w:left="360" w:hanging="360"/>
        <w:jc w:val="both"/>
      </w:pPr>
      <w:r>
        <w:rPr>
          <w:rFonts w:ascii="Times New Roman" w:cs="Times New Roman" w:eastAsia="Times New Roman" w:hAnsi="Times New Roman"/>
          <w:sz w:val="18"/>
          <w:szCs w:val="18"/>
        </w:rPr>
        <w:t xml:space="preserve">[11]  M. Abtahi, B. Hariri, and S. Shirmohammadi, "YawDD: A yawning detection dataset," in Proc. ACM MMSys, 2014, pp. 24–28.</w:t>
      </w:r>
    </w:p>
    <w:p>
      <w:pPr>
        <w:spacing w:after="65" w:line="260"/>
        <w:ind w:left="360" w:hanging="360"/>
        <w:jc w:val="both"/>
      </w:pPr>
      <w:r>
        <w:rPr>
          <w:rFonts w:ascii="Times New Roman" w:cs="Times New Roman" w:eastAsia="Times New Roman" w:hAnsi="Times New Roman"/>
          <w:sz w:val="18"/>
          <w:szCs w:val="18"/>
        </w:rPr>
        <w:t xml:space="preserve">[12]  M. H. Jones, D. Nguyen, and M. A. Minor, "Alerting fatigued drivers through auditory and visual warnings," Human Factors, vol. 58, no. 5, pp. 769–782, 2016.</w:t>
      </w:r>
    </w:p>
    <w:p>
      <w:pPr>
        <w:spacing w:after="65" w:line="260"/>
        <w:ind w:left="360" w:hanging="360"/>
        <w:jc w:val="both"/>
      </w:pPr>
      <w:r>
        <w:rPr>
          <w:rFonts w:ascii="Times New Roman" w:cs="Times New Roman" w:eastAsia="Times New Roman" w:hAnsi="Times New Roman"/>
          <w:sz w:val="18"/>
          <w:szCs w:val="18"/>
        </w:rPr>
        <w:t xml:space="preserve">[13]  J. Hall, D. Palsson, and J. Chase, "Is Uber a substitute or complement for public transit?," J. Urban Economics, vol. 108, pp. 36–50, 2018.</w:t>
      </w:r>
    </w:p>
    <w:p>
      <w:pPr>
        <w:spacing w:after="65" w:line="260"/>
        <w:ind w:left="360" w:hanging="360"/>
        <w:jc w:val="both"/>
      </w:pPr>
      <w:r>
        <w:rPr>
          <w:rFonts w:ascii="Times New Roman" w:cs="Times New Roman" w:eastAsia="Times New Roman" w:hAnsi="Times New Roman"/>
          <w:sz w:val="18"/>
          <w:szCs w:val="18"/>
        </w:rPr>
        <w:t xml:space="preserve">[14]  B. McMahan, E. Moore, D. Ramage, S. Hampson, and B. A. y Arcas, "Communication-efficient learning of deep networks from decentralized data," in Proc. AISTATS, 2017, pp. 1273–1282.</w:t>
      </w:r>
    </w:p>
    <w:sectPr>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6"/>
        <w:szCs w:val="16"/>
      </w:rPr>
      <w:t xml:space="preserve">978-X-XXXX-XXXX-X/26/$31.00 ©2026 IEEE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3212e9ec12d07279359a8c31023e046e4623348.png"/><Relationship Id="rId9" Type="http://schemas.openxmlformats.org/officeDocument/2006/relationships/image" Target="media/af95ce60860330babeeadeebd3fda0684061bf6a.png"/><Relationship Id="rId10" Type="http://schemas.openxmlformats.org/officeDocument/2006/relationships/image" Target="media/2c1802c124c83d4304ed7adcf41ef942ed5f2450.png"/><Relationship Id="rId11" Type="http://schemas.openxmlformats.org/officeDocument/2006/relationships/image" Target="media/0ff968996d12aea2b3f246eebcb34ce117c8085b.png"/><Relationship Id="rId12" Type="http://schemas.openxmlformats.org/officeDocument/2006/relationships/image" Target="media/c5104ad9571be6bb3834bfdf52396f8767df4bc6.png"/><Relationship Id="rId13" Type="http://schemas.openxmlformats.org/officeDocument/2006/relationships/image" Target="media/2e2bd6b4597b9faa83c22042c6cd416d4fbdfe59.png"/><Relationship Id="rId14" Type="http://schemas.openxmlformats.org/officeDocument/2006/relationships/image" Target="media/182e34a85f2633ba1f5595cd7fc76c84b46aef99.png"/><Relationship Id="rId15" Type="http://schemas.openxmlformats.org/officeDocument/2006/relationships/image" Target="media/66665acc7b8176bd196a7bfb77258ef571eca2f3.png"/><Relationship Id="rId16" Type="http://schemas.openxmlformats.org/officeDocument/2006/relationships/image" Target="media/cde0beb6adab897a97ba202c70d3caa9992214bb.png"/><Relationship Id="rId17" Type="http://schemas.openxmlformats.org/officeDocument/2006/relationships/image" Target="media/1d17c7e2d5717e147aeb17d0c05a861cf801f603.png"/><Relationship Id="rId18" Type="http://schemas.openxmlformats.org/officeDocument/2006/relationships/image" Target="media/a5eaac0dd356208e0794aa5f4cea4f80e9b5919e.png"/><Relationship Id="rId19" Type="http://schemas.openxmlformats.org/officeDocument/2006/relationships/image" Target="media/77dd9aa73dd304592996b7a29c6db5635bb7a5a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2026-05-31T02:57:43.276Z</dcterms:created>
  <dcterms:modified xsi:type="dcterms:W3CDTF">2026-05-31T02:57:43.289Z</dcterms:modified>
</cp:coreProperties>
</file>

<file path=docProps/custom.xml><?xml version="1.0" encoding="utf-8"?>
<Properties xmlns="http://schemas.openxmlformats.org/officeDocument/2006/custom-properties" xmlns:vt="http://schemas.openxmlformats.org/officeDocument/2006/docPropsVTypes"/>
</file>