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PRACTICUM MANAGEMENT SYSTEM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333333"/>
          <w:sz w:val="24"/>
          <w:szCs w:val="24"/>
        </w:rPr>
        <w:t xml:space="preserve">Adviser Portal &amp; Compliance Review Manual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STI College Marikina | BSIT Practicum Program (460 Hours Requirement)
Proponents: Kerin Gabriel B. del Rosario, John Dwayne Guaniso, Jiro Salvan</w:t>
      </w:r>
    </w:p>
    <w:p>
      <w:pPr>
        <w:pBdr>
          <w:bottom w:val="single" w:color="000000" w:sz="6"/>
        </w:pBdr>
        <w:spacing w:after="240"/>
      </w:pPr>
    </w:p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Adviser Portal Overview &amp; Role Identity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Adviser Portal equips faculty practicum advisers and academic coordinators with a high-throughput management workspace to oversee assigned student cohorts (typically 40 to 50 students per section). Advisers review pre-internship legal forms, evaluate corporate partner eligibility, request document revisions with detailed comments, issue digital endorsement credentials, and track intern attendance milestones.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CCCCCC" w:sz="2"/>
              <w:bottom w:val="single" w:color="000000" w:sz="6"/>
              <w:right w:val="single" w:color="CCCCCC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Functional Domain</w:t>
            </w:r>
          </w:p>
        </w:tc>
        <w:tc>
          <w:tcPr>
            <w:tcW w:type="dxa" w:w="3744"/>
            <w:tcBorders>
              <w:top w:val="single" w:color="000000" w:sz="4"/>
              <w:left w:val="single" w:color="CCCCCC" w:sz="2"/>
              <w:bottom w:val="single" w:color="000000" w:sz="6"/>
              <w:right w:val="single" w:color="CCCCCC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Adviser Capability</w:t>
            </w:r>
          </w:p>
        </w:tc>
        <w:tc>
          <w:tcPr>
            <w:tcW w:type="dxa" w:w="3557"/>
            <w:tcBorders>
              <w:top w:val="single" w:color="000000" w:sz="4"/>
              <w:left w:val="single" w:color="CCCCCC" w:sz="2"/>
              <w:bottom w:val="single" w:color="000000" w:sz="6"/>
              <w:right w:val="single" w:color="CCCCCC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Underlying Technology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Cohort Oversight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Filter, search, and audit students by section and status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Supabase PostgreSQL profiles table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Review Room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Dual-viewport document and remarks workspace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@embedpdf/react-pdf-viewer &amp; DocxViewer.tsx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AI Compliance Audit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1.5-second automated grammar, signature &amp; MOA scan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Groq Cloud (Llama 3.3 70B) + Gemini Fallback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Endorsements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Issue digital faculty clearances to partner firms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Serverless PDF generation &amp; Supabase Storage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Historical Audit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Append-only revision feedback comments thread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submission_comments table with author timestamps</w:t>
            </w:r>
          </w:p>
        </w:tc>
      </w:tr>
      <w:tr>
        <w:tc>
          <w:tcPr>
            <w:tcW w:type="dxa" w:w="2059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Section Analytics</w:t>
            </w:r>
          </w:p>
        </w:tc>
        <w:tc>
          <w:tcPr>
            <w:tcW w:type="dxa" w:w="3744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Cohort compliance rate and hours comparative metrics</w:t>
            </w:r>
          </w:p>
        </w:tc>
        <w:tc>
          <w:tcPr>
            <w:tcW w:type="dxa" w:w="3557"/>
            <w:tcBorders>
              <w:top w:val="single" w:color="E0E0E0" w:sz="2"/>
              <w:left w:val="single" w:color="CCCCCC" w:sz="2"/>
              <w:bottom w:val="single" w:color="E0E0E0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ClassReports.tsx &amp; AdviserComparison.tsx</w:t>
            </w:r>
          </w:p>
        </w:tc>
      </w:tr>
    </w:tbl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Roster Management &amp; Section Filtering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 MyStudents.tsx, faculty advisers manage their assigned sections through an interactive data grid. The interface supports instantaneous filtering across academic tracks, sections, and compliance states: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Section Selector: Quick dropdown switching between assigned classes (e.g. BSIT-4A, BSIT-4B).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Compliance Health Badges: Color-coded status tags (On Track, Needs Revision, Pending Endorsement, Cleared) highlighting at-risk students.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Placement Progress Bar: Real-time visual tracking of verified rendered hours out of the 460-hour requirement.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Student Detail Drawer: Slide-out drawer displaying student profile, host company contacts, and complete submission history.</w:t>
      </w:r>
    </w:p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Dual-Viewport Document Review Room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To prevent the inefficiency of downloading files locally and switching between external viewers, the review room (src/pages/adviser/DocumentReviewSession.tsx) implements an ergonomic dual-viewport layout.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Left Viewport (col-span-7 / col-span-8): High-Fidelity Canvas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Native PDF Submissions: Rendered via @embedpdf/react-pdf-viewer with page thumbnails, fluid zoom, and text search.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DOCX Submissions: Rendered natively via DocxViewer.tsx with clean CSS container overrides.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Explicit Sizing Rule: Viewer containers enforce strict 100% width and height styling to prevent canvas collapse to 0px.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Right Viewport (col-span-5 / col-span-4): Remarks &amp; AI Panel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Metadata Strip: Student ID, section, document title, submission date, and current revision cycle number.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AI Assistant Panel: One-click trigger executing the dual-model AI compliance audit.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Remarks Drawer: Chronological feedback thread archiving past adviser notes and student explanations.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Decision Action Buttons: Primary "Approve Document" button and secondary "Request Revision" button.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CCCCCC" w:sz="2"/>
              <w:left w:val="single" w:color="888888" w:sz="6"/>
              <w:bottom w:val="single" w:color="CCCCCC" w:sz="2"/>
              <w:right w:val="single" w:color="CCCCCC" w:sz="2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7"/>
                <w:szCs w:val="17"/>
              </w:rPr>
              <w:t xml:space="preserve">CODE LISTING: Adviser Review Action Dispatcher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DocumentReviewSession.tsx - Review Decision Handlers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const handleApprove = async () =&gt;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setIsSubmitting(true);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try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const { error } = await supabase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.from('student_documents')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.update({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status: 'Approved',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adviser_feedback: remarks,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updated_at: new Date().toISOString(),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})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.eq('id', submissionId);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if (error) throw error;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Append to audit trail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await supabase.from('submission_comments').insert({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submission_id: submissionId,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author_name: user.full_name,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author_role: 'adviser',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text: remarks || 'Document approved by adviser.',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toast.success('Document marked as Approved!');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navigate('/adviser/review');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} catch (err: any)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toast.error('Approval failed: ' + err.message);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} finally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setIsSubmitting(false);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};</w:t>
            </w:r>
          </w:p>
        </w:tc>
      </w:tr>
    </w:tbl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Dual-Model AI Review Assistant (Groq + Gemini)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Faculty advisers often experience review fatigue when manually inspecting hundreds of multi-page student documents for typos, missing signatures, or incorrect dates. The system solves this with an automated AI Review Assistant.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The Dual-Model Architecture &amp; Fallback Mechanics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1. Document Fetch &amp; Parsing: The Express backend (/api/analyze) retrieves the PDF binary buffer from Supabase Storage and extracts raw text using pdf-parse.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2. Primary Inference (Groq Cloud): Dispatches extracted text to Groq Cloud running llama-3.3-70b-versatile. Operating on specialized LPU hardware, Groq completes the analysis in ~1.2 seconds at 750 tokens/sec.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3. Automatic Fallback (Google Gemini): If Groq experiences rate limits, network timeouts, or service unavailability, the backend automatically redirects the prompt to Google Gemini 1.5 Flash (gemini-1.5-flash) with zero user downtime.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4. Strict JSON Findings: Both models return a standardized JSON schema containing overallAssessment, grammarIssues count, missingInformation array, and actionable recommendations.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5. One-Click Remark Insertion: Advisers can click any recommendation to insert it directly into the feedback text box.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CCCCCC" w:sz="2"/>
              <w:left w:val="single" w:color="888888" w:sz="6"/>
              <w:bottom w:val="single" w:color="CCCCCC" w:sz="2"/>
              <w:right w:val="single" w:color="CCCCCC" w:sz="2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7"/>
                <w:szCs w:val="17"/>
              </w:rPr>
              <w:t xml:space="preserve">CODE LISTING: Dual-Model AI Review Pipeline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backend/services/aiService.ts - Dual-Model AI Engine Implementation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export async function analyzeDocumentWithAi(pdfText: string, meta: StudentMeta): Promise&lt;AiFindings&gt;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const prompt = `You are an institutional practicum compliance auditor for STI College Marikina.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Audit this document for student ${meta.name}, enrolled in ${meta.course}.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Verify: grammar correctness, complete dates, presence of signatures, and consistency with company ${meta.company}.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Return strict JSON matching: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"overallAssessment": "Good" | "Needs Attention" | "Critical Issues",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"grammarCount": number,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"missingFields": string[],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"recommendations": string[]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// 1. Primary High-Speed Engine: Groq Cloud LPU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try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const groqRes = await fetch('https://api.groq.com/openai/v1/chat/completions',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method: 'POST',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headers: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'Authorization': `Bearer ${process.env.VITE_GROQ_API_KEY}`,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'Content-Type': 'application/json',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body: JSON.stringify({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model: 'llama-3.3-70b-versatile',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messages: [{ role: 'user', content: prompt + '\n\n' + pdfText }],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response_format: { type: 'json_object'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}),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if (groqRes.ok)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const data = await groqRes.json();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return JSON.parse(data.choices[0].message.content);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} catch (groqErr)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console.warn('Groq LPU failed. Triggering automatic Gemini fallback...', groqErr);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// 2. High-Reliability Fallback: Google Gemini 1.5 Flash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const geminiRes = await fetch(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`https://generativelanguage.googleapis.com/v1beta/models/gemini-1.5-flash:generateContent?key=${process.env.GEMINI_API_KEY}`,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method: 'POST',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headers: { 'Content-Type': 'application/json'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body: JSON.stringify({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contents: [{ parts: [{ text: prompt + '\n\n' + pdfText }] }],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generationConfig: { responseMimeType: 'application/json'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}),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const geminiData = await geminiRes.json();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return JSON.parse(geminiData.candidates[0].content.parts[0].text);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00000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Revision Tracking &amp; Historical Feedback Audit Trail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When an adviser requests a revision, the submission status transitions to "Needs Revision" and a record is created in submission_comments. This establishes an unalterable audit trail: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Explicit Remediation: Advisers provide clear, targeted instructions (e.g. "Parent signature missing on page 2").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Real-Time Student Notification: The student dashboard immediately displays a revision badge with one-click navigation to the document editor.</w:t>
      </w:r>
    </w:p>
    <w:p>
      <w:pPr>
        <w:spacing w:after="60" w:line="260"/>
        <w:ind w:left="3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Immutable Audit History: Historical feedback entries are permanently retained, providing full visibility during panelist defenses.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33333"/>
        <w:sz w:val="18"/>
        <w:szCs w:val="18"/>
      </w:rPr>
      <w:t xml:space="preserve">Page </w:t>
    </w:r>
    <w:r>
      <w:rPr>
        <w:rFonts w:ascii="Calibri" w:cs="Calibri" w:eastAsia="Calibri" w:hAnsi="Calibri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33333"/>
        <w:sz w:val="18"/>
        <w:szCs w:val="18"/>
      </w:rPr>
      <w:t xml:space="preserve"> of </w:t>
    </w:r>
    <w:r>
      <w:rPr>
        <w:rFonts w:ascii="Calibri" w:cs="Calibri" w:eastAsia="Calibri" w:hAnsi="Calibri"/>
        <w:color w:val="33333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Calibri" w:cs="Calibri" w:eastAsia="Calibri" w:hAnsi="Calibri"/>
        <w:i/>
        <w:iCs/>
        <w:color w:val="333333"/>
        <w:sz w:val="16"/>
        <w:szCs w:val="16"/>
      </w:rPr>
      <w:t xml:space="preserve">STI College Marikina | BSIT Practicum System | Adviser Portal &amp; Review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2026-09-20T04:24:12.922Z</dcterms:created>
  <dcterms:modified xsi:type="dcterms:W3CDTF">2026-09-20T04:24:12.922Z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