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/>
          <w:b/>
          <w:color w:val="1D3447"/>
          <w:sz w:val="52"/>
        </w:rPr>
        <w:t>PROVODNIK</w:t>
      </w:r>
    </w:p>
    <w:p>
      <w:pPr>
        <w:jc w:val="center"/>
      </w:pPr>
      <w:r>
        <w:rPr>
          <w:rFonts w:ascii="Arial" w:hAnsi="Arial" w:eastAsia="Arial"/>
          <w:color w:val="5C6770"/>
          <w:sz w:val="26"/>
        </w:rPr>
        <w:t>Описание проекта, продукта, рынка и текущего статуса разработки</w:t>
      </w:r>
    </w:p>
    <w:p>
      <w:pPr>
        <w:jc w:val="center"/>
      </w:pPr>
      <w:r>
        <w:rPr>
          <w:rFonts w:ascii="Arial" w:hAnsi="Arial" w:eastAsia="Arial"/>
          <w:color w:val="0F766E"/>
          <w:sz w:val="22"/>
        </w:rPr>
        <w:t>Мобильный маркетплейс экскурсий и туров по России</w:t>
      </w:r>
    </w:p>
    <w:p/>
    <w:p>
      <w:pPr>
        <w:pStyle w:val="Heading2"/>
      </w:pPr>
      <w:r>
        <w:t>Краткое резюме</w:t>
      </w:r>
    </w:p>
    <w:p>
      <w:pPr>
        <w:pStyle w:val="ListBullet"/>
      </w:pPr>
      <w:r>
        <w:t>Provodnik — это mobile-first marketplace для экскурсий и туров по России, который объединяет готовые листинги, traveler requests, сбор групп и структурированный отклик гидов.</w:t>
      </w:r>
    </w:p>
    <w:p>
      <w:pPr>
        <w:pStyle w:val="ListBullet"/>
      </w:pPr>
      <w:r>
        <w:t>Ключевая гипотеза проекта: рынок уже подтвержден крупными игроками, но значительная часть спроса и предложения по-прежнему обслуживается вручную через Telegram, звонки, соцсети и личные контакты.</w:t>
      </w:r>
    </w:p>
    <w:p>
      <w:pPr>
        <w:pStyle w:val="ListBullet"/>
      </w:pPr>
      <w:r>
        <w:t>Проект не строится как еще один generic listing site. Основной wedge — request-first flow, бюджетный group formation и lower-commission модель для локальных гидов и мини-операторов.</w:t>
      </w:r>
    </w:p>
    <w:p>
      <w:pPr>
        <w:pStyle w:val="ListBullet"/>
      </w:pPr>
      <w:r>
        <w:t>На текущий момент в репозитории уже собрана рабочая MVP-база: public shell, protected workspaces, traveler requests, guide onboarding, listing discovery, moderation scaffolds и booking-ready foundation.</w:t>
      </w:r>
    </w:p>
    <w:p>
      <w:r>
        <w:br w:type="page"/>
      </w:r>
    </w:p>
    <w:p>
      <w:pPr>
        <w:pStyle w:val="Heading1"/>
      </w:pPr>
      <w:r>
        <w:t>1. Что такое Provodnik</w:t>
      </w:r>
    </w:p>
    <w:p>
      <w:pPr>
        <w:spacing w:after="120"/>
      </w:pPr>
      <w:r>
        <w:t>Provodnik — это маркетплейс экскурсий и туров по России, ориентированный на ту часть рынка, где потребности путешественников не закрываются фиксированными каталогами, а работа гидов и небольших операторов остается слабо оцифрованной.</w:t>
      </w:r>
    </w:p>
    <w:p>
      <w:pPr>
        <w:spacing w:after="120"/>
      </w:pPr>
      <w:r>
        <w:t>Продукт объединяет несколько сценариев в одной системе: поиск готовых предложений, создание пользовательского запроса по датам, бюджету и формату, присоединение к уже существующей группе, получение структурированных офферов от гидов, бронирование и последующую trust-loop механику через отзывы и moderation.</w:t>
      </w:r>
    </w:p>
    <w:p>
      <w:pPr>
        <w:pStyle w:val="ListBullet"/>
        <w:spacing w:after="40"/>
      </w:pPr>
      <w:r>
        <w:t>Фокус на mobile-first web app, а не на brochure site.</w:t>
      </w:r>
    </w:p>
    <w:p>
      <w:pPr>
        <w:pStyle w:val="ListBullet"/>
        <w:spacing w:after="40"/>
      </w:pPr>
      <w:r>
        <w:t>Основной продуктовый сценарий: request-first, но не request-only.</w:t>
      </w:r>
    </w:p>
    <w:p>
      <w:pPr>
        <w:pStyle w:val="ListBullet"/>
        <w:spacing w:after="40"/>
      </w:pPr>
      <w:r>
        <w:t>Ценность для traveler-side: лучшее совпадение по бюджету, датам и формату, плюс более низкая цена через сбор группы.</w:t>
      </w:r>
    </w:p>
    <w:p>
      <w:pPr>
        <w:pStyle w:val="ListBullet"/>
        <w:spacing w:after="40"/>
      </w:pPr>
      <w:r>
        <w:t>Ценность для guide-side: lower take rate, дополнительный канал продаж и более структурированные лиды.</w:t>
      </w:r>
    </w:p>
    <w:p/>
    <w:p>
      <w:pPr>
        <w:pStyle w:val="Heading1"/>
      </w:pPr>
      <w:r>
        <w:t>2. Проблема рынка</w:t>
      </w:r>
    </w:p>
    <w:p>
      <w:pPr>
        <w:spacing w:after="120"/>
      </w:pPr>
      <w:r>
        <w:t>Согласно PRD и market research, рынок экскурсий в России уже частично оцифрован, но остается структурно фрагментированным. Крупные игроки закрывают широкий каталог и базовые trust-механики, однако значительная часть локального спроса и long-tail supply все еще живет вне формальных marketplace flows.</w:t>
      </w:r>
    </w:p>
    <w:p>
      <w:pPr>
        <w:spacing w:after="120"/>
      </w:pPr>
      <w:r>
        <w:t>Это проявляется в нескольких устойчивых проблемах: коммуникация между traveler и guide часто происходит вручную, групповой формат собирается хаотично, custom demand плохо вписывается в fixed listing model, а для небольших гидов высокие комиссии крупных агрегаторов снижают экономическую привлекательность работы через платформы.</w:t>
      </w:r>
    </w:p>
    <w:p>
      <w:pPr>
        <w:pStyle w:val="ListBullet"/>
        <w:spacing w:after="40"/>
      </w:pPr>
      <w:r>
        <w:t>Большая доля спроса и предложения распределена между Telegram, звонками, соцсетями, объявлениями и личными рекомендациями.</w:t>
      </w:r>
    </w:p>
    <w:p>
      <w:pPr>
        <w:pStyle w:val="ListBullet"/>
        <w:spacing w:after="40"/>
      </w:pPr>
      <w:r>
        <w:t>Budget-sensitive travelers остаются недообслуженными, потому что private format часто слишком дорогой.</w:t>
      </w:r>
    </w:p>
    <w:p>
      <w:pPr>
        <w:pStyle w:val="ListBullet"/>
        <w:spacing w:after="40"/>
      </w:pPr>
      <w:r>
        <w:t>Custom itineraries и нестандартные запросы неудобно обрабатывать в listing-first архитектуре.</w:t>
      </w:r>
    </w:p>
    <w:p>
      <w:pPr>
        <w:pStyle w:val="ListBullet"/>
        <w:spacing w:after="40"/>
      </w:pPr>
      <w:r>
        <w:t>Trust зависит от разрозненных сигналов, а не от единой истории бронирований, отзывов и verification.</w:t>
      </w:r>
    </w:p>
    <w:p/>
    <w:p>
      <w:pPr>
        <w:pStyle w:val="Heading1"/>
      </w:pPr>
      <w:r>
        <w:t>3. Результаты market research</w:t>
      </w:r>
    </w:p>
    <w:p>
      <w:pPr>
        <w:spacing w:after="120"/>
      </w:pPr>
      <w:r>
        <w:t>Research показывает, что категория уже подтверждена сильными игроками. Tripster и Sputnik8 доказывают, что в рынке есть достаточно спроса, готовность к онлайн-бронированию, чувствительность к response speed и высокая значимость рейтингов, отзывов, cancellation rules и anti-circumvention механизмов.</w:t>
      </w:r>
    </w:p>
    <w:p>
      <w:pPr>
        <w:spacing w:after="120"/>
      </w:pPr>
      <w:r>
        <w:t>Одновременно research показывает, что head-to-head стратегия против incumbents как "еще один каталог, но дешевле" будет слабой. Простое снижение комиссии не создает moat. Более сильный вход — это цифровизация fragment tail: traveler-created requests, сбор группы по бюджету и датам, а также under-digitized regional supply.</w:t>
      </w:r>
    </w:p>
    <w:p>
      <w:pPr>
        <w:pStyle w:val="ListBullet"/>
        <w:spacing w:after="40"/>
      </w:pPr>
      <w:r>
        <w:t>Tripster силен в trust, conversion discipline и supply quality control.</w:t>
      </w:r>
    </w:p>
    <w:p>
      <w:pPr>
        <w:pStyle w:val="ListBullet"/>
        <w:spacing w:after="40"/>
      </w:pPr>
      <w:r>
        <w:t>Sputnik8 публично декларирует комиссию 24% и выше, что делает lower-take positioning коммерчески понятным.</w:t>
      </w:r>
    </w:p>
    <w:p>
      <w:pPr>
        <w:pStyle w:val="ListBullet"/>
        <w:spacing w:after="40"/>
      </w:pPr>
      <w:r>
        <w:t>Оба крупных игрока фактически подтверждают необходимость reviews, moderation, response speed и refund logic как category table stakes.</w:t>
      </w:r>
    </w:p>
    <w:p>
      <w:pPr>
        <w:pStyle w:val="ListBullet"/>
        <w:spacing w:after="40"/>
      </w:pPr>
      <w:r>
        <w:t>Наиболее перспективное окно для Provodnik — custom demand, group assembly и long-tail regional supply.</w:t>
      </w:r>
    </w:p>
    <w:p>
      <w:pPr>
        <w:pStyle w:val="Heading2"/>
      </w:pPr>
      <w:r>
        <w:t>Сравнение рыночной позиции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fill="DCEEE8"/>
          </w:tcPr>
          <w:p>
            <w:r>
              <w:t>Параметр</w:t>
            </w:r>
          </w:p>
        </w:tc>
        <w:tc>
          <w:tcPr>
            <w:tcW w:type="dxa" w:w="2550"/>
            <w:shd w:fill="DCEEE8"/>
          </w:tcPr>
          <w:p>
            <w:r>
              <w:t>Tripster</w:t>
            </w:r>
          </w:p>
        </w:tc>
        <w:tc>
          <w:tcPr>
            <w:tcW w:type="dxa" w:w="2550"/>
            <w:shd w:fill="DCEEE8"/>
          </w:tcPr>
          <w:p>
            <w:r>
              <w:t>Sputnik8</w:t>
            </w:r>
          </w:p>
        </w:tc>
        <w:tc>
          <w:tcPr>
            <w:tcW w:type="dxa" w:w="2550"/>
            <w:shd w:fill="DCEEE8"/>
          </w:tcPr>
          <w:p>
            <w:r>
              <w:t>Provodnik</w:t>
            </w:r>
          </w:p>
        </w:tc>
      </w:tr>
      <w:tr>
        <w:tc>
          <w:tcPr>
            <w:tcW w:type="dxa" w:w="2550"/>
          </w:tcPr>
          <w:p>
            <w:r>
              <w:t>Основная модель</w:t>
            </w:r>
          </w:p>
        </w:tc>
        <w:tc>
          <w:tcPr>
            <w:tcW w:type="dxa" w:w="2550"/>
          </w:tcPr>
          <w:p>
            <w:r>
              <w:t>Listing-first marketplace</w:t>
            </w:r>
          </w:p>
        </w:tc>
        <w:tc>
          <w:tcPr>
            <w:tcW w:type="dxa" w:w="2550"/>
          </w:tcPr>
          <w:p>
            <w:r>
              <w:t>Marketplace / showcase model</w:t>
            </w:r>
          </w:p>
        </w:tc>
        <w:tc>
          <w:tcPr>
            <w:tcW w:type="dxa" w:w="2550"/>
          </w:tcPr>
          <w:p>
            <w:r>
              <w:t>Request-first + listings</w:t>
            </w:r>
          </w:p>
        </w:tc>
      </w:tr>
      <w:tr>
        <w:tc>
          <w:tcPr>
            <w:tcW w:type="dxa" w:w="2550"/>
          </w:tcPr>
          <w:p>
            <w:r>
              <w:t>Сильная сторона</w:t>
            </w:r>
          </w:p>
        </w:tc>
        <w:tc>
          <w:tcPr>
            <w:tcW w:type="dxa" w:w="2550"/>
          </w:tcPr>
          <w:p>
            <w:r>
              <w:t>Trust, conversion discipline, quality control</w:t>
            </w:r>
          </w:p>
        </w:tc>
        <w:tc>
          <w:tcPr>
            <w:tcW w:type="dxa" w:w="2550"/>
          </w:tcPr>
          <w:p>
            <w:r>
              <w:t>Широкий supply и большой guide base</w:t>
            </w:r>
          </w:p>
        </w:tc>
        <w:tc>
          <w:tcPr>
            <w:tcW w:type="dxa" w:w="2550"/>
          </w:tcPr>
          <w:p>
            <w:r>
              <w:t>Custom demand, group formation, lower take</w:t>
            </w:r>
          </w:p>
        </w:tc>
      </w:tr>
      <w:tr>
        <w:tc>
          <w:tcPr>
            <w:tcW w:type="dxa" w:w="2550"/>
          </w:tcPr>
          <w:p>
            <w:r>
              <w:t>Публичная комиссия</w:t>
            </w:r>
          </w:p>
        </w:tc>
        <w:tc>
          <w:tcPr>
            <w:tcW w:type="dxa" w:w="2550"/>
          </w:tcPr>
          <w:p>
            <w:r>
              <w:t>Комиссия подтверждена, фиксированный процент публично не верифицирован</w:t>
            </w:r>
          </w:p>
        </w:tc>
        <w:tc>
          <w:tcPr>
            <w:tcW w:type="dxa" w:w="2550"/>
          </w:tcPr>
          <w:p>
            <w:r>
              <w:t>24% и выше, минимум 200 RUB</w:t>
            </w:r>
          </w:p>
        </w:tc>
        <w:tc>
          <w:tcPr>
            <w:tcW w:type="dxa" w:w="2550"/>
          </w:tcPr>
          <w:p>
            <w:r>
              <w:t>Целевой take rate 10–15%</w:t>
            </w:r>
          </w:p>
        </w:tc>
      </w:tr>
      <w:tr>
        <w:tc>
          <w:tcPr>
            <w:tcW w:type="dxa" w:w="2550"/>
          </w:tcPr>
          <w:p>
            <w:r>
              <w:t>Главный wedge</w:t>
            </w:r>
          </w:p>
        </w:tc>
        <w:tc>
          <w:tcPr>
            <w:tcW w:type="dxa" w:w="2550"/>
          </w:tcPr>
          <w:p>
            <w:r>
              <w:t>Широкий каталог и trust</w:t>
            </w:r>
          </w:p>
        </w:tc>
        <w:tc>
          <w:tcPr>
            <w:tcW w:type="dxa" w:w="2550"/>
          </w:tcPr>
          <w:p>
            <w:r>
              <w:t>Большой охват и supply breadth</w:t>
            </w:r>
          </w:p>
        </w:tc>
        <w:tc>
          <w:tcPr>
            <w:tcW w:type="dxa" w:w="2550"/>
          </w:tcPr>
          <w:p>
            <w:r>
              <w:t>Budget-led groups, traveler requests, regional tail</w:t>
            </w:r>
          </w:p>
        </w:tc>
      </w:tr>
    </w:tbl>
    <w:p/>
    <w:p>
      <w:pPr>
        <w:pStyle w:val="Heading1"/>
      </w:pPr>
      <w:r>
        <w:t>4. Почему продукт имеет право на существование</w:t>
      </w:r>
    </w:p>
    <w:p>
      <w:pPr>
        <w:spacing w:after="120"/>
      </w:pPr>
      <w:r>
        <w:t>Продуктовая логика Provodnik опирается не на копирование incumbent model, а на другую рыночную механику. Вместо того чтобы просто строить каталог экскурсий, Provodnik должен становиться demand-and-supply exchange, где traveler может описать нужный формат поездки, а гиды получают квалифицированный запрос и могут ответить на него структурированным оффером.</w:t>
      </w:r>
    </w:p>
    <w:p>
      <w:pPr>
        <w:spacing w:after="120"/>
      </w:pPr>
      <w:r>
        <w:t>Такой подход особенно силен в сценариях, где важны бюджетные ограничения, гибкость маршрута, набор участников и локальная специфика. Именно эти кейсы хуже всего обслуживаются существующими listing-first платформами.</w:t>
      </w:r>
    </w:p>
    <w:p>
      <w:pPr>
        <w:pStyle w:val="ListBullet"/>
        <w:spacing w:after="40"/>
      </w:pPr>
      <w:r>
        <w:t>Lower commission работает только в паре с новым типом качественного спроса.</w:t>
      </w:r>
    </w:p>
    <w:p>
      <w:pPr>
        <w:pStyle w:val="ListBullet"/>
        <w:spacing w:after="40"/>
      </w:pPr>
      <w:r>
        <w:t>Group formation снижает price friction и расширяет доступность экскурсий.</w:t>
      </w:r>
    </w:p>
    <w:p>
      <w:pPr>
        <w:pStyle w:val="ListBullet"/>
        <w:spacing w:after="40"/>
      </w:pPr>
      <w:r>
        <w:t>Request workflow помогает конвертировать спрос, который иначе уходит в ручную коммуникацию.</w:t>
      </w:r>
    </w:p>
    <w:p>
      <w:pPr>
        <w:pStyle w:val="ListBullet"/>
        <w:spacing w:after="40"/>
      </w:pPr>
      <w:r>
        <w:t>Trust-layer через verification, ratings, booking state и policy pages обязателен с первого этапа.</w:t>
      </w:r>
    </w:p>
    <w:p/>
    <w:p>
      <w:pPr>
        <w:pStyle w:val="Heading1"/>
      </w:pPr>
      <w:r>
        <w:t>5. Что уже сделано в приложении</w:t>
      </w:r>
    </w:p>
    <w:p>
      <w:pPr>
        <w:spacing w:after="120"/>
      </w:pPr>
      <w:r>
        <w:t>Проект уже находится на стадии рабочей MVP-базы. На main зафиксирован baseline, который проходит lint, typecheck и build и дает основу для дальнейшей продуктовой итерации без повторной сборки фундамента.</w:t>
      </w:r>
    </w:p>
    <w:p>
      <w:pPr>
        <w:spacing w:after="120"/>
      </w:pPr>
      <w:r>
        <w:t>Согласно roadmap и repo docs, Release 1 Transaction Foundation по основным tracked slices завершен. Это означает, что в проекте уже собраны ключевые scaffolds и локальные flows, необходимые для демонстрации product architecture и перехода к следующему качественному слою.</w:t>
      </w:r>
    </w:p>
    <w:p>
      <w:pPr>
        <w:pStyle w:val="ListBullet"/>
        <w:spacing w:after="40"/>
      </w:pPr>
      <w:r>
        <w:t>Собран public marketing shell и baseline маршрутизация на Next.js 16 App Router.</w:t>
      </w:r>
    </w:p>
    <w:p>
      <w:pPr>
        <w:pStyle w:val="ListBullet"/>
        <w:spacing w:after="40"/>
      </w:pPr>
      <w:r>
        <w:t>Поднят protected shell с role navigation для traveler, guide и admin workspaces.</w:t>
      </w:r>
    </w:p>
    <w:p>
      <w:pPr>
        <w:pStyle w:val="ListBullet"/>
        <w:spacing w:after="40"/>
      </w:pPr>
      <w:r>
        <w:t>Реализованы traveler request creation, local request storage, request detail и offer comparison flow.</w:t>
      </w:r>
    </w:p>
    <w:p>
      <w:pPr>
        <w:pStyle w:val="ListBullet"/>
        <w:spacing w:after="40"/>
      </w:pPr>
      <w:r>
        <w:t>Реализованы guide onboarding, verification intake, request inbox и structured offer composer.</w:t>
      </w:r>
    </w:p>
    <w:p>
      <w:pPr>
        <w:pStyle w:val="ListBullet"/>
        <w:spacing w:after="40"/>
      </w:pPr>
      <w:r>
        <w:t>Добавлены public guide profiles, trust markers, listing discovery, listing detail и booking detail scaffolds.</w:t>
      </w:r>
    </w:p>
    <w:p>
      <w:pPr>
        <w:pStyle w:val="ListBullet"/>
        <w:spacing w:after="40"/>
      </w:pPr>
      <w:r>
        <w:t>Собраны admin queues для проверки гидов и moderation листингов.</w:t>
      </w:r>
    </w:p>
    <w:p>
      <w:pPr>
        <w:pStyle w:val="ListBullet"/>
        <w:spacing w:after="40"/>
      </w:pPr>
      <w:r>
        <w:t>Приложение поддерживает shell-safe local state без обязательных Supabase credentials.</w:t>
      </w:r>
    </w:p>
    <w:p/>
    <w:p>
      <w:pPr>
        <w:pStyle w:val="Heading1"/>
      </w:pPr>
      <w:r>
        <w:t>6. Что делаем дальше</w:t>
      </w:r>
    </w:p>
    <w:p>
      <w:pPr>
        <w:spacing w:after="120"/>
      </w:pPr>
      <w:r>
        <w:t>После завершения Release 1 основной фокус смещается на Release 2 Marketplace Quality. Здесь задача уже не в том, чтобы просто показать структуру продукта, а в том, чтобы усилить marketplace loop и trust mechanics, которые критичны для реального запуска.</w:t>
      </w:r>
    </w:p>
    <w:p>
      <w:pPr>
        <w:spacing w:after="120"/>
      </w:pPr>
      <w:r>
        <w:t>Только после стабилизации non-payment marketplace loops имеет смысл подключать реальную платежную интеграцию и финальный booking confirmation flow. Такой порядок снижает технический шум и позволяет доказать продуктовую логику до интеграции hardest operational surface.</w:t>
      </w:r>
    </w:p>
    <w:p>
      <w:pPr>
        <w:pStyle w:val="ListBullet"/>
        <w:spacing w:after="40"/>
      </w:pPr>
      <w:r>
        <w:t>Open request discovery и group join experience.</w:t>
      </w:r>
    </w:p>
    <w:p>
      <w:pPr>
        <w:pStyle w:val="ListBullet"/>
        <w:spacing w:after="40"/>
      </w:pPr>
      <w:r>
        <w:t>Favorites и saved supply для traveler-side retention.</w:t>
      </w:r>
    </w:p>
    <w:p>
      <w:pPr>
        <w:pStyle w:val="ListBullet"/>
        <w:spacing w:after="40"/>
      </w:pPr>
      <w:r>
        <w:t>Post-booking reviews, trust loop и visibility signals.</w:t>
      </w:r>
    </w:p>
    <w:p>
      <w:pPr>
        <w:pStyle w:val="ListBullet"/>
        <w:spacing w:after="40"/>
      </w:pPr>
      <w:r>
        <w:t>Notification center и ключевые marketplace notifications.</w:t>
      </w:r>
    </w:p>
    <w:p>
      <w:pPr>
        <w:pStyle w:val="ListBullet"/>
        <w:spacing w:after="40"/>
      </w:pPr>
      <w:r>
        <w:t>Dispute intake, refund operations и policy surfaces.</w:t>
      </w:r>
    </w:p>
    <w:p>
      <w:pPr>
        <w:pStyle w:val="ListBullet"/>
        <w:spacing w:after="40"/>
      </w:pPr>
      <w:r>
        <w:t>Guide booking operations beyond current booking-detail scaffold.</w:t>
      </w:r>
    </w:p>
    <w:p>
      <w:pPr>
        <w:pStyle w:val="ListBullet"/>
        <w:spacing w:after="40"/>
      </w:pPr>
      <w:r>
        <w:t>Финальная платежная интеграция отложена до MVP closeout slice.</w:t>
      </w:r>
    </w:p>
    <w:p>
      <w:pPr>
        <w:pStyle w:val="Heading2"/>
      </w:pPr>
      <w:r>
        <w:t>Текущий execution status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E9EEF3"/>
          </w:tcPr>
          <w:p>
            <w:r>
              <w:t>Этап</w:t>
            </w:r>
          </w:p>
        </w:tc>
        <w:tc>
          <w:tcPr>
            <w:tcW w:type="dxa" w:w="3400"/>
            <w:shd w:fill="E9EEF3"/>
          </w:tcPr>
          <w:p>
            <w:r>
              <w:t>Статус</w:t>
            </w:r>
          </w:p>
        </w:tc>
        <w:tc>
          <w:tcPr>
            <w:tcW w:type="dxa" w:w="3400"/>
            <w:shd w:fill="E9EEF3"/>
          </w:tcPr>
          <w:p>
            <w:r>
              <w:t>Содержание</w:t>
            </w:r>
          </w:p>
        </w:tc>
      </w:tr>
      <w:tr>
        <w:tc>
          <w:tcPr>
            <w:tcW w:type="dxa" w:w="3400"/>
          </w:tcPr>
          <w:p>
            <w:r>
              <w:t>Release 1 Transaction Foundation</w:t>
            </w:r>
          </w:p>
        </w:tc>
        <w:tc>
          <w:tcPr>
            <w:tcW w:type="dxa" w:w="3400"/>
          </w:tcPr>
          <w:p>
            <w:r>
              <w:t>Завершен на main</w:t>
            </w:r>
          </w:p>
        </w:tc>
        <w:tc>
          <w:tcPr>
            <w:tcW w:type="dxa" w:w="3400"/>
          </w:tcPr>
          <w:p>
            <w:r>
              <w:t>Request creation, guide onboarding, protected shell, moderation scaffold, listing and booking baseline</w:t>
            </w:r>
          </w:p>
        </w:tc>
      </w:tr>
      <w:tr>
        <w:tc>
          <w:tcPr>
            <w:tcW w:type="dxa" w:w="3400"/>
          </w:tcPr>
          <w:p>
            <w:r>
              <w:t>Release 2 Marketplace Quality</w:t>
            </w:r>
          </w:p>
        </w:tc>
        <w:tc>
          <w:tcPr>
            <w:tcW w:type="dxa" w:w="3400"/>
          </w:tcPr>
          <w:p>
            <w:r>
              <w:t>Следующий основной фокус</w:t>
            </w:r>
          </w:p>
        </w:tc>
        <w:tc>
          <w:tcPr>
            <w:tcW w:type="dxa" w:w="3400"/>
          </w:tcPr>
          <w:p>
            <w:r>
              <w:t>Group joining, favorites, reviews, notifications, disputes, ranking signals</w:t>
            </w:r>
          </w:p>
        </w:tc>
      </w:tr>
      <w:tr>
        <w:tc>
          <w:tcPr>
            <w:tcW w:type="dxa" w:w="3400"/>
          </w:tcPr>
          <w:p>
            <w:r>
              <w:t>Final MVP Closeout</w:t>
            </w:r>
          </w:p>
        </w:tc>
        <w:tc>
          <w:tcPr>
            <w:tcW w:type="dxa" w:w="3400"/>
          </w:tcPr>
          <w:p>
            <w:r>
              <w:t>После стабилизации non-payment loops</w:t>
            </w:r>
          </w:p>
        </w:tc>
        <w:tc>
          <w:tcPr>
            <w:tcW w:type="dxa" w:w="3400"/>
          </w:tcPr>
          <w:p>
            <w:r>
              <w:t>Real payment integration и end-to-end booking confirmation</w:t>
            </w:r>
          </w:p>
        </w:tc>
      </w:tr>
      <w:tr>
        <w:tc>
          <w:tcPr>
            <w:tcW w:type="dxa" w:w="3400"/>
          </w:tcPr>
          <w:p>
            <w:r>
              <w:t>Release 3 Optimization</w:t>
            </w:r>
          </w:p>
        </w:tc>
        <w:tc>
          <w:tcPr>
            <w:tcW w:type="dxa" w:w="3400"/>
          </w:tcPr>
          <w:p>
            <w:r>
              <w:t>Следующая волна</w:t>
            </w:r>
          </w:p>
        </w:tc>
        <w:tc>
          <w:tcPr>
            <w:tcW w:type="dxa" w:w="3400"/>
          </w:tcPr>
          <w:p>
            <w:r>
              <w:t>Analytics, controls, anti-circumvention, launch-region tooling</w:t>
            </w:r>
          </w:p>
        </w:tc>
      </w:tr>
    </w:tbl>
    <w:p/>
    <w:p>
      <w:pPr>
        <w:pStyle w:val="Heading1"/>
      </w:pPr>
      <w:r>
        <w:t>7. Технологическая база</w:t>
      </w:r>
    </w:p>
    <w:p>
      <w:pPr>
        <w:spacing w:after="120"/>
      </w:pPr>
      <w:r>
        <w:t>Текущий стек выбран под web-first marketplace с сильной долей SEO, account flows, role-based protected areas и дальнейшей возможностью подключать платежи, moderation и analytics без преждевременного усложнения архитектуры.</w:t>
      </w:r>
    </w:p>
    <w:p>
      <w:pPr>
        <w:spacing w:after="120"/>
      </w:pPr>
      <w:r>
        <w:t>Архитектурно проект уже разделен по зонам ответственности: public app shell, traveler/guide/admin areas, shared data contracts и app-level providers. Это важно для масштабирования команды и для поэтапного развития продукта.</w:t>
      </w:r>
    </w:p>
    <w:p>
      <w:pPr>
        <w:pStyle w:val="ListBullet"/>
        <w:spacing w:after="40"/>
      </w:pPr>
      <w:r>
        <w:t>Next.js 16 App Router, React 19, TypeScript.</w:t>
      </w:r>
    </w:p>
    <w:p>
      <w:pPr>
        <w:pStyle w:val="ListBullet"/>
        <w:spacing w:after="40"/>
      </w:pPr>
      <w:r>
        <w:t>Tailwind CSS v4 и shadcn/ui для mobile-first интерфейсов.</w:t>
      </w:r>
    </w:p>
    <w:p>
      <w:pPr>
        <w:pStyle w:val="ListBullet"/>
        <w:spacing w:after="40"/>
      </w:pPr>
      <w:r>
        <w:t>TanStack Query для server state и cache orchestration.</w:t>
      </w:r>
    </w:p>
    <w:p>
      <w:pPr>
        <w:pStyle w:val="ListBullet"/>
        <w:spacing w:after="40"/>
      </w:pPr>
      <w:r>
        <w:t>React Hook Form и Zod для typed forms и validation.</w:t>
      </w:r>
    </w:p>
    <w:p>
      <w:pPr>
        <w:pStyle w:val="ListBullet"/>
        <w:spacing w:after="40"/>
      </w:pPr>
      <w:r>
        <w:t>Supabase helpers как backend baseline для auth, data и storage сценариев.</w:t>
      </w:r>
    </w:p>
    <w:p>
      <w:pPr>
        <w:pStyle w:val="ListBullet"/>
        <w:spacing w:after="40"/>
      </w:pPr>
      <w:r>
        <w:t>Структурное разделение по модулям: src/app, src/features, src/components, src/lib, src/data.</w:t>
      </w:r>
    </w:p>
    <w:p/>
    <w:p>
      <w:pPr>
        <w:pStyle w:val="Heading1"/>
      </w:pPr>
      <w:r>
        <w:t>8. Основные риски и условия успеха</w:t>
      </w:r>
    </w:p>
    <w:p>
      <w:pPr>
        <w:spacing w:after="120"/>
      </w:pPr>
      <w:r>
        <w:t>Риски проекта понятны заранее и подтверждены research: cold start marketplace, disintermediation, trust fragility, regulation и operational complexity. Это не побочные темы, а основные условия выживания продукта в категории.</w:t>
      </w:r>
    </w:p>
    <w:p>
      <w:pPr>
        <w:spacing w:after="120"/>
      </w:pPr>
      <w:r>
        <w:t>Соответственно, успех проекта будет зависеть не только от интерфейса и маркетинга, но и от того, насколько системно будет выстроен trust layer: verification, response speed, moderation, refund logic, clear policies и прозрачный booking state.</w:t>
      </w:r>
    </w:p>
    <w:p>
      <w:pPr>
        <w:pStyle w:val="ListBullet"/>
        <w:spacing w:after="40"/>
      </w:pPr>
      <w:r>
        <w:t>Без достаточной плотности спроса и предложения launch wedge не станет ликвидным.</w:t>
      </w:r>
    </w:p>
    <w:p>
      <w:pPr>
        <w:pStyle w:val="ListBullet"/>
        <w:spacing w:after="40"/>
      </w:pPr>
      <w:r>
        <w:t>Без trust mechanics lower commission может привлечь низкокачественный supply.</w:t>
      </w:r>
    </w:p>
    <w:p>
      <w:pPr>
        <w:pStyle w:val="ListBullet"/>
        <w:spacing w:after="40"/>
      </w:pPr>
      <w:r>
        <w:t>Без anti-circumvention controls часть сделок может утекать off-platform.</w:t>
      </w:r>
    </w:p>
    <w:p>
      <w:pPr>
        <w:pStyle w:val="ListBullet"/>
        <w:spacing w:after="40"/>
      </w:pPr>
      <w:r>
        <w:t>Без быстрых notifications и response tooling guide-side conversion будет проседать.</w:t>
      </w:r>
    </w:p>
    <w:p>
      <w:pPr>
        <w:pStyle w:val="ListBullet"/>
        <w:spacing w:after="40"/>
      </w:pPr>
      <w:r>
        <w:t>Без дисциплинированного запуска по 1–3 регионам проект рискует распылить операционный фокус.</w:t>
      </w:r>
    </w:p>
    <w:p>
      <w:pPr>
        <w:sectPr>
          <w:footerReference w:type="default" r:id="rId9"/>
          <w:pgSz w:w="12240" w:h="15840"/>
          <w:pgMar w:top="1020" w:right="1020" w:bottom="907" w:left="1020" w:header="720" w:footer="720" w:gutter="0"/>
          <w:cols w:space="720"/>
          <w:docGrid w:linePitch="360"/>
        </w:sectPr>
      </w:pPr>
    </w:p>
    <w:p>
      <w:pPr>
        <w:pStyle w:val="Heading1"/>
      </w:pPr>
      <w:r>
        <w:t>Источники</w:t>
      </w:r>
    </w:p>
    <w:p>
      <w:pPr>
        <w:pStyle w:val="ListBullet"/>
      </w:pPr>
      <w:r>
        <w:t>PRD.md</w:t>
      </w:r>
    </w:p>
    <w:p>
      <w:pPr>
        <w:pStyle w:val="ListBullet"/>
      </w:pPr>
      <w:r>
        <w:t>MVP.md</w:t>
      </w:r>
    </w:p>
    <w:p>
      <w:pPr>
        <w:pStyle w:val="ListBullet"/>
      </w:pPr>
      <w:r>
        <w:t>MARKET_RESEARCH.md</w:t>
      </w:r>
    </w:p>
    <w:p>
      <w:pPr>
        <w:pStyle w:val="ListBullet"/>
      </w:pPr>
      <w:r>
        <w:t>APP_STACK.md</w:t>
      </w:r>
    </w:p>
    <w:p>
      <w:pPr>
        <w:pStyle w:val="ListBullet"/>
      </w:pPr>
      <w:r>
        <w:t>README.md</w:t>
      </w:r>
    </w:p>
    <w:p>
      <w:pPr>
        <w:pStyle w:val="ListBullet"/>
      </w:pPr>
      <w:r>
        <w:t>AGENTS.md</w:t>
      </w:r>
    </w:p>
    <w:p>
      <w:pPr>
        <w:pStyle w:val="ListBullet"/>
      </w:pPr>
      <w:r>
        <w:t>docs/process/mvp-orchestration-roadmap.md</w:t>
      </w:r>
    </w:p>
    <w:p>
      <w:pPr>
        <w:pStyle w:val="ListBullet"/>
      </w:pPr>
      <w:r>
        <w:t>docs/architecture/module-map.md</w:t>
      </w:r>
    </w:p>
    <w:sectPr w:rsidR="00FC693F" w:rsidRPr="0006063C" w:rsidSect="00034616">
      <w:pgSz w:w="12240" w:h="15840"/>
      <w:pgMar w:top="1020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BodySmall"/>
      <w:jc w:val="right"/>
    </w:pPr>
    <w:r>
      <w:t xml:space="preserve">Страница </w:t>
    </w:r>
    <w:r>
      <w:fldChar w:fldCharType="begin"/>
      <w:instrText xml:space="preserve">PAGE</w:instrText>
      <w:fldChar w:fldCharType="end"/>
    </w:r>
    <w:r>
      <w:t xml:space="preserve">Страница </w:t>
    </w: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D3447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D3447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0F766E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odySmall">
    <w:name w:val="Body Small"/>
    <w:basedOn w:val="Normal"/>
    <w:rPr>
      <w:rFonts w:ascii="Arial" w:hAnsi="Arial" w:eastAsia="Arial"/>
      <w:color w:val="5C6770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