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0262D"/>
          <w:sz w:val="56"/>
        </w:rPr>
        <w:t>ПРОВОДНИК</w:t>
      </w:r>
    </w:p>
    <w:p>
      <w:pPr>
        <w:jc w:val="center"/>
      </w:pPr>
      <w:r>
        <w:rPr>
          <w:rFonts w:ascii="Arial" w:hAnsi="Arial" w:eastAsia="Arial"/>
          <w:color w:val="4C5866"/>
          <w:sz w:val="30"/>
        </w:rPr>
        <w:t>Маркетинговое исследование рынка экскурсий и туров по России</w:t>
      </w:r>
    </w:p>
    <w:p>
      <w:pPr>
        <w:jc w:val="center"/>
      </w:pPr>
      <w:r>
        <w:rPr>
          <w:rFonts w:ascii="Arial" w:hAnsi="Arial" w:eastAsia="Arial"/>
          <w:color w:val="B95C47"/>
          <w:sz w:val="22"/>
        </w:rPr>
        <w:t>Презентационная версия для обсуждения рыночной картины, ниши и стратегии входа</w:t>
      </w:r>
    </w:p>
    <w:p/>
    <w:p>
      <w:pPr>
        <w:pStyle w:val="Heading2"/>
      </w:pPr>
      <w:r>
        <w:t>Повестка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trHeight w:val="1191"/>
        </w:trPr>
        <w:tc>
          <w:tcPr>
            <w:tcW w:type="dxa" w:w="3572"/>
            <w:shd w:fill="F2EDE4"/>
          </w:tcPr>
          <w:p>
            <w:r>
              <w:t>Состояние рынка</w:t>
            </w:r>
          </w:p>
        </w:tc>
        <w:tc>
          <w:tcPr>
            <w:tcW w:type="dxa" w:w="3572"/>
            <w:shd w:fill="F2EDE4"/>
          </w:tcPr>
          <w:p>
            <w:r>
              <w:t>Основа исследования</w:t>
            </w:r>
          </w:p>
        </w:tc>
        <w:tc>
          <w:tcPr>
            <w:tcW w:type="dxa" w:w="3572"/>
            <w:shd w:fill="F2EDE4"/>
          </w:tcPr>
          <w:p>
            <w:r>
              <w:t>Спрос со стороны путешественников</w:t>
            </w:r>
          </w:p>
        </w:tc>
        <w:tc>
          <w:tcPr>
            <w:tcW w:type="dxa" w:w="3572"/>
            <w:shd w:fill="F2EDE4"/>
          </w:tcPr>
          <w:p>
            <w:r>
              <w:t>Предложение со стороны гидов</w:t>
            </w:r>
          </w:p>
        </w:tc>
      </w:tr>
      <w:tr>
        <w:trPr>
          <w:trHeight w:val="1191"/>
        </w:trPr>
        <w:tc>
          <w:tcPr>
            <w:tcW w:type="dxa" w:w="3572"/>
            <w:shd w:fill="F2EDE4"/>
          </w:tcPr>
          <w:p>
            <w:r>
              <w:t>Разбор действующих игроков</w:t>
            </w:r>
          </w:p>
        </w:tc>
        <w:tc>
          <w:tcPr>
            <w:tcW w:type="dxa" w:w="3572"/>
            <w:shd w:fill="F2EDE4"/>
          </w:tcPr>
          <w:p>
            <w:r>
              <w:t>Рыночный зазор</w:t>
            </w:r>
          </w:p>
        </w:tc>
        <w:tc>
          <w:tcPr>
            <w:tcW w:type="dxa" w:w="3572"/>
            <w:shd w:fill="F2EDE4"/>
          </w:tcPr>
          <w:p>
            <w:r>
              <w:t>Рекомендации по входу</w:t>
            </w:r>
          </w:p>
        </w:tc>
        <w:tc>
          <w:tcPr>
            <w:tcW w:type="dxa" w:w="3572"/>
            <w:shd w:fill="F2EDE4"/>
          </w:tcPr>
          <w:p>
            <w:r>
              <w:t>Главные выводы</w:t>
            </w:r>
          </w:p>
        </w:tc>
      </w:tr>
    </w:tbl>
    <w:p/>
    <w:p>
      <w:pPr>
        <w:pStyle w:val="Heading2"/>
      </w:pPr>
      <w:r>
        <w:t>Основа исследования</w:t>
      </w:r>
    </w:p>
    <w:p>
      <w:pPr>
        <w:pStyle w:val="ListBullet"/>
      </w:pPr>
      <w:r>
        <w:t>Сопоставление внутренних материалов проекта и открытых данных по категории.</w:t>
      </w:r>
    </w:p>
    <w:p>
      <w:pPr>
        <w:pStyle w:val="ListBullet"/>
      </w:pPr>
      <w:r>
        <w:t>Проверка логики рынка через анализ публичных правил и описаний действующих площадок.</w:t>
      </w:r>
    </w:p>
    <w:p>
      <w:pPr>
        <w:pStyle w:val="ListBullet"/>
      </w:pPr>
      <w:r>
        <w:t>Выделение сильных и слабых сторон текущих рыночных моделей.</w:t>
      </w:r>
    </w:p>
    <w:p>
      <w:pPr>
        <w:pStyle w:val="ListBullet"/>
      </w:pPr>
      <w:r>
        <w:t>Формулировка рыночного зазора, условий входа и рисков запуска.</w:t>
      </w:r>
    </w:p>
    <w:p>
      <w:r>
        <w:br w:type="page"/>
      </w:r>
    </w:p>
    <w:p>
      <w:pPr>
        <w:pStyle w:val="Heading1"/>
      </w:pPr>
      <w:r>
        <w:t>Рынок уже существует, но остается незавершенным</w:t>
      </w:r>
    </w:p>
    <w:p>
      <w:r>
        <w:t>Категория экскурсий и туров по России уже доказана спросом и цифровыми площадками, однако значительная часть реальной рыночной работы по-прежнему проходит вне единой и удобной системы.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trHeight w:val="2268"/>
        </w:trPr>
        <w:tc>
          <w:tcPr>
            <w:tcW w:type="dxa" w:w="7257"/>
            <w:shd w:fill="F7F3EC"/>
          </w:tcPr>
          <w:p>
            <w:r>
              <w:rPr>
                <w:b/>
              </w:rPr>
              <w:t>Зрелость</w:t>
              <w:br/>
            </w:r>
            <w:r>
              <w:rPr>
                <w:b/>
              </w:rPr>
              <w:t>Спрос подтвержден</w:t>
              <w:br/>
            </w:r>
            <w:r>
              <w:t>Пользователи уже готовы искать и бронировать поездки онлайн, а рынок имеет крупных заметных игроков.</w:t>
            </w:r>
          </w:p>
        </w:tc>
        <w:tc>
          <w:tcPr>
            <w:tcW w:type="dxa" w:w="7257"/>
            <w:shd w:fill="F7F3EC"/>
          </w:tcPr>
          <w:p>
            <w:r>
              <w:rPr>
                <w:b/>
              </w:rPr>
              <w:t>Разрыв</w:t>
              <w:br/>
            </w:r>
            <w:r>
              <w:rPr>
                <w:b/>
              </w:rPr>
              <w:t>Много ручной работы</w:t>
              <w:br/>
            </w:r>
            <w:r>
              <w:t>Переписка, уточнения, сбор группы и часть сделок уходят в мессенджеры, звонки и личные контакты.</w:t>
            </w:r>
          </w:p>
        </w:tc>
      </w:tr>
      <w:tr>
        <w:trPr>
          <w:trHeight w:val="2268"/>
        </w:trPr>
        <w:tc>
          <w:tcPr>
            <w:tcW w:type="dxa" w:w="7257"/>
            <w:shd w:fill="F7F3EC"/>
          </w:tcPr>
          <w:p>
            <w:r>
              <w:rPr>
                <w:b/>
              </w:rPr>
              <w:t>Неравномерность</w:t>
              <w:br/>
            </w:r>
            <w:r>
              <w:rPr>
                <w:b/>
              </w:rPr>
              <w:t>Региональный хвост слабее оцифрован</w:t>
              <w:br/>
            </w:r>
            <w:r>
              <w:t>Чем дальше от массовых направлений, тем больше рынок опирается на ручную координацию и личные связи.</w:t>
            </w:r>
          </w:p>
        </w:tc>
        <w:tc>
          <w:tcPr>
            <w:tcW w:type="dxa" w:w="7257"/>
            <w:shd w:fill="F7F3EC"/>
          </w:tcPr>
          <w:p>
            <w:r>
              <w:rPr>
                <w:b/>
              </w:rPr>
              <w:t>Условие успеха</w:t>
              <w:br/>
            </w:r>
            <w:r>
              <w:rPr>
                <w:b/>
              </w:rPr>
              <w:t>Доверие решает</w:t>
              <w:br/>
            </w:r>
            <w:r>
              <w:t>Выбор поездки зависит не только от цены, но и от отзывов, правил отмены, скорости ответа и прозрачности процесса.</w:t>
            </w:r>
          </w:p>
        </w:tc>
      </w:tr>
    </w:tbl>
    <w:p>
      <w:r>
        <w:br w:type="page"/>
      </w:r>
    </w:p>
    <w:p>
      <w:pPr>
        <w:pStyle w:val="Heading1"/>
      </w:pPr>
      <w:r>
        <w:t>Что показывает спрос со стороны путешественников</w:t>
      </w:r>
    </w:p>
    <w:p>
      <w:r>
        <w:t>Главная проблема для клиента заключается не в отсутствии вариантов вообще, а в отсутствии удобного совпадения по бюджету, датам, формату и уровню доверия.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trHeight w:val="4819"/>
        </w:trPr>
        <w:tc>
          <w:tcPr>
            <w:tcW w:type="dxa" w:w="7257"/>
            <w:shd w:fill="F7F3EC"/>
          </w:tcPr>
          <w:p>
            <w:r>
              <w:rPr>
                <w:b/>
              </w:rPr>
              <w:t>Основные потребности</w:t>
              <w:br/>
            </w:r>
            <w:r>
              <w:t>• Найти поездку по точным условиям, а не только среди готовых карточек.</w:t>
              <w:br/>
            </w:r>
            <w:r>
              <w:t>• Снизить цену участия за счет сборной группы.</w:t>
              <w:br/>
            </w:r>
            <w:r>
              <w:t>• Сравнить предложения по понятным признакам и быстро получить ответ.</w:t>
              <w:br/>
            </w:r>
            <w:r>
              <w:t>• Понимать правила отмены, оплаты и надежность исполнителя.</w:t>
              <w:br/>
            </w:r>
          </w:p>
        </w:tc>
        <w:tc>
          <w:tcPr>
            <w:tcW w:type="dxa" w:w="7257"/>
            <w:shd w:fill="F7F3EC"/>
          </w:tcPr>
          <w:p>
            <w:r>
              <w:rPr>
                <w:b/>
              </w:rPr>
              <w:t>Где возникает неудобство</w:t>
              <w:br/>
            </w:r>
            <w:r>
              <w:t>• Частный формат часто оказывается слишком дорогим.</w:t>
              <w:br/>
            </w:r>
            <w:r>
              <w:t>• Нестандартные запросы плохо укладываются в обычный каталог.</w:t>
              <w:br/>
            </w:r>
            <w:r>
              <w:t>• Сбор группы вручную не дает прозрачности и стабильности.</w:t>
              <w:br/>
            </w:r>
            <w:r>
              <w:t>• Доверие собирается из разрозненных сигналов.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Что происходит со стороны гидов и небольших организаторов</w:t>
      </w:r>
    </w:p>
    <w:p>
      <w:r>
        <w:t>Для исполнителя важен не просто цифровой канал, а качественный и понятный спрос, приемлемая экономика сделки и возможность выстроить устойчивую репутацию.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trHeight w:val="4819"/>
        </w:trPr>
        <w:tc>
          <w:tcPr>
            <w:tcW w:type="dxa" w:w="7257"/>
            <w:shd w:fill="F7F3EC"/>
          </w:tcPr>
          <w:p>
            <w:r>
              <w:rPr>
                <w:b/>
              </w:rPr>
              <w:t>Что мешает работать эффективнее</w:t>
              <w:br/>
            </w:r>
            <w:r>
              <w:t>• Высокая зависимость от нескольких крупных каналов.</w:t>
              <w:br/>
            </w:r>
            <w:r>
              <w:t>• Часть комиссионной нагрузки слишком тяжела для локального предложения.</w:t>
              <w:br/>
            </w:r>
            <w:r>
              <w:t>• Слишком много времени уходит на ручные уточнения и слабые обращения.</w:t>
              <w:br/>
            </w:r>
            <w:r>
              <w:t>• Региональное предложение часто представлено слабо и неструктурированно.</w:t>
              <w:br/>
            </w:r>
          </w:p>
        </w:tc>
        <w:tc>
          <w:tcPr>
            <w:tcW w:type="dxa" w:w="7257"/>
            <w:shd w:fill="F7F3EC"/>
          </w:tcPr>
          <w:p>
            <w:r>
              <w:rPr>
                <w:b/>
              </w:rPr>
              <w:t>Что ценно для хорошего исполнителя</w:t>
              <w:br/>
            </w:r>
            <w:r>
              <w:t>• Понятные правила публикации и проверки.</w:t>
              <w:br/>
            </w:r>
            <w:r>
              <w:t>• Качественные обращения вместо случайных переписок.</w:t>
              <w:br/>
            </w:r>
            <w:r>
              <w:t>• Видимая репутация и история выполненных заказов.</w:t>
              <w:br/>
            </w:r>
            <w:r>
              <w:t>• Прозрачные правила отмены, споров и качества обслуживания.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Действующие игроки подтверждают рынок, но не закрывают все сценарии</w:t>
      </w:r>
    </w:p>
    <w:p>
      <w:r>
        <w:t>Анализ ведущих площадок показывает сильный рынок и понятные обязательные механизмы категории, но также оставляет пространство для другой логики входа.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trHeight w:val="2268"/>
        </w:trPr>
        <w:tc>
          <w:tcPr>
            <w:tcW w:type="dxa" w:w="7257"/>
            <w:shd w:fill="F7F3EC"/>
          </w:tcPr>
          <w:p>
            <w:r>
              <w:rPr>
                <w:b/>
              </w:rPr>
              <w:t>Игрок 1</w:t>
              <w:br/>
            </w:r>
            <w:r>
              <w:rPr>
                <w:b/>
              </w:rPr>
              <w:t>Tripster</w:t>
              <w:br/>
            </w:r>
            <w:r>
              <w:t>Сильные стороны: доверие, дисциплина качества, скорость ответа, заметные репутационные сигналы и управляемый путь бронирования.</w:t>
            </w:r>
          </w:p>
        </w:tc>
        <w:tc>
          <w:tcPr>
            <w:tcW w:type="dxa" w:w="7257"/>
            <w:shd w:fill="F7F3EC"/>
          </w:tcPr>
          <w:p>
            <w:r>
              <w:rPr>
                <w:b/>
              </w:rPr>
              <w:t>Игрок 2</w:t>
              <w:br/>
            </w:r>
            <w:r>
              <w:rPr>
                <w:b/>
              </w:rPr>
              <w:t>Sputnik8</w:t>
              <w:br/>
            </w:r>
            <w:r>
              <w:t>Сильные стороны: широкое предложение, большая база гидов и публично понятная комиссионная модель.</w:t>
            </w:r>
          </w:p>
        </w:tc>
      </w:tr>
      <w:tr>
        <w:trPr>
          <w:trHeight w:val="2268"/>
        </w:trPr>
        <w:tc>
          <w:tcPr>
            <w:tcW w:type="dxa" w:w="7257"/>
            <w:shd w:fill="F7F3EC"/>
          </w:tcPr>
          <w:p>
            <w:r>
              <w:rPr>
                <w:b/>
              </w:rPr>
              <w:t>Общий вывод</w:t>
              <w:br/>
            </w:r>
            <w:r>
              <w:rPr>
                <w:b/>
              </w:rPr>
              <w:t>Категория требует жесткой операционной основы</w:t>
              <w:br/>
            </w:r>
            <w:r>
              <w:t>Отзывы, правила отмены, подтверждение бронирования и контроль качества — это не дополнения, а обязательный минимум.</w:t>
            </w:r>
          </w:p>
        </w:tc>
        <w:tc>
          <w:tcPr>
            <w:tcW w:type="dxa" w:w="7257"/>
            <w:shd w:fill="F7F3EC"/>
          </w:tcPr>
          <w:p>
            <w:r>
              <w:rPr>
                <w:b/>
              </w:rPr>
              <w:t>Открытая зона</w:t>
              <w:br/>
            </w:r>
            <w:r>
              <w:rPr>
                <w:b/>
              </w:rPr>
              <w:t>Менее закрыты гибкие сценарии</w:t>
              <w:br/>
            </w:r>
            <w:r>
              <w:t>Пользовательский запрос, сбор группы и часть регионального предложения выглядят менее занятыми по сравнению с классическим каталогом.</w:t>
            </w:r>
          </w:p>
        </w:tc>
      </w:tr>
    </w:tbl>
    <w:p>
      <w:r>
        <w:br w:type="page"/>
      </w:r>
    </w:p>
    <w:p>
      <w:pPr>
        <w:pStyle w:val="Heading1"/>
      </w:pPr>
      <w:r>
        <w:t>Рыночный зазор находится не в каталоге, а в логике спроса</w:t>
      </w:r>
    </w:p>
    <w:p>
      <w:r>
        <w:t>Наиболее сильная точка входа состоит в том, чтобы не делать «еще один список поездок», а выстроить более гибкий и управляемый путь от запроса клиента к предложению исполнителя.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trHeight w:val="4819"/>
        </w:trPr>
        <w:tc>
          <w:tcPr>
            <w:tcW w:type="dxa" w:w="7257"/>
            <w:shd w:fill="F7F3EC"/>
          </w:tcPr>
          <w:p>
            <w:r>
              <w:rPr>
                <w:b/>
              </w:rPr>
              <w:t>Слабая стратегия</w:t>
              <w:br/>
            </w:r>
            <w:r>
              <w:t>• Просто сделать каталог чуть дешевле.</w:t>
              <w:br/>
            </w:r>
            <w:r>
              <w:t>• Соревноваться только шириной предложения.</w:t>
              <w:br/>
            </w:r>
            <w:r>
              <w:t>• Пытаться сразу охватить весь рынок страны.</w:t>
              <w:br/>
            </w:r>
            <w:r>
              <w:t>• Снижать цену без усиления доверия.</w:t>
              <w:br/>
            </w:r>
          </w:p>
        </w:tc>
        <w:tc>
          <w:tcPr>
            <w:tcW w:type="dxa" w:w="7257"/>
            <w:shd w:fill="F7F3EC"/>
          </w:tcPr>
          <w:p>
            <w:r>
              <w:rPr>
                <w:b/>
              </w:rPr>
              <w:t>Сильная стратегия</w:t>
              <w:br/>
            </w:r>
            <w:r>
              <w:t>• Собирать пользовательский спрос по датам, бюджету и формату.</w:t>
              <w:br/>
            </w:r>
            <w:r>
              <w:t>• Давать возможность объединиться в группу ради снижения цены.</w:t>
              <w:br/>
            </w:r>
            <w:r>
              <w:t>• Выводить на рынок недооцифрованное региональное предложение.</w:t>
              <w:br/>
            </w:r>
            <w:r>
              <w:t>• Связывать более низкую комиссию с новым качественным спросом.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Какой вход в рынок выглядит наиболее разумным</w:t>
      </w:r>
    </w:p>
    <w:p>
      <w:r>
        <w:t>Исследование подсказывает вход через узкую стартовую зону, где можно собрать плотность спроса и предложения, а не через широкий запуск по всей стране.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trHeight w:val="4819"/>
        </w:trPr>
        <w:tc>
          <w:tcPr>
            <w:tcW w:type="dxa" w:w="7257"/>
            <w:shd w:fill="F7F3EC"/>
          </w:tcPr>
          <w:p>
            <w:r>
              <w:rPr>
                <w:b/>
              </w:rPr>
              <w:t>Что стоит делать</w:t>
              <w:br/>
            </w:r>
            <w:r>
              <w:t>• Начинать с ограниченного числа регионов.</w:t>
              <w:br/>
            </w:r>
            <w:r>
              <w:t>• Выбирать понятные и управляемые категории поездок.</w:t>
              <w:br/>
            </w:r>
            <w:r>
              <w:t>• Сначала собирать ликвидность в узком сегменте.</w:t>
              <w:br/>
            </w:r>
            <w:r>
              <w:t>• Работать с проверенным предложением и понятными правилами.</w:t>
              <w:br/>
            </w:r>
          </w:p>
        </w:tc>
        <w:tc>
          <w:tcPr>
            <w:tcW w:type="dxa" w:w="7257"/>
            <w:shd w:fill="F7F3EC"/>
          </w:tcPr>
          <w:p>
            <w:r>
              <w:rPr>
                <w:b/>
              </w:rPr>
              <w:t>Чего стоит избегать</w:t>
              <w:br/>
            </w:r>
            <w:r>
              <w:t>• Слишком широкого запуска без плотности предложения.</w:t>
              <w:br/>
            </w:r>
            <w:r>
              <w:t>• Сложных и рискованных направлений на первом этапе.</w:t>
              <w:br/>
            </w:r>
            <w:r>
              <w:t>• Ставки только на трафик без качества сделок.</w:t>
              <w:br/>
            </w:r>
            <w:r>
              <w:t>• Преждевременного масштабирования до устойчивого результата.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Главные рыночные риски нужно учитывать заранее</w:t>
      </w:r>
    </w:p>
    <w:p>
      <w:r>
        <w:t>Даже сильная идея не даст результата, если на старте не будут учтены риски, связанные с ликвидностью, доверием и качеством операционной работы.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trHeight w:val="2268"/>
        </w:trPr>
        <w:tc>
          <w:tcPr>
            <w:tcW w:type="dxa" w:w="7257"/>
            <w:shd w:fill="F7F3EC"/>
          </w:tcPr>
          <w:p>
            <w:r>
              <w:rPr>
                <w:b/>
              </w:rPr>
              <w:t>Риск 1</w:t>
              <w:br/>
            </w:r>
            <w:r>
              <w:rPr>
                <w:b/>
              </w:rPr>
              <w:t>Слабая плотность рынка</w:t>
              <w:br/>
            </w:r>
            <w:r>
              <w:t>Если в стартовой зоне недостаточно качественного спроса и предложения, повторяемые сделки не появятся.</w:t>
            </w:r>
          </w:p>
        </w:tc>
        <w:tc>
          <w:tcPr>
            <w:tcW w:type="dxa" w:w="7257"/>
            <w:shd w:fill="F7F3EC"/>
          </w:tcPr>
          <w:p>
            <w:r>
              <w:rPr>
                <w:b/>
              </w:rPr>
              <w:t>Риск 2</w:t>
              <w:br/>
            </w:r>
            <w:r>
              <w:rPr>
                <w:b/>
              </w:rPr>
              <w:t>Уход сделки за пределы площадки</w:t>
              <w:br/>
            </w:r>
            <w:r>
              <w:t>Часть общения и расчетов может уходить во внешние каналы, если внутри площадки нет достаточной ценности и контроля.</w:t>
            </w:r>
          </w:p>
        </w:tc>
      </w:tr>
      <w:tr>
        <w:trPr>
          <w:trHeight w:val="2268"/>
        </w:trPr>
        <w:tc>
          <w:tcPr>
            <w:tcW w:type="dxa" w:w="7257"/>
            <w:shd w:fill="F7F3EC"/>
          </w:tcPr>
          <w:p>
            <w:r>
              <w:rPr>
                <w:b/>
              </w:rPr>
              <w:t>Риск 3</w:t>
              <w:br/>
            </w:r>
            <w:r>
              <w:rPr>
                <w:b/>
              </w:rPr>
              <w:t>Потеря доверия</w:t>
              <w:br/>
            </w:r>
            <w:r>
              <w:t>Без отзывов, проверки и понятных правил сервис быстро теряет убедительность для обеих сторон.</w:t>
            </w:r>
          </w:p>
        </w:tc>
        <w:tc>
          <w:tcPr>
            <w:tcW w:type="dxa" w:w="7257"/>
            <w:shd w:fill="F7F3EC"/>
          </w:tcPr>
          <w:p>
            <w:r>
              <w:rPr>
                <w:b/>
              </w:rPr>
              <w:t>Риск 4</w:t>
              <w:br/>
            </w:r>
            <w:r>
              <w:rPr>
                <w:b/>
              </w:rPr>
              <w:t>Слишком широкий запуск</w:t>
              <w:br/>
            </w:r>
            <w:r>
              <w:t>Раннее расширение масштаба может размыть качество и затруднить обучение на первых результатах.</w:t>
            </w:r>
          </w:p>
        </w:tc>
      </w:tr>
    </w:tbl>
    <w:p>
      <w:r>
        <w:br w:type="page"/>
      </w:r>
    </w:p>
    <w:p>
      <w:pPr>
        <w:pStyle w:val="Heading1"/>
      </w:pPr>
      <w:r>
        <w:t>Короткий вывод для представления</w:t>
      </w:r>
    </w:p>
    <w:p>
      <w:r>
        <w:t>Рынок достаточно зрелый, чтобы в нем появился новый участник, но входить в него нужно не через копирование действующих площадок, а через более гибкую и структурированную работу со спросом.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trHeight w:val="4819"/>
        </w:trPr>
        <w:tc>
          <w:tcPr>
            <w:tcW w:type="dxa" w:w="7257"/>
            <w:shd w:fill="F7F3EC"/>
          </w:tcPr>
          <w:p>
            <w:r>
              <w:rPr>
                <w:b/>
              </w:rPr>
              <w:t>Что подтверждено</w:t>
              <w:br/>
            </w:r>
            <w:r>
              <w:t>• Спрос на цифровое бронирование поездок существует.</w:t>
              <w:br/>
            </w:r>
            <w:r>
              <w:t>• Категория требует доверия, отзывов и скорости ответа.</w:t>
              <w:br/>
            </w:r>
            <w:r>
              <w:t>• Крупные игроки уже доказали жизнеспособность рынка.</w:t>
              <w:br/>
            </w:r>
          </w:p>
        </w:tc>
        <w:tc>
          <w:tcPr>
            <w:tcW w:type="dxa" w:w="7257"/>
            <w:shd w:fill="F7F3EC"/>
          </w:tcPr>
          <w:p>
            <w:r>
              <w:rPr>
                <w:b/>
              </w:rPr>
              <w:t>Что открывает окно для проекта</w:t>
              <w:br/>
            </w:r>
            <w:r>
              <w:t>• Пользовательские запросы по бюджету и датам.</w:t>
              <w:br/>
            </w:r>
            <w:r>
              <w:t>• Сборные группы как путь к более доступной цене.</w:t>
              <w:br/>
            </w:r>
            <w:r>
              <w:t>• Региональное предложение вне самых плотных центров.</w:t>
              <w:br/>
            </w:r>
            <w:r>
              <w:t>• Вход через узкий, управляемый и доверительный запуск.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Источники и примечание</w:t>
      </w:r>
    </w:p>
    <w:p>
      <w:r>
        <w:t>Документ подготовлен на основе внутренних материалов проекта и открытого анализа рыночной категории.</w:t>
      </w:r>
    </w:p>
    <w:p>
      <w:pPr>
        <w:pStyle w:val="ListBullet"/>
      </w:pPr>
      <w:r>
        <w:t>Документ подготовлен на основе внутренних материалов проекта и открытого анализа рыночной категории.</w:t>
      </w:r>
    </w:p>
    <w:sectPr w:rsidR="00FC693F" w:rsidRPr="0006063C" w:rsidSect="00034616">
      <w:footerReference w:type="default" r:id="rId9"/>
      <w:pgSz w:w="16838" w:h="11906" w:orient="landscape"/>
      <w:pgMar w:top="624" w:right="680" w:bottom="62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lideSmall"/>
      <w:jc w:val="right"/>
    </w:pPr>
    <w:r>
      <w:t xml:space="preserve">Страница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0262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B95C4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lideSmall">
    <w:name w:val="Slide Small"/>
    <w:basedOn w:val="Normal"/>
    <w:rPr>
      <w:rFonts w:ascii="Arial" w:hAnsi="Arial" w:eastAsia="Arial"/>
      <w:color w:val="4C58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