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4 — the Error Trigger</w:t>
      </w:r>
    </w:p>
    <w:p>
      <w:r>
        <w:t>SHOW: workflow from lesson 3, still open.</w:t>
      </w:r>
    </w:p>
    <w:p>
      <w:r>
        <w:t>SAY: So far our workflow fails silently. If the API is down at 3 at night, nobody knows. Let's fix that.</w:t>
      </w:r>
    </w:p>
    <w:p>
      <w:r>
        <w:t>DO: new workflow, add Error Trigger node. Explain: this workflow runs when ANOTHER workflow fails.</w:t>
      </w:r>
    </w:p>
    <w:p>
      <w:r>
        <w:t>DO: add a Slack node (or e-mail), show the fields we get: workflow name, node, error message, execution URL.</w:t>
      </w:r>
    </w:p>
    <w:p>
      <w:r>
        <w:t>SAY: rule of thumb: every production workflow gets an error workflow. One is enough for all of them.</w:t>
      </w:r>
    </w:p>
    <w:p>
      <w:r>
        <w:t>DO: break the HTTP node on purpose (wrong URL), run, show the alert coming in.</w:t>
      </w:r>
    </w:p>
    <w:p>
      <w:r>
        <w:t>OUTRO: next lesson, retries.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