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Arial" w:cs="Arial" w:eastAsia="Arial" w:hAnsi="Arial"/>
          <w:b/>
          <w:bCs/>
          <w:color w:val="C4A46B"/>
          <w:spacing w:val="60"/>
          <w:sz w:val="18"/>
          <w:szCs w:val="18"/>
        </w:rPr>
        <w:t xml:space="preserve">✳ AGVC · BRAND GUIDELINES</w:t>
      </w:r>
    </w:p>
    <w:p>
      <w:pPr>
        <w:spacing w:after="120"/>
      </w:pPr>
      <w:r>
        <w:rPr>
          <w:rFonts w:ascii="Georgia" w:cs="Georgia" w:eastAsia="Georgia" w:hAnsi="Georgia"/>
          <w:b/>
          <w:bCs/>
          <w:i/>
          <w:iCs/>
          <w:color w:val="03080F"/>
          <w:sz w:val="64"/>
          <w:szCs w:val="64"/>
        </w:rPr>
        <w:t xml:space="preserve">The Ageless Venture Catalyst.</w:t>
      </w:r>
    </w:p>
    <w:p>
      <w:pPr>
        <w:spacing w:after="2400"/>
      </w:pPr>
      <w:r>
        <w:rPr>
          <w:rFonts w:ascii="Georgia" w:cs="Georgia" w:eastAsia="Georgia" w:hAnsi="Georgia"/>
          <w:color w:val="6A6A6A"/>
          <w:sz w:val="24"/>
          <w:szCs w:val="24"/>
        </w:rPr>
        <w:t xml:space="preserve">A reference for how AGVC looks, sounds, and shows up across every surface — from pitch decks to the website to a business card.</w:t>
      </w:r>
    </w:p>
    <w:p>
      <w:r>
        <w:rPr>
          <w:rFonts w:ascii="Arial" w:cs="Arial" w:eastAsia="Arial" w:hAnsi="Arial"/>
          <w:color w:val="6A6A6A"/>
          <w:spacing w:val="20"/>
          <w:sz w:val="16"/>
          <w:szCs w:val="16"/>
        </w:rPr>
        <w:t xml:space="preserve">Version 1.0 · 2025 · Hong Kong · New York</w:t>
      </w:r>
      <w:r>
        <w:r>
          <w:br w:type="page"/>
        </w:r>
      </w:r>
    </w:p>
    <w:p>
      <w:pPr>
        <w:spacing w:after="60" w:before="200"/>
      </w:pPr>
      <w:r>
        <w:rPr>
          <w:rFonts w:ascii="Arial" w:cs="Arial" w:eastAsia="Arial" w:hAnsi="Arial"/>
          <w:b/>
          <w:bCs/>
          <w:color w:val="C4A46B"/>
          <w:spacing w:val="40"/>
          <w:sz w:val="16"/>
          <w:szCs w:val="16"/>
        </w:rPr>
        <w:t xml:space="preserve">01 — BRAND ESSENCE</w:t>
      </w:r>
    </w:p>
    <w:p>
      <w:pPr>
        <w:spacing w:after="120" w:before="240"/>
      </w:pPr>
      <w:r>
        <w:rPr>
          <w:rFonts w:ascii="Georgia" w:cs="Georgia" w:eastAsia="Georgia" w:hAnsi="Georgia"/>
          <w:b/>
          <w:bCs/>
          <w:color w:val="03080F"/>
          <w:sz w:val="28"/>
          <w:szCs w:val="28"/>
        </w:rPr>
        <w:t xml:space="preserve">Brand Essence</w:t>
      </w:r>
    </w:p>
    <w:p>
      <w:pPr>
        <w:pBdr>
          <w:left w:val="single" w:color="C4A46B" w:sz="18" w:space="16"/>
        </w:pBdr>
        <w:spacing w:after="180" w:before="120"/>
        <w:ind w:left="200"/>
      </w:pPr>
      <w:r>
        <w:rPr>
          <w:rFonts w:ascii="Georgia" w:cs="Georgia" w:eastAsia="Georgia" w:hAnsi="Georgia"/>
          <w:i/>
          <w:iCs/>
          <w:color w:val="03080F"/>
          <w:sz w:val="26"/>
          <w:szCs w:val="26"/>
        </w:rPr>
        <w:t xml:space="preserve">We aren't chasing the fountain of youth. We're building the infrastructure for the industrialization of geroscience.</w:t>
      </w:r>
    </w:p>
    <w:p>
      <w:pPr>
        <w:spacing w:after="120"/>
      </w:pPr>
      <w:r>
        <w:rPr>
          <w:rFonts w:ascii="Georgia" w:cs="Georgia" w:eastAsia="Georgia" w:hAnsi="Georgia"/>
          <w:color w:val="2A2A2A"/>
          <w:sz w:val="21"/>
          <w:szCs w:val="21"/>
        </w:rPr>
        <w:t xml:space="preserve">AGVC is the world's first AI-driven venture catalyst dedicated to the longevity economy. We are an operator, not a passive fund — a hands-on cross-border accelerator that lands breakthrough science in Asia and scales it to the world.</w:t>
      </w:r>
    </w:p>
    <w:p>
      <w:pPr>
        <w:spacing w:after="60" w:before="200"/>
      </w:pPr>
      <w:r>
        <w:rPr>
          <w:rFonts w:ascii="Arial" w:cs="Arial" w:eastAsia="Arial" w:hAnsi="Arial"/>
          <w:b/>
          <w:bCs/>
          <w:color w:val="C4A46B"/>
          <w:spacing w:val="40"/>
          <w:sz w:val="16"/>
          <w:szCs w:val="16"/>
        </w:rPr>
        <w:t xml:space="preserve">WHAT WE STAND FOR</w:t>
      </w:r>
    </w:p>
    <w:p>
      <w:pPr>
        <w:pStyle w:val="ListParagraph"/>
        <w:numPr>
          <w:ilvl w:val="0"/>
          <w:numId w:val="1"/>
        </w:numPr>
        <w:spacing w:after="60"/>
      </w:pPr>
      <w:r>
        <w:rPr>
          <w:rFonts w:ascii="Georgia" w:cs="Georgia" w:eastAsia="Georgia" w:hAnsi="Georgia"/>
          <w:color w:val="2A2A2A"/>
          <w:sz w:val="20"/>
          <w:szCs w:val="20"/>
        </w:rPr>
        <w:t xml:space="preserve">Operator, not spectator — We build and launch companies, providing the commercial scaffolding, regulatory navigation, and manufacturing access that turn validated science into scaled ventures.</w:t>
      </w:r>
    </w:p>
    <w:p>
      <w:pPr>
        <w:pStyle w:val="ListParagraph"/>
        <w:numPr>
          <w:ilvl w:val="0"/>
          <w:numId w:val="1"/>
        </w:numPr>
        <w:spacing w:after="60"/>
      </w:pPr>
      <w:r>
        <w:rPr>
          <w:rFonts w:ascii="Georgia" w:cs="Georgia" w:eastAsia="Georgia" w:hAnsi="Georgia"/>
          <w:color w:val="2A2A2A"/>
          <w:sz w:val="20"/>
          <w:szCs w:val="20"/>
        </w:rPr>
        <w:t xml:space="preserve">Bridge between East and West — We connect global deep-tech innovation with Asian capital, manufacturing, and the world's largest aging market.</w:t>
      </w:r>
    </w:p>
    <w:p>
      <w:pPr>
        <w:pStyle w:val="ListParagraph"/>
        <w:numPr>
          <w:ilvl w:val="0"/>
          <w:numId w:val="1"/>
        </w:numPr>
        <w:spacing w:after="60"/>
      </w:pPr>
      <w:r>
        <w:rPr>
          <w:rFonts w:ascii="Georgia" w:cs="Georgia" w:eastAsia="Georgia" w:hAnsi="Georgia"/>
          <w:color w:val="2A2A2A"/>
          <w:sz w:val="20"/>
          <w:szCs w:val="20"/>
        </w:rPr>
        <w:t xml:space="preserve">Science first — Every decision passes a rigorous biological stress test. We back teams with secured or in-licensed IP and a defined commercial roadmap.</w:t>
      </w:r>
    </w:p>
    <w:p>
      <w:pPr>
        <w:pStyle w:val="ListParagraph"/>
        <w:numPr>
          <w:ilvl w:val="0"/>
          <w:numId w:val="1"/>
        </w:numPr>
        <w:spacing w:after="60"/>
      </w:pPr>
      <w:r>
        <w:rPr>
          <w:rFonts w:ascii="Georgia" w:cs="Georgia" w:eastAsia="Georgia" w:hAnsi="Georgia"/>
          <w:color w:val="2A2A2A"/>
          <w:sz w:val="20"/>
          <w:szCs w:val="20"/>
        </w:rPr>
        <w:t xml:space="preserve">Longevity is the opportunity of our time — The 2030s belong to Longevity, and the customer base is every living human being.</w:t>
      </w:r>
    </w:p>
    <w:p>
      <w:r>
        <w:r>
          <w:br w:type="page"/>
        </w:r>
      </w:r>
    </w:p>
    <w:p>
      <w:pPr>
        <w:spacing w:after="60" w:before="200"/>
      </w:pPr>
      <w:r>
        <w:rPr>
          <w:rFonts w:ascii="Arial" w:cs="Arial" w:eastAsia="Arial" w:hAnsi="Arial"/>
          <w:b/>
          <w:bCs/>
          <w:color w:val="C4A46B"/>
          <w:spacing w:val="40"/>
          <w:sz w:val="16"/>
          <w:szCs w:val="16"/>
        </w:rPr>
        <w:t xml:space="preserve">02 — THE MARK</w:t>
      </w:r>
    </w:p>
    <w:p>
      <w:pPr>
        <w:spacing w:after="120" w:before="240"/>
      </w:pPr>
      <w:r>
        <w:rPr>
          <w:rFonts w:ascii="Georgia" w:cs="Georgia" w:eastAsia="Georgia" w:hAnsi="Georgia"/>
          <w:b/>
          <w:bCs/>
          <w:color w:val="03080F"/>
          <w:sz w:val="28"/>
          <w:szCs w:val="28"/>
        </w:rPr>
        <w:t xml:space="preserve">The Mark</w:t>
      </w:r>
    </w:p>
    <w:p>
      <w:pPr>
        <w:spacing w:after="120"/>
      </w:pPr>
      <w:r>
        <w:rPr>
          <w:rFonts w:ascii="Georgia" w:cs="Georgia" w:eastAsia="Georgia" w:hAnsi="Georgia"/>
          <w:color w:val="2A2A2A"/>
          <w:sz w:val="21"/>
          <w:szCs w:val="21"/>
        </w:rPr>
        <w:t xml:space="preserve">The AGVC wordmark is set bold in Montserrat (800 weight) with a signature vertical gold-to-silver-to-black gradient — champagne gold at the top, brushed silver through the middle, deep black at the base. The metallic top-to-bottom flow gives the mark a premium, dimensional feel while keeping every letter legible on both light and dark backgrounds. The name derives from Ag (the chemical symbol for silver, embodying the silver economy) and VC (venture capital): AG + VC = an "A-G-less" society.</w:t>
      </w:r>
    </w:p>
    <w:p>
      <w:pPr>
        <w:spacing w:after="60" w:before="200"/>
      </w:pPr>
      <w:r>
        <w:rPr>
          <w:rFonts w:ascii="Arial" w:cs="Arial" w:eastAsia="Arial" w:hAnsi="Arial"/>
          <w:b/>
          <w:bCs/>
          <w:color w:val="C4A46B"/>
          <w:spacing w:val="40"/>
          <w:sz w:val="16"/>
          <w:szCs w:val="16"/>
        </w:rPr>
        <w:t xml:space="preserve">CLEAR SPACE &amp; MINIMUM SIZE</w:t>
      </w:r>
    </w:p>
    <w:p>
      <w:pPr>
        <w:spacing w:after="120"/>
      </w:pPr>
      <w:r>
        <w:rPr>
          <w:rFonts w:ascii="Georgia" w:cs="Georgia" w:eastAsia="Georgia" w:hAnsi="Georgia"/>
          <w:color w:val="2A2A2A"/>
          <w:sz w:val="21"/>
          <w:szCs w:val="21"/>
        </w:rPr>
        <w:t xml:space="preserve">Always maintain clear space around the mark equal to the height of the star. Never place the logo smaller than 24px tall on screen or 12mm in print.</w:t>
      </w:r>
    </w:p>
    <w:p>
      <w:pPr>
        <w:spacing w:after="60" w:before="200"/>
      </w:pPr>
      <w:r>
        <w:rPr>
          <w:rFonts w:ascii="Arial" w:cs="Arial" w:eastAsia="Arial" w:hAnsi="Arial"/>
          <w:b/>
          <w:bCs/>
          <w:color w:val="C4A46B"/>
          <w:spacing w:val="40"/>
          <w:sz w:val="16"/>
          <w:szCs w:val="16"/>
        </w:rPr>
        <w:t xml:space="preserve">WORDMARK TAGLINE LOCKUP</w:t>
      </w:r>
    </w:p>
    <w:p>
      <w:pPr>
        <w:spacing w:after="120"/>
      </w:pPr>
      <w:r>
        <w:rPr>
          <w:rFonts w:ascii="Georgia" w:cs="Georgia" w:eastAsia="Georgia" w:hAnsi="Georgia"/>
          <w:color w:val="2A2A2A"/>
          <w:sz w:val="21"/>
          <w:szCs w:val="21"/>
        </w:rPr>
        <w:t xml:space="preserve">When space allows, the mark may be paired with the tagline "Age, but less." set in Noto Serif italic, separated by a thin vertical rule.</w:t>
      </w:r>
    </w:p>
    <w:p>
      <w:r>
        <w:r>
          <w:br w:type="page"/>
        </w:r>
      </w:r>
    </w:p>
    <w:p>
      <w:pPr>
        <w:spacing w:after="60" w:before="200"/>
      </w:pPr>
      <w:r>
        <w:rPr>
          <w:rFonts w:ascii="Arial" w:cs="Arial" w:eastAsia="Arial" w:hAnsi="Arial"/>
          <w:b/>
          <w:bCs/>
          <w:color w:val="C4A46B"/>
          <w:spacing w:val="40"/>
          <w:sz w:val="16"/>
          <w:szCs w:val="16"/>
        </w:rPr>
        <w:t xml:space="preserve">03 — COLOR SYSTEM</w:t>
      </w:r>
    </w:p>
    <w:p>
      <w:pPr>
        <w:spacing w:after="120" w:before="240"/>
      </w:pPr>
      <w:r>
        <w:rPr>
          <w:rFonts w:ascii="Georgia" w:cs="Georgia" w:eastAsia="Georgia" w:hAnsi="Georgia"/>
          <w:b/>
          <w:bCs/>
          <w:color w:val="03080F"/>
          <w:sz w:val="28"/>
          <w:szCs w:val="28"/>
        </w:rPr>
        <w:t xml:space="preserve">Color System</w:t>
      </w:r>
    </w:p>
    <w:p>
      <w:pPr>
        <w:spacing w:after="120"/>
      </w:pPr>
      <w:r>
        <w:rPr>
          <w:rFonts w:ascii="Georgia" w:cs="Georgia" w:eastAsia="Georgia" w:hAnsi="Georgia"/>
          <w:color w:val="2A2A2A"/>
          <w:sz w:val="21"/>
          <w:szCs w:val="21"/>
        </w:rPr>
        <w:t xml:space="preserve">AGVC's palette is anchored in deep space navy with a single warm metallic accent — champagne gold — evoking silver-economy sophistication and institutional trust. Restraint is the rule: gold is used sparingly, for emphasis only.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shd w:fill="03080F" w:val="clear"/>
          </w:tcPr>
          <w:p>
            <w:r>
              <w:rPr>
                <w:rFonts w:ascii="Arial" w:cs="Arial" w:eastAsia="Arial" w:hAnsi="Arial"/>
                <w:b/>
                <w:bCs/>
                <w:color w:val="FFFFFF"/>
                <w:sz w:val="16"/>
                <w:szCs w:val="16"/>
              </w:rPr>
              <w:t xml:space="preserve">COLOR</w:t>
            </w:r>
          </w:p>
        </w:tc>
        <w:tc>
          <w:tcPr>
            <w:tcW w:type="dxa" w:w="3000"/>
            <w:shd w:fill="03080F" w:val="clear"/>
          </w:tcPr>
          <w:p>
            <w:r>
              <w:rPr>
                <w:rFonts w:ascii="Arial" w:cs="Arial" w:eastAsia="Arial" w:hAnsi="Arial"/>
                <w:b/>
                <w:bCs/>
                <w:color w:val="FFFFFF"/>
                <w:sz w:val="16"/>
                <w:szCs w:val="16"/>
              </w:rPr>
              <w:t xml:space="preserve">HEX</w:t>
            </w:r>
          </w:p>
        </w:tc>
        <w:tc>
          <w:tcPr>
            <w:tcW w:type="dxa" w:w="3960"/>
            <w:shd w:fill="03080F" w:val="clear"/>
          </w:tcPr>
          <w:p>
            <w:r>
              <w:rPr>
                <w:rFonts w:ascii="Arial" w:cs="Arial" w:eastAsia="Arial" w:hAnsi="Arial"/>
                <w:b/>
                <w:bCs/>
                <w:color w:val="FFFFFF"/>
                <w:sz w:val="16"/>
                <w:szCs w:val="16"/>
              </w:rPr>
              <w:t xml:space="preserve">USE</w:t>
            </w:r>
          </w:p>
        </w:tc>
      </w:tr>
      <w:tr>
        <w:tc>
          <w:tcPr>
            <w:tcW w:type="dxa" w:w="2400"/>
            <w:shd w:fill="03080F" w:val="clear"/>
          </w:tcPr>
          <w:p>
            <w:r>
              <w:rPr>
                <w:rFonts w:ascii="Georgia" w:cs="Georgia" w:eastAsia="Georgia" w:hAnsi="Georgia"/>
                <w:b w:val="false"/>
                <w:bCs w:val="false"/>
                <w:color w:val="2A2A2A"/>
                <w:sz w:val="18"/>
                <w:szCs w:val="18"/>
              </w:rPr>
              <w:t xml:space="preserve"/>
            </w:r>
          </w:p>
        </w:tc>
        <w:tc>
          <w:tcPr>
            <w:tcW w:type="dxa" w:w="3000"/>
          </w:tcPr>
          <w:p>
            <w:r>
              <w:rPr>
                <w:rFonts w:ascii="Georgia" w:cs="Georgia" w:eastAsia="Georgia" w:hAnsi="Georgia"/>
                <w:b/>
                <w:bCs/>
                <w:color w:val="2A2A2A"/>
                <w:sz w:val="18"/>
                <w:szCs w:val="18"/>
              </w:rPr>
              <w:t xml:space="preserve">#03080F</w:t>
            </w:r>
          </w:p>
        </w:tc>
        <w:tc>
          <w:tcPr>
            <w:tcW w:type="dxa" w:w="3960"/>
          </w:tcPr>
          <w:p>
            <w:r>
              <w:rPr>
                <w:rFonts w:ascii="Georgia" w:cs="Georgia" w:eastAsia="Georgia" w:hAnsi="Georgia"/>
                <w:b w:val="false"/>
                <w:bCs w:val="false"/>
                <w:color w:val="2A2A2A"/>
                <w:sz w:val="18"/>
                <w:szCs w:val="18"/>
              </w:rPr>
              <w:t xml:space="preserve">Primary background</w:t>
            </w:r>
          </w:p>
        </w:tc>
      </w:tr>
      <w:tr>
        <w:tc>
          <w:tcPr>
            <w:tcW w:type="dxa" w:w="2400"/>
            <w:shd w:fill="071525" w:val="clear"/>
          </w:tcPr>
          <w:p>
            <w:r>
              <w:rPr>
                <w:rFonts w:ascii="Georgia" w:cs="Georgia" w:eastAsia="Georgia" w:hAnsi="Georgia"/>
                <w:b w:val="false"/>
                <w:bCs w:val="false"/>
                <w:color w:val="2A2A2A"/>
                <w:sz w:val="18"/>
                <w:szCs w:val="18"/>
              </w:rPr>
              <w:t xml:space="preserve"/>
            </w:r>
          </w:p>
        </w:tc>
        <w:tc>
          <w:tcPr>
            <w:tcW w:type="dxa" w:w="3000"/>
          </w:tcPr>
          <w:p>
            <w:r>
              <w:rPr>
                <w:rFonts w:ascii="Georgia" w:cs="Georgia" w:eastAsia="Georgia" w:hAnsi="Georgia"/>
                <w:b/>
                <w:bCs/>
                <w:color w:val="2A2A2A"/>
                <w:sz w:val="18"/>
                <w:szCs w:val="18"/>
              </w:rPr>
              <w:t xml:space="preserve">#071525</w:t>
            </w:r>
          </w:p>
        </w:tc>
        <w:tc>
          <w:tcPr>
            <w:tcW w:type="dxa" w:w="3960"/>
          </w:tcPr>
          <w:p>
            <w:r>
              <w:rPr>
                <w:rFonts w:ascii="Georgia" w:cs="Georgia" w:eastAsia="Georgia" w:hAnsi="Georgia"/>
                <w:b w:val="false"/>
                <w:bCs w:val="false"/>
                <w:color w:val="2A2A2A"/>
                <w:sz w:val="18"/>
                <w:szCs w:val="18"/>
              </w:rPr>
              <w:t xml:space="preserve">Gradient midpoint</w:t>
            </w:r>
          </w:p>
        </w:tc>
      </w:tr>
      <w:tr>
        <w:tc>
          <w:tcPr>
            <w:tcW w:type="dxa" w:w="2400"/>
            <w:shd w:fill="0E1C30" w:val="clear"/>
          </w:tcPr>
          <w:p>
            <w:r>
              <w:rPr>
                <w:rFonts w:ascii="Georgia" w:cs="Georgia" w:eastAsia="Georgia" w:hAnsi="Georgia"/>
                <w:b w:val="false"/>
                <w:bCs w:val="false"/>
                <w:color w:val="2A2A2A"/>
                <w:sz w:val="18"/>
                <w:szCs w:val="18"/>
              </w:rPr>
              <w:t xml:space="preserve"/>
            </w:r>
          </w:p>
        </w:tc>
        <w:tc>
          <w:tcPr>
            <w:tcW w:type="dxa" w:w="3000"/>
          </w:tcPr>
          <w:p>
            <w:r>
              <w:rPr>
                <w:rFonts w:ascii="Georgia" w:cs="Georgia" w:eastAsia="Georgia" w:hAnsi="Georgia"/>
                <w:b/>
                <w:bCs/>
                <w:color w:val="2A2A2A"/>
                <w:sz w:val="18"/>
                <w:szCs w:val="18"/>
              </w:rPr>
              <w:t xml:space="preserve">#0E1C30</w:t>
            </w:r>
          </w:p>
        </w:tc>
        <w:tc>
          <w:tcPr>
            <w:tcW w:type="dxa" w:w="3960"/>
          </w:tcPr>
          <w:p>
            <w:r>
              <w:rPr>
                <w:rFonts w:ascii="Georgia" w:cs="Georgia" w:eastAsia="Georgia" w:hAnsi="Georgia"/>
                <w:b w:val="false"/>
                <w:bCs w:val="false"/>
                <w:color w:val="2A2A2A"/>
                <w:sz w:val="18"/>
                <w:szCs w:val="18"/>
              </w:rPr>
              <w:t xml:space="preserve">Cards, surfaces</w:t>
            </w:r>
          </w:p>
        </w:tc>
      </w:tr>
      <w:tr>
        <w:tc>
          <w:tcPr>
            <w:tcW w:type="dxa" w:w="2400"/>
            <w:shd w:fill="C4A46B" w:val="clear"/>
          </w:tcPr>
          <w:p>
            <w:r>
              <w:rPr>
                <w:rFonts w:ascii="Georgia" w:cs="Georgia" w:eastAsia="Georgia" w:hAnsi="Georgia"/>
                <w:b w:val="false"/>
                <w:bCs w:val="false"/>
                <w:color w:val="2A2A2A"/>
                <w:sz w:val="18"/>
                <w:szCs w:val="18"/>
              </w:rPr>
              <w:t xml:space="preserve"/>
            </w:r>
          </w:p>
        </w:tc>
        <w:tc>
          <w:tcPr>
            <w:tcW w:type="dxa" w:w="3000"/>
          </w:tcPr>
          <w:p>
            <w:r>
              <w:rPr>
                <w:rFonts w:ascii="Georgia" w:cs="Georgia" w:eastAsia="Georgia" w:hAnsi="Georgia"/>
                <w:b/>
                <w:bCs/>
                <w:color w:val="2A2A2A"/>
                <w:sz w:val="18"/>
                <w:szCs w:val="18"/>
              </w:rPr>
              <w:t xml:space="preserve">#C4A46B</w:t>
            </w:r>
          </w:p>
        </w:tc>
        <w:tc>
          <w:tcPr>
            <w:tcW w:type="dxa" w:w="3960"/>
          </w:tcPr>
          <w:p>
            <w:r>
              <w:rPr>
                <w:rFonts w:ascii="Georgia" w:cs="Georgia" w:eastAsia="Georgia" w:hAnsi="Georgia"/>
                <w:b w:val="false"/>
                <w:bCs w:val="false"/>
                <w:color w:val="2A2A2A"/>
                <w:sz w:val="18"/>
                <w:szCs w:val="18"/>
              </w:rPr>
              <w:t xml:space="preserve">Accent, emphasis</w:t>
            </w:r>
          </w:p>
        </w:tc>
      </w:tr>
      <w:tr>
        <w:tc>
          <w:tcPr>
            <w:tcW w:type="dxa" w:w="2400"/>
            <w:shd w:fill="E6ECF5" w:val="clear"/>
          </w:tcPr>
          <w:p>
            <w:r>
              <w:rPr>
                <w:rFonts w:ascii="Georgia" w:cs="Georgia" w:eastAsia="Georgia" w:hAnsi="Georgia"/>
                <w:b w:val="false"/>
                <w:bCs w:val="false"/>
                <w:color w:val="2A2A2A"/>
                <w:sz w:val="18"/>
                <w:szCs w:val="18"/>
              </w:rPr>
              <w:t xml:space="preserve"/>
            </w:r>
          </w:p>
        </w:tc>
        <w:tc>
          <w:tcPr>
            <w:tcW w:type="dxa" w:w="3000"/>
          </w:tcPr>
          <w:p>
            <w:r>
              <w:rPr>
                <w:rFonts w:ascii="Georgia" w:cs="Georgia" w:eastAsia="Georgia" w:hAnsi="Georgia"/>
                <w:b/>
                <w:bCs/>
                <w:color w:val="2A2A2A"/>
                <w:sz w:val="18"/>
                <w:szCs w:val="18"/>
              </w:rPr>
              <w:t xml:space="preserve">#E6ECF5</w:t>
            </w:r>
          </w:p>
        </w:tc>
        <w:tc>
          <w:tcPr>
            <w:tcW w:type="dxa" w:w="3960"/>
          </w:tcPr>
          <w:p>
            <w:r>
              <w:rPr>
                <w:rFonts w:ascii="Georgia" w:cs="Georgia" w:eastAsia="Georgia" w:hAnsi="Georgia"/>
                <w:b w:val="false"/>
                <w:bCs w:val="false"/>
                <w:color w:val="2A2A2A"/>
                <w:sz w:val="18"/>
                <w:szCs w:val="18"/>
              </w:rPr>
              <w:t xml:space="preserve">Primary text</w:t>
            </w:r>
          </w:p>
        </w:tc>
      </w:tr>
      <w:tr>
        <w:tc>
          <w:tcPr>
            <w:tcW w:type="dxa" w:w="2400"/>
            <w:shd w:fill="8FAFC8" w:val="clear"/>
          </w:tcPr>
          <w:p>
            <w:r>
              <w:rPr>
                <w:rFonts w:ascii="Georgia" w:cs="Georgia" w:eastAsia="Georgia" w:hAnsi="Georgia"/>
                <w:b w:val="false"/>
                <w:bCs w:val="false"/>
                <w:color w:val="2A2A2A"/>
                <w:sz w:val="18"/>
                <w:szCs w:val="18"/>
              </w:rPr>
              <w:t xml:space="preserve"/>
            </w:r>
          </w:p>
        </w:tc>
        <w:tc>
          <w:tcPr>
            <w:tcW w:type="dxa" w:w="3000"/>
          </w:tcPr>
          <w:p>
            <w:r>
              <w:rPr>
                <w:rFonts w:ascii="Georgia" w:cs="Georgia" w:eastAsia="Georgia" w:hAnsi="Georgia"/>
                <w:b/>
                <w:bCs/>
                <w:color w:val="2A2A2A"/>
                <w:sz w:val="18"/>
                <w:szCs w:val="18"/>
              </w:rPr>
              <w:t xml:space="preserve">#8FAFC8</w:t>
            </w:r>
          </w:p>
        </w:tc>
        <w:tc>
          <w:tcPr>
            <w:tcW w:type="dxa" w:w="3960"/>
          </w:tcPr>
          <w:p>
            <w:r>
              <w:rPr>
                <w:rFonts w:ascii="Georgia" w:cs="Georgia" w:eastAsia="Georgia" w:hAnsi="Georgia"/>
                <w:b w:val="false"/>
                <w:bCs w:val="false"/>
                <w:color w:val="2A2A2A"/>
                <w:sz w:val="18"/>
                <w:szCs w:val="18"/>
              </w:rPr>
              <w:t xml:space="preserve">Secondary text</w:t>
            </w:r>
          </w:p>
        </w:tc>
      </w:tr>
    </w:tbl>
    <w:p>
      <w:r>
        <w:r>
          <w:br w:type="page"/>
        </w:r>
      </w:r>
    </w:p>
    <w:p>
      <w:pPr>
        <w:spacing w:after="60" w:before="200"/>
      </w:pPr>
      <w:r>
        <w:rPr>
          <w:rFonts w:ascii="Arial" w:cs="Arial" w:eastAsia="Arial" w:hAnsi="Arial"/>
          <w:b/>
          <w:bCs/>
          <w:color w:val="C4A46B"/>
          <w:spacing w:val="40"/>
          <w:sz w:val="16"/>
          <w:szCs w:val="16"/>
        </w:rPr>
        <w:t xml:space="preserve">04 — TYPOGRAPHY</w:t>
      </w:r>
    </w:p>
    <w:p>
      <w:pPr>
        <w:spacing w:after="120" w:before="240"/>
      </w:pPr>
      <w:r>
        <w:rPr>
          <w:rFonts w:ascii="Georgia" w:cs="Georgia" w:eastAsia="Georgia" w:hAnsi="Georgia"/>
          <w:b/>
          <w:bCs/>
          <w:color w:val="03080F"/>
          <w:sz w:val="28"/>
          <w:szCs w:val="28"/>
        </w:rPr>
        <w:t xml:space="preserve">Typography</w:t>
      </w:r>
    </w:p>
    <w:p>
      <w:pPr>
        <w:spacing w:after="120"/>
      </w:pPr>
      <w:r>
        <w:rPr>
          <w:rFonts w:ascii="Georgia" w:cs="Georgia" w:eastAsia="Georgia" w:hAnsi="Georgia"/>
          <w:color w:val="2A2A2A"/>
          <w:sz w:val="21"/>
          <w:szCs w:val="21"/>
        </w:rPr>
        <w:t xml:space="preserve">Two typefaces carry the entire system. Noto Serif — used in italic — brings editorial elegance to headlines and pull quotes. Inter handles all body copy, labels, and interface text with clean neutrality.</w:t>
      </w:r>
    </w:p>
    <w:p>
      <w:pPr>
        <w:spacing w:after="40" w:before="180"/>
      </w:pPr>
      <w:r>
        <w:rPr>
          <w:rFonts w:ascii="Georgia" w:cs="Georgia" w:eastAsia="Georgia" w:hAnsi="Georgia"/>
          <w:i/>
          <w:iCs/>
          <w:color w:val="03080F"/>
          <w:sz w:val="48"/>
          <w:szCs w:val="48"/>
        </w:rPr>
        <w:t xml:space="preserve">We Land the Science</w:t>
      </w:r>
    </w:p>
    <w:p>
      <w:pPr>
        <w:spacing w:after="160"/>
      </w:pPr>
      <w:r>
        <w:rPr>
          <w:rFonts w:ascii="Arial" w:cs="Arial" w:eastAsia="Arial" w:hAnsi="Arial"/>
          <w:color w:val="6A6A6A"/>
          <w:sz w:val="16"/>
          <w:szCs w:val="16"/>
        </w:rPr>
        <w:t xml:space="preserve">Noto Serif · Light · Italic · Hero headlines and section titles</w:t>
      </w:r>
    </w:p>
    <w:p>
      <w:pPr>
        <w:spacing w:after="40"/>
      </w:pPr>
      <w:r>
        <w:rPr>
          <w:rFonts w:ascii="Georgia" w:cs="Georgia" w:eastAsia="Georgia" w:hAnsi="Georgia"/>
          <w:color w:val="03080F"/>
          <w:sz w:val="32"/>
          <w:szCs w:val="32"/>
        </w:rPr>
        <w:t xml:space="preserve">The numbers behind why this matters</w:t>
      </w:r>
    </w:p>
    <w:p>
      <w:pPr>
        <w:spacing w:after="160"/>
      </w:pPr>
      <w:r>
        <w:rPr>
          <w:rFonts w:ascii="Arial" w:cs="Arial" w:eastAsia="Arial" w:hAnsi="Arial"/>
          <w:color w:val="6A6A6A"/>
          <w:sz w:val="16"/>
          <w:szCs w:val="16"/>
        </w:rPr>
        <w:t xml:space="preserve">Noto Serif · Light · Roman · Sub-headings and card titles</w:t>
      </w:r>
    </w:p>
    <w:p>
      <w:pPr>
        <w:spacing w:after="40"/>
      </w:pPr>
      <w:r>
        <w:rPr>
          <w:rFonts w:ascii="Arial" w:cs="Arial" w:eastAsia="Arial" w:hAnsi="Arial"/>
          <w:color w:val="2A2A2A"/>
          <w:sz w:val="22"/>
          <w:szCs w:val="22"/>
        </w:rPr>
        <w:t xml:space="preserve">AGVC is the operating partner for deep-tech founders in aging, AI healthcare, and biotech.</w:t>
      </w:r>
    </w:p>
    <w:p>
      <w:pPr>
        <w:spacing w:after="160"/>
      </w:pPr>
      <w:r>
        <w:rPr>
          <w:rFonts w:ascii="Arial" w:cs="Arial" w:eastAsia="Arial" w:hAnsi="Arial"/>
          <w:color w:val="6A6A6A"/>
          <w:sz w:val="16"/>
          <w:szCs w:val="16"/>
        </w:rPr>
        <w:t xml:space="preserve">Inter · Light / Regular · Body copy and descriptions</w:t>
      </w:r>
    </w:p>
    <w:p>
      <w:pPr>
        <w:spacing w:after="60" w:before="200"/>
      </w:pPr>
      <w:r>
        <w:rPr>
          <w:rFonts w:ascii="Arial" w:cs="Arial" w:eastAsia="Arial" w:hAnsi="Arial"/>
          <w:b/>
          <w:bCs/>
          <w:color w:val="C4A46B"/>
          <w:spacing w:val="40"/>
          <w:sz w:val="16"/>
          <w:szCs w:val="16"/>
        </w:rPr>
        <w:t xml:space="preserve">CHINESE TYPOGRAPHY</w:t>
      </w:r>
    </w:p>
    <w:p>
      <w:pPr>
        <w:spacing w:after="120"/>
      </w:pPr>
      <w:r>
        <w:rPr>
          <w:rFonts w:ascii="Georgia" w:cs="Georgia" w:eastAsia="Georgia" w:hAnsi="Georgia"/>
          <w:color w:val="2A2A2A"/>
          <w:sz w:val="21"/>
          <w:szCs w:val="21"/>
        </w:rPr>
        <w:t xml:space="preserve">For Simplified Chinese, Noto Sans SC is used throughout — it pairs cleanly with both Latin faces and maintains legibility at all sizes. Chinese headlines drop the italic styling used in English.</w:t>
      </w:r>
    </w:p>
    <w:p>
      <w:r>
        <w:r>
          <w:br w:type="page"/>
        </w:r>
      </w:r>
    </w:p>
    <w:p>
      <w:pPr>
        <w:spacing w:after="60" w:before="200"/>
      </w:pPr>
      <w:r>
        <w:rPr>
          <w:rFonts w:ascii="Arial" w:cs="Arial" w:eastAsia="Arial" w:hAnsi="Arial"/>
          <w:b/>
          <w:bCs/>
          <w:color w:val="C4A46B"/>
          <w:spacing w:val="40"/>
          <w:sz w:val="16"/>
          <w:szCs w:val="16"/>
        </w:rPr>
        <w:t xml:space="preserve">05 — VOICE &amp; TONE</w:t>
      </w:r>
    </w:p>
    <w:p>
      <w:pPr>
        <w:spacing w:after="120" w:before="240"/>
      </w:pPr>
      <w:r>
        <w:rPr>
          <w:rFonts w:ascii="Georgia" w:cs="Georgia" w:eastAsia="Georgia" w:hAnsi="Georgia"/>
          <w:b/>
          <w:bCs/>
          <w:color w:val="03080F"/>
          <w:sz w:val="28"/>
          <w:szCs w:val="28"/>
        </w:rPr>
        <w:t xml:space="preserve">Voice &amp; Tone</w:t>
      </w:r>
    </w:p>
    <w:p>
      <w:pPr>
        <w:spacing w:after="120"/>
      </w:pPr>
      <w:r>
        <w:rPr>
          <w:rFonts w:ascii="Georgia" w:cs="Georgia" w:eastAsia="Georgia" w:hAnsi="Georgia"/>
          <w:color w:val="2A2A2A"/>
          <w:sz w:val="21"/>
          <w:szCs w:val="21"/>
        </w:rPr>
        <w:t xml:space="preserve">AGVC speaks with the confidence of an institutional operator and the precision of a scientist. We are declarative, never salesy. We let substance carry the message.</w:t>
      </w:r>
    </w:p>
    <w:p>
      <w:pPr>
        <w:spacing w:after="60" w:before="120"/>
      </w:pPr>
      <w:r>
        <w:rPr>
          <w:rFonts w:ascii="Arial" w:cs="Arial" w:eastAsia="Arial" w:hAnsi="Arial"/>
          <w:b/>
          <w:bCs/>
          <w:color w:val="C4A46B"/>
          <w:sz w:val="20"/>
          <w:szCs w:val="20"/>
        </w:rPr>
        <w:t xml:space="preserve">We do</w:t>
      </w:r>
    </w:p>
    <w:p>
      <w:pPr>
        <w:pStyle w:val="ListParagraph"/>
        <w:numPr>
          <w:ilvl w:val="0"/>
          <w:numId w:val="1"/>
        </w:numPr>
        <w:spacing w:after="60"/>
      </w:pPr>
      <w:r>
        <w:rPr>
          <w:rFonts w:ascii="Georgia" w:cs="Georgia" w:eastAsia="Georgia" w:hAnsi="Georgia"/>
          <w:color w:val="2A2A2A"/>
          <w:sz w:val="20"/>
          <w:szCs w:val="20"/>
        </w:rPr>
        <w:t xml:space="preserve">Lead with substance and specifics</w:t>
      </w:r>
    </w:p>
    <w:p>
      <w:pPr>
        <w:pStyle w:val="ListParagraph"/>
        <w:numPr>
          <w:ilvl w:val="0"/>
          <w:numId w:val="1"/>
        </w:numPr>
        <w:spacing w:after="60"/>
      </w:pPr>
      <w:r>
        <w:rPr>
          <w:rFonts w:ascii="Georgia" w:cs="Georgia" w:eastAsia="Georgia" w:hAnsi="Georgia"/>
          <w:color w:val="2A2A2A"/>
          <w:sz w:val="20"/>
          <w:szCs w:val="20"/>
        </w:rPr>
        <w:t xml:space="preserve">Use active, declarative statements</w:t>
      </w:r>
    </w:p>
    <w:p>
      <w:pPr>
        <w:pStyle w:val="ListParagraph"/>
        <w:numPr>
          <w:ilvl w:val="0"/>
          <w:numId w:val="1"/>
        </w:numPr>
        <w:spacing w:after="60"/>
      </w:pPr>
      <w:r>
        <w:rPr>
          <w:rFonts w:ascii="Georgia" w:cs="Georgia" w:eastAsia="Georgia" w:hAnsi="Georgia"/>
          <w:color w:val="2A2A2A"/>
          <w:sz w:val="20"/>
          <w:szCs w:val="20"/>
        </w:rPr>
        <w:t xml:space="preserve">Say "support" and "endorse," not "invest"</w:t>
      </w:r>
    </w:p>
    <w:p>
      <w:pPr>
        <w:pStyle w:val="ListParagraph"/>
        <w:numPr>
          <w:ilvl w:val="0"/>
          <w:numId w:val="1"/>
        </w:numPr>
        <w:spacing w:after="60"/>
      </w:pPr>
      <w:r>
        <w:rPr>
          <w:rFonts w:ascii="Georgia" w:cs="Georgia" w:eastAsia="Georgia" w:hAnsi="Georgia"/>
          <w:color w:val="2A2A2A"/>
          <w:sz w:val="20"/>
          <w:szCs w:val="20"/>
        </w:rPr>
        <w:t xml:space="preserve">Speak as an operator and builder</w:t>
      </w:r>
    </w:p>
    <w:p>
      <w:pPr>
        <w:spacing w:after="60" w:before="120"/>
      </w:pPr>
      <w:r>
        <w:rPr>
          <w:rFonts w:ascii="Arial" w:cs="Arial" w:eastAsia="Arial" w:hAnsi="Arial"/>
          <w:b/>
          <w:bCs/>
          <w:color w:val="6A6A6A"/>
          <w:sz w:val="20"/>
          <w:szCs w:val="20"/>
        </w:rPr>
        <w:t xml:space="preserve">We don't</w:t>
      </w:r>
    </w:p>
    <w:p>
      <w:pPr>
        <w:pStyle w:val="ListParagraph"/>
        <w:numPr>
          <w:ilvl w:val="0"/>
          <w:numId w:val="1"/>
        </w:numPr>
        <w:spacing w:after="60"/>
      </w:pPr>
      <w:r>
        <w:rPr>
          <w:rFonts w:ascii="Georgia" w:cs="Georgia" w:eastAsia="Georgia" w:hAnsi="Georgia"/>
          <w:color w:val="2A2A2A"/>
          <w:sz w:val="20"/>
          <w:szCs w:val="20"/>
        </w:rPr>
        <w:t xml:space="preserve">Use hype or superlatives without proof</w:t>
      </w:r>
    </w:p>
    <w:p>
      <w:pPr>
        <w:pStyle w:val="ListParagraph"/>
        <w:numPr>
          <w:ilvl w:val="0"/>
          <w:numId w:val="1"/>
        </w:numPr>
        <w:spacing w:after="60"/>
      </w:pPr>
      <w:r>
        <w:rPr>
          <w:rFonts w:ascii="Georgia" w:cs="Georgia" w:eastAsia="Georgia" w:hAnsi="Georgia"/>
          <w:color w:val="2A2A2A"/>
          <w:sz w:val="20"/>
          <w:szCs w:val="20"/>
        </w:rPr>
        <w:t xml:space="preserve">Add instructional filler ("click here", "scroll down")</w:t>
      </w:r>
    </w:p>
    <w:p>
      <w:pPr>
        <w:pStyle w:val="ListParagraph"/>
        <w:numPr>
          <w:ilvl w:val="0"/>
          <w:numId w:val="1"/>
        </w:numPr>
        <w:spacing w:after="60"/>
      </w:pPr>
      <w:r>
        <w:rPr>
          <w:rFonts w:ascii="Georgia" w:cs="Georgia" w:eastAsia="Georgia" w:hAnsi="Georgia"/>
          <w:color w:val="2A2A2A"/>
          <w:sz w:val="20"/>
          <w:szCs w:val="20"/>
        </w:rPr>
        <w:t xml:space="preserve">Over-explain or pad with adjectives</w:t>
      </w:r>
    </w:p>
    <w:p>
      <w:pPr>
        <w:pStyle w:val="ListParagraph"/>
        <w:numPr>
          <w:ilvl w:val="0"/>
          <w:numId w:val="1"/>
        </w:numPr>
        <w:spacing w:after="60"/>
      </w:pPr>
      <w:r>
        <w:rPr>
          <w:rFonts w:ascii="Georgia" w:cs="Georgia" w:eastAsia="Georgia" w:hAnsi="Georgia"/>
          <w:color w:val="2A2A2A"/>
          <w:sz w:val="20"/>
          <w:szCs w:val="20"/>
        </w:rPr>
        <w:t xml:space="preserve">Sound like a consumer tech startup</w:t>
      </w:r>
    </w:p>
    <w:p>
      <w:r>
        <w:r>
          <w:br w:type="page"/>
        </w:r>
      </w:r>
    </w:p>
    <w:p>
      <w:pPr>
        <w:spacing w:after="60" w:before="200"/>
      </w:pPr>
      <w:r>
        <w:rPr>
          <w:rFonts w:ascii="Arial" w:cs="Arial" w:eastAsia="Arial" w:hAnsi="Arial"/>
          <w:b/>
          <w:bCs/>
          <w:color w:val="C4A46B"/>
          <w:spacing w:val="40"/>
          <w:sz w:val="16"/>
          <w:szCs w:val="16"/>
        </w:rPr>
        <w:t xml:space="preserve">06 — THE TAGLINE</w:t>
      </w:r>
    </w:p>
    <w:p>
      <w:pPr>
        <w:spacing w:after="120" w:before="240"/>
      </w:pPr>
      <w:r>
        <w:rPr>
          <w:rFonts w:ascii="Georgia" w:cs="Georgia" w:eastAsia="Georgia" w:hAnsi="Georgia"/>
          <w:b/>
          <w:bCs/>
          <w:color w:val="03080F"/>
          <w:sz w:val="28"/>
          <w:szCs w:val="28"/>
        </w:rPr>
        <w:t xml:space="preserve">The Tagline</w:t>
      </w:r>
    </w:p>
    <w:p>
      <w:pPr>
        <w:spacing w:after="80" w:before="400"/>
        <w:jc w:val="center"/>
      </w:pPr>
      <w:r>
        <w:rPr>
          <w:rFonts w:ascii="Georgia" w:cs="Georgia" w:eastAsia="Georgia" w:hAnsi="Georgia"/>
          <w:i/>
          <w:iCs/>
          <w:color w:val="C4A46B"/>
          <w:sz w:val="52"/>
          <w:szCs w:val="52"/>
        </w:rPr>
        <w:t xml:space="preserve">Age, but less.</w:t>
      </w:r>
    </w:p>
    <w:p>
      <w:pPr>
        <w:spacing w:after="200"/>
        <w:jc w:val="center"/>
      </w:pPr>
      <w:r>
        <w:rPr>
          <w:rFonts w:ascii="Georgia" w:cs="Georgia" w:eastAsia="Georgia" w:hAnsi="Georgia"/>
          <w:color w:val="03080F"/>
          <w:sz w:val="32"/>
          <w:szCs w:val="32"/>
        </w:rPr>
        <w:t xml:space="preserve">增长年岁，而不衰老。</w:t>
      </w:r>
    </w:p>
    <w:p>
      <w:pPr>
        <w:spacing w:after="120"/>
      </w:pPr>
      <w:r>
        <w:rPr>
          <w:rFonts w:ascii="Georgia" w:cs="Georgia" w:eastAsia="Georgia" w:hAnsi="Georgia"/>
          <w:color w:val="2A2A2A"/>
          <w:sz w:val="21"/>
          <w:szCs w:val="21"/>
        </w:rPr>
        <w:t xml:space="preserve">The tagline is a play on the AGVC name and the company's purpose: to lessen the burden of age. Always set in Noto Serif italic (English). Never paraphrase or translate loosely.</w:t>
      </w:r>
    </w:p>
    <w:p>
      <w:r>
        <w:r>
          <w:br w:type="page"/>
        </w:r>
      </w:r>
    </w:p>
    <w:p>
      <w:pPr>
        <w:spacing w:after="60" w:before="200"/>
      </w:pPr>
      <w:r>
        <w:rPr>
          <w:rFonts w:ascii="Arial" w:cs="Arial" w:eastAsia="Arial" w:hAnsi="Arial"/>
          <w:b/>
          <w:bCs/>
          <w:color w:val="C4A46B"/>
          <w:spacing w:val="40"/>
          <w:sz w:val="16"/>
          <w:szCs w:val="16"/>
        </w:rPr>
        <w:t xml:space="preserve">07 — IN PRACTICE</w:t>
      </w:r>
    </w:p>
    <w:p>
      <w:pPr>
        <w:spacing w:after="120" w:before="240"/>
      </w:pPr>
      <w:r>
        <w:rPr>
          <w:rFonts w:ascii="Georgia" w:cs="Georgia" w:eastAsia="Georgia" w:hAnsi="Georgia"/>
          <w:b/>
          <w:bCs/>
          <w:color w:val="03080F"/>
          <w:sz w:val="28"/>
          <w:szCs w:val="28"/>
        </w:rPr>
        <w:t xml:space="preserve">In Practice</w:t>
      </w:r>
    </w:p>
    <w:p>
      <w:pPr>
        <w:spacing w:after="60" w:before="200"/>
      </w:pPr>
      <w:r>
        <w:rPr>
          <w:rFonts w:ascii="Arial" w:cs="Arial" w:eastAsia="Arial" w:hAnsi="Arial"/>
          <w:b/>
          <w:bCs/>
          <w:color w:val="C4A46B"/>
          <w:spacing w:val="40"/>
          <w:sz w:val="16"/>
          <w:szCs w:val="16"/>
        </w:rPr>
        <w:t xml:space="preserve">DIGITAL SURFACES</w:t>
      </w:r>
    </w:p>
    <w:p>
      <w:pPr>
        <w:spacing w:after="120"/>
      </w:pPr>
      <w:r>
        <w:rPr>
          <w:rFonts w:ascii="Georgia" w:cs="Georgia" w:eastAsia="Georgia" w:hAnsi="Georgia"/>
          <w:color w:val="2A2A2A"/>
          <w:sz w:val="21"/>
          <w:szCs w:val="21"/>
        </w:rPr>
        <w:t xml:space="preserve">Dark navy backgrounds with a subtle grid or stardust texture. Generous whitespace. Gold reserved for a single accent per view — a CTA, an emphasized word, an eyebrow line.</w:t>
      </w:r>
    </w:p>
    <w:p>
      <w:pPr>
        <w:spacing w:after="60" w:before="200"/>
      </w:pPr>
      <w:r>
        <w:rPr>
          <w:rFonts w:ascii="Arial" w:cs="Arial" w:eastAsia="Arial" w:hAnsi="Arial"/>
          <w:b/>
          <w:bCs/>
          <w:color w:val="C4A46B"/>
          <w:spacing w:val="40"/>
          <w:sz w:val="16"/>
          <w:szCs w:val="16"/>
        </w:rPr>
        <w:t xml:space="preserve">PRESENTATIONS &amp; DOCUMENTS</w:t>
      </w:r>
    </w:p>
    <w:p>
      <w:pPr>
        <w:spacing w:after="120"/>
      </w:pPr>
      <w:r>
        <w:rPr>
          <w:rFonts w:ascii="Georgia" w:cs="Georgia" w:eastAsia="Georgia" w:hAnsi="Georgia"/>
          <w:color w:val="2A2A2A"/>
          <w:sz w:val="21"/>
          <w:szCs w:val="21"/>
        </w:rPr>
        <w:t xml:space="preserve">Black or deep-navy title slides, white content slides. Serif italic for section openers. Data and diagrams in the navy-and-gold palette. Always credit sources at the footer.</w:t>
      </w:r>
    </w:p>
    <w:p>
      <w:pPr>
        <w:spacing w:after="60" w:before="200"/>
      </w:pPr>
      <w:r>
        <w:rPr>
          <w:rFonts w:ascii="Arial" w:cs="Arial" w:eastAsia="Arial" w:hAnsi="Arial"/>
          <w:b/>
          <w:bCs/>
          <w:color w:val="C4A46B"/>
          <w:spacing w:val="40"/>
          <w:sz w:val="16"/>
          <w:szCs w:val="16"/>
        </w:rPr>
        <w:t xml:space="preserve">BUSINESS CARDS &amp; PRINT</w:t>
      </w:r>
    </w:p>
    <w:p>
      <w:pPr>
        <w:spacing w:after="120"/>
      </w:pPr>
      <w:r>
        <w:rPr>
          <w:rFonts w:ascii="Georgia" w:cs="Georgia" w:eastAsia="Georgia" w:hAnsi="Georgia"/>
          <w:color w:val="2A2A2A"/>
          <w:sz w:val="21"/>
          <w:szCs w:val="21"/>
        </w:rPr>
        <w:t xml:space="preserve">Deep navy stock with gold foil for the star and wordmark. Contact details in Inter. Reverse side may carry the tagline centered in gold italic.</w:t>
      </w:r>
    </w:p>
    <w:p>
      <w:pPr>
        <w:spacing w:before="600"/>
        <w:jc w:val="center"/>
      </w:pPr>
      <w:r>
        <w:rPr>
          <w:rFonts w:ascii="Georgia" w:cs="Georgia" w:eastAsia="Georgia" w:hAnsi="Georgia"/>
          <w:i/>
          <w:iCs/>
          <w:color w:val="C4A46B"/>
          <w:sz w:val="18"/>
          <w:szCs w:val="18"/>
        </w:rPr>
        <w:t xml:space="preserve">✳ AGVC — Age, but less. — agvcfunds.com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2026-07-10T09:25:47.671Z</dcterms:created>
  <dcterms:modified xsi:type="dcterms:W3CDTF">2026-07-10T09:25:47.681Z</dcterms:modified>
</cp:coreProperties>
</file>

<file path=docProps/custom.xml><?xml version="1.0" encoding="utf-8"?>
<Properties xmlns="http://schemas.openxmlformats.org/officeDocument/2006/custom-properties" xmlns:vt="http://schemas.openxmlformats.org/officeDocument/2006/docPropsVTypes"/>
</file>