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62AFD6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License集成指南</w:t>
      </w:r>
    </w:p>
    <w:p w14:paraId="32C3D5BE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</w:t>
      </w:r>
    </w:p>
    <w:p w14:paraId="49145538">
      <w:pPr>
        <w:pStyle w:val="5"/>
        <w:keepNext w:val="0"/>
        <w:keepLines w:val="0"/>
        <w:widowControl/>
        <w:suppressLineNumbers w:val="0"/>
        <w:shd w:val="clear" w:fill="FFFFFF"/>
        <w:spacing w:before="225" w:beforeAutospacing="0" w:after="225" w:afterAutospacing="0" w:line="420" w:lineRule="atLeast"/>
        <w:ind w:left="0" w:right="0" w:firstLine="480" w:firstLineChars="200"/>
        <w:rPr>
          <w:rFonts w:hint="default" w:ascii="Times New Roman" w:hAnsi="Times New Roman" w:cs="Times New Roman" w:eastAsiaTheme="minorEastAsi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License，即版权许可证，一般用于收费软件给付费用户提供的访问许可证明。根据应用部署位置的不同，一般可以分为以下两种情况讨论：</w:t>
      </w:r>
    </w:p>
    <w:p w14:paraId="2DD5B4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应用部署在开发者自己的云服务器上。这种情况下用户通过账号登录的形式远程访问，因此只需要在账号登录的时候校验目标账号的有效期、访问权限等信息即可。</w:t>
      </w:r>
    </w:p>
    <w:p w14:paraId="1113379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409355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应用部署在客户的内网环境。因为这种情况开发者无法控制客户的网络环境，也不能保证应用所在服务器可以访问外网，因此通常的做法是使用服务器许可文件，在应用启动的时候加载证书，然后在登录或者其他关键操作的地方校验证书的有效性。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br w:type="textWrapping"/>
      </w:r>
    </w:p>
    <w:p w14:paraId="054BE610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步骤</w:t>
      </w:r>
    </w:p>
    <w:p w14:paraId="2FF8A1E6">
      <w:pPr>
        <w:rPr>
          <w:rFonts w:hint="default"/>
          <w:lang w:val="en-US" w:eastAsia="zh-CN"/>
        </w:rPr>
      </w:pPr>
    </w:p>
    <w:p w14:paraId="6FAB9742">
      <w:pPr>
        <w:rPr>
          <w:rFonts w:hint="eastAsia"/>
          <w:lang w:val="en-US" w:eastAsia="zh-CN"/>
        </w:rPr>
      </w:pPr>
    </w:p>
    <w:p w14:paraId="564547B3">
      <w:pPr>
        <w:numPr>
          <w:ilvl w:val="0"/>
          <w:numId w:val="3"/>
        </w:numP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登录License Master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系统</w:t>
      </w:r>
    </w:p>
    <w:p w14:paraId="0C435843"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drawing>
          <wp:inline distT="0" distB="0" distL="114300" distR="114300">
            <wp:extent cx="5257800" cy="27749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 w:eastAsiaTheme="minorEastAsia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2、填写参数生成许可证和公钥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sz w:val="24"/>
          <w:szCs w:val="24"/>
        </w:rPr>
        <w:drawing>
          <wp:inline distT="0" distB="0" distL="114300" distR="114300">
            <wp:extent cx="5263515" cy="2790825"/>
            <wp:effectExtent l="0" t="0" r="1333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81492"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599EA745">
      <w:pP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7505D36B">
      <w:pPr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drawing>
          <wp:inline distT="0" distB="0" distL="114300" distR="114300">
            <wp:extent cx="5271770" cy="2760980"/>
            <wp:effectExtent l="0" t="0" r="508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 w:eastAsiaTheme="minorEastAsia"/>
          <w:sz w:val="24"/>
          <w:szCs w:val="24"/>
        </w:rPr>
        <w:br w:type="textWrapping"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生成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如下文件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sz w:val="24"/>
          <w:szCs w:val="24"/>
        </w:rPr>
        <w:drawing>
          <wp:inline distT="0" distB="0" distL="114300" distR="114300">
            <wp:extent cx="2990850" cy="14001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 w:eastAsiaTheme="minorEastAsia"/>
          <w:sz w:val="24"/>
          <w:szCs w:val="24"/>
        </w:rPr>
        <w:br w:type="textWrapping"/>
      </w:r>
    </w:p>
    <w:p w14:paraId="581CFB99">
      <w:pPr>
        <w:numPr>
          <w:numId w:val="0"/>
        </w:numPr>
        <w:ind w:leftChars="0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3、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在springboot项目中通过maven引入封装好的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license-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spring-boot-starter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 w:eastAsiaTheme="minorEastAsia"/>
          <w:sz w:val="24"/>
          <w:szCs w:val="24"/>
        </w:rPr>
        <w:drawing>
          <wp:inline distT="0" distB="0" distL="114300" distR="114300">
            <wp:extent cx="5266690" cy="2962910"/>
            <wp:effectExtent l="0" t="0" r="1016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25311">
      <w:pPr>
        <w:pStyle w:val="4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4、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在主启动类上标注@EnableLicense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 w:eastAsiaTheme="minorEastAsia"/>
          <w:sz w:val="24"/>
          <w:szCs w:val="24"/>
        </w:rPr>
        <w:drawing>
          <wp:inline distT="0" distB="0" distL="114300" distR="114300">
            <wp:extent cx="5264785" cy="2507615"/>
            <wp:effectExtent l="0" t="0" r="1206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 w:eastAsiaTheme="minorEastAsia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5、在application.yaml文件中进行简单配置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参数如下：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i/>
          <w:iCs/>
          <w:color w:val="5F826B"/>
          <w:sz w:val="24"/>
          <w:szCs w:val="2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CF8E6D"/>
          <w:sz w:val="24"/>
          <w:szCs w:val="24"/>
          <w:shd w:val="clear" w:fill="1E1F22"/>
        </w:rPr>
        <w:t>license</w:t>
      </w:r>
      <w:r>
        <w:rPr>
          <w:rFonts w:hint="default" w:ascii="Times New Roman" w:hAnsi="Times New Roman" w:eastAsia="宋体" w:cs="Times New Roman"/>
          <w:color w:val="BCBEC4"/>
          <w:sz w:val="24"/>
          <w:szCs w:val="24"/>
          <w:shd w:val="clear" w:fill="1E1F22"/>
        </w:rPr>
        <w:t>:</w:t>
      </w:r>
      <w:r>
        <w:rPr>
          <w:rFonts w:hint="default" w:ascii="Times New Roman" w:hAnsi="Times New Roman" w:eastAsia="宋体" w:cs="Times New Roman"/>
          <w:color w:val="BCBEC4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color w:val="BCBEC4"/>
          <w:sz w:val="24"/>
          <w:szCs w:val="24"/>
          <w:shd w:val="clear" w:fill="1E1F22"/>
        </w:rPr>
        <w:t xml:space="preserve">  </w:t>
      </w:r>
      <w:r>
        <w:rPr>
          <w:rFonts w:hint="default" w:ascii="Times New Roman" w:hAnsi="Times New Roman" w:eastAsia="宋体" w:cs="Times New Roman"/>
          <w:color w:val="CF8E6D"/>
          <w:sz w:val="24"/>
          <w:szCs w:val="24"/>
          <w:shd w:val="clear" w:fill="1E1F22"/>
        </w:rPr>
        <w:t>mode</w:t>
      </w:r>
      <w:r>
        <w:rPr>
          <w:rFonts w:hint="default" w:ascii="Times New Roman" w:hAnsi="Times New Roman" w:eastAsia="宋体" w:cs="Times New Roman"/>
          <w:color w:val="BCBEC4"/>
          <w:sz w:val="24"/>
          <w:szCs w:val="24"/>
          <w:shd w:val="clear" w:fill="1E1F22"/>
        </w:rPr>
        <w:t xml:space="preserve">: annotation </w:t>
      </w:r>
      <w:r>
        <w:rPr>
          <w:rFonts w:hint="default" w:ascii="Times New Roman" w:hAnsi="Times New Roman" w:eastAsia="宋体" w:cs="Times New Roman"/>
          <w:i/>
          <w:iCs/>
          <w:color w:val="5F826B"/>
          <w:sz w:val="24"/>
          <w:szCs w:val="24"/>
          <w:shd w:val="clear" w:fill="1E1F22"/>
        </w:rPr>
        <w:t>#global：全局拦截器模式（默认）；annotation注解模式（推荐），在方法上添加@ValidLicense</w:t>
      </w:r>
      <w:r>
        <w:rPr>
          <w:rFonts w:hint="default" w:ascii="Times New Roman" w:hAnsi="Times New Roman" w:eastAsia="宋体" w:cs="Times New Roman"/>
          <w:i/>
          <w:iCs/>
          <w:color w:val="5F826B"/>
          <w:sz w:val="24"/>
          <w:szCs w:val="24"/>
          <w:shd w:val="clear" w:fill="1E1F22"/>
          <w:lang w:val="en-US" w:eastAsia="zh-CN"/>
        </w:rPr>
        <w:t>使用</w:t>
      </w:r>
      <w:r>
        <w:rPr>
          <w:rFonts w:hint="default" w:ascii="Times New Roman" w:hAnsi="Times New Roman" w:eastAsia="宋体" w:cs="Times New Roman"/>
          <w:i/>
          <w:iCs/>
          <w:color w:val="5F826B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5F826B"/>
          <w:sz w:val="24"/>
          <w:szCs w:val="24"/>
          <w:shd w:val="clear" w:fill="1E1F22"/>
        </w:rPr>
        <w:t xml:space="preserve">  </w:t>
      </w:r>
      <w:r>
        <w:rPr>
          <w:rFonts w:hint="default" w:ascii="Times New Roman" w:hAnsi="Times New Roman" w:eastAsia="宋体" w:cs="Times New Roman"/>
          <w:color w:val="CF8E6D"/>
          <w:sz w:val="24"/>
          <w:szCs w:val="24"/>
          <w:shd w:val="clear" w:fill="1E1F22"/>
        </w:rPr>
        <w:t>subject</w:t>
      </w:r>
      <w:r>
        <w:rPr>
          <w:rFonts w:hint="default" w:ascii="Times New Roman" w:hAnsi="Times New Roman" w:eastAsia="宋体" w:cs="Times New Roman"/>
          <w:color w:val="BCBEC4"/>
          <w:sz w:val="24"/>
          <w:szCs w:val="24"/>
          <w:shd w:val="clear" w:fill="1E1F22"/>
        </w:rPr>
        <w:t xml:space="preserve">: test </w:t>
      </w:r>
      <w:r>
        <w:rPr>
          <w:rFonts w:hint="default" w:ascii="Times New Roman" w:hAnsi="Times New Roman" w:eastAsia="宋体" w:cs="Times New Roman"/>
          <w:i/>
          <w:iCs/>
          <w:color w:val="5F826B"/>
          <w:sz w:val="24"/>
          <w:szCs w:val="24"/>
          <w:shd w:val="clear" w:fill="1E1F22"/>
        </w:rPr>
        <w:t>#证书主题</w:t>
      </w:r>
      <w:r>
        <w:rPr>
          <w:rFonts w:hint="default" w:ascii="Times New Roman" w:hAnsi="Times New Roman" w:eastAsia="宋体" w:cs="Times New Roman"/>
          <w:i/>
          <w:iCs/>
          <w:color w:val="5F826B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5F826B"/>
          <w:sz w:val="24"/>
          <w:szCs w:val="24"/>
          <w:shd w:val="clear" w:fill="1E1F22"/>
        </w:rPr>
        <w:t xml:space="preserve">  #publicAlias: publicCert   #公钥别名，默认为publicCert</w:t>
      </w:r>
      <w:r>
        <w:rPr>
          <w:rFonts w:hint="default" w:ascii="Times New Roman" w:hAnsi="Times New Roman" w:eastAsia="宋体" w:cs="Times New Roman"/>
          <w:i/>
          <w:iCs/>
          <w:color w:val="5F826B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5F826B"/>
          <w:sz w:val="24"/>
          <w:szCs w:val="24"/>
          <w:shd w:val="clear" w:fill="1E1F22"/>
        </w:rPr>
        <w:t xml:space="preserve">  </w:t>
      </w:r>
      <w:r>
        <w:rPr>
          <w:rFonts w:hint="default" w:ascii="Times New Roman" w:hAnsi="Times New Roman" w:eastAsia="宋体" w:cs="Times New Roman"/>
          <w:color w:val="CF8E6D"/>
          <w:sz w:val="24"/>
          <w:szCs w:val="24"/>
          <w:shd w:val="clear" w:fill="1E1F22"/>
        </w:rPr>
        <w:t>storePass</w:t>
      </w:r>
      <w:r>
        <w:rPr>
          <w:rFonts w:hint="default" w:ascii="Times New Roman" w:hAnsi="Times New Roman" w:eastAsia="宋体" w:cs="Times New Roman"/>
          <w:color w:val="BCBEC4"/>
          <w:sz w:val="24"/>
          <w:szCs w:val="24"/>
          <w:shd w:val="clear" w:fill="1E1F22"/>
        </w:rPr>
        <w:t xml:space="preserve">: public_password1234  </w:t>
      </w:r>
      <w:r>
        <w:rPr>
          <w:rFonts w:hint="default" w:ascii="Times New Roman" w:hAnsi="Times New Roman" w:eastAsia="宋体" w:cs="Times New Roman"/>
          <w:i/>
          <w:iCs/>
          <w:color w:val="5F826B"/>
          <w:sz w:val="24"/>
          <w:szCs w:val="24"/>
          <w:shd w:val="clear" w:fill="1E1F22"/>
        </w:rPr>
        <w:t>#访问密钥库的密码</w:t>
      </w:r>
      <w:r>
        <w:rPr>
          <w:rFonts w:hint="default" w:ascii="Times New Roman" w:hAnsi="Times New Roman" w:eastAsia="宋体" w:cs="Times New Roman"/>
          <w:i/>
          <w:iCs/>
          <w:color w:val="5F826B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5F826B"/>
          <w:sz w:val="24"/>
          <w:szCs w:val="24"/>
          <w:shd w:val="clear" w:fill="1E1F22"/>
        </w:rPr>
        <w:t xml:space="preserve">  </w:t>
      </w:r>
      <w:r>
        <w:rPr>
          <w:rFonts w:hint="default" w:ascii="Times New Roman" w:hAnsi="Times New Roman" w:eastAsia="宋体" w:cs="Times New Roman"/>
          <w:color w:val="CF8E6D"/>
          <w:sz w:val="24"/>
          <w:szCs w:val="24"/>
          <w:shd w:val="clear" w:fill="1E1F22"/>
        </w:rPr>
        <w:t>licensePath</w:t>
      </w:r>
      <w:r>
        <w:rPr>
          <w:rFonts w:hint="default" w:ascii="Times New Roman" w:hAnsi="Times New Roman" w:eastAsia="宋体" w:cs="Times New Roman"/>
          <w:color w:val="BCBEC4"/>
          <w:sz w:val="24"/>
          <w:szCs w:val="24"/>
          <w:shd w:val="clear" w:fill="1E1F22"/>
        </w:rPr>
        <w:t xml:space="preserve">: ./app-demo/license/test.lic </w:t>
      </w:r>
      <w:r>
        <w:rPr>
          <w:rFonts w:hint="default" w:ascii="Times New Roman" w:hAnsi="Times New Roman" w:eastAsia="宋体" w:cs="Times New Roman"/>
          <w:i/>
          <w:iCs/>
          <w:color w:val="5F826B"/>
          <w:sz w:val="24"/>
          <w:szCs w:val="24"/>
          <w:shd w:val="clear" w:fill="1E1F22"/>
        </w:rPr>
        <w:t>#许可证文件路径</w:t>
      </w:r>
      <w:r>
        <w:rPr>
          <w:rFonts w:hint="default" w:ascii="Times New Roman" w:hAnsi="Times New Roman" w:eastAsia="宋体" w:cs="Times New Roman"/>
          <w:i/>
          <w:iCs/>
          <w:color w:val="5F826B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5F826B"/>
          <w:sz w:val="24"/>
          <w:szCs w:val="24"/>
          <w:shd w:val="clear" w:fill="1E1F22"/>
        </w:rPr>
        <w:t xml:space="preserve">  </w:t>
      </w:r>
      <w:r>
        <w:rPr>
          <w:rFonts w:hint="default" w:ascii="Times New Roman" w:hAnsi="Times New Roman" w:eastAsia="宋体" w:cs="Times New Roman"/>
          <w:color w:val="CF8E6D"/>
          <w:sz w:val="24"/>
          <w:szCs w:val="24"/>
          <w:shd w:val="clear" w:fill="1E1F22"/>
        </w:rPr>
        <w:t>publicKeysStorePath</w:t>
      </w:r>
      <w:r>
        <w:rPr>
          <w:rFonts w:hint="default" w:ascii="Times New Roman" w:hAnsi="Times New Roman" w:eastAsia="宋体" w:cs="Times New Roman"/>
          <w:color w:val="BCBEC4"/>
          <w:sz w:val="24"/>
          <w:szCs w:val="24"/>
          <w:shd w:val="clear" w:fill="1E1F22"/>
        </w:rPr>
        <w:t xml:space="preserve">: /file/publicCerts.keystore    </w:t>
      </w:r>
      <w:r>
        <w:rPr>
          <w:rFonts w:hint="default" w:ascii="Times New Roman" w:hAnsi="Times New Roman" w:eastAsia="宋体" w:cs="Times New Roman"/>
          <w:i/>
          <w:iCs/>
          <w:color w:val="5F826B"/>
          <w:sz w:val="24"/>
          <w:szCs w:val="24"/>
          <w:shd w:val="clear" w:fill="1E1F22"/>
        </w:rPr>
        <w:t>#公钥库文件路径</w:t>
      </w:r>
      <w:r>
        <w:rPr>
          <w:rFonts w:hint="default" w:ascii="Times New Roman" w:hAnsi="Times New Roman" w:eastAsia="宋体" w:cs="Times New Roman"/>
          <w:i/>
          <w:iCs/>
          <w:color w:val="5F826B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5F826B"/>
          <w:sz w:val="24"/>
          <w:szCs w:val="24"/>
          <w:shd w:val="clear" w:fill="1E1F22"/>
        </w:rPr>
        <w:t xml:space="preserve">  </w:t>
      </w:r>
      <w:r>
        <w:rPr>
          <w:rFonts w:hint="default" w:ascii="Times New Roman" w:hAnsi="Times New Roman" w:eastAsia="宋体" w:cs="Times New Roman"/>
          <w:color w:val="CF8E6D"/>
          <w:sz w:val="24"/>
          <w:szCs w:val="24"/>
          <w:shd w:val="clear" w:fill="1E1F22"/>
        </w:rPr>
        <w:t>cache-enabled</w:t>
      </w:r>
      <w:r>
        <w:rPr>
          <w:rFonts w:hint="default" w:ascii="Times New Roman" w:hAnsi="Times New Roman" w:eastAsia="宋体" w:cs="Times New Roman"/>
          <w:color w:val="BCBEC4"/>
          <w:sz w:val="24"/>
          <w:szCs w:val="24"/>
          <w:shd w:val="clear" w:fill="1E1F22"/>
        </w:rPr>
        <w:t xml:space="preserve">: true  </w:t>
      </w:r>
      <w:r>
        <w:rPr>
          <w:rFonts w:hint="default" w:ascii="Times New Roman" w:hAnsi="Times New Roman" w:eastAsia="宋体" w:cs="Times New Roman"/>
          <w:i/>
          <w:iCs/>
          <w:color w:val="5F826B"/>
          <w:sz w:val="24"/>
          <w:szCs w:val="24"/>
          <w:shd w:val="clear" w:fill="1E1F22"/>
        </w:rPr>
        <w:t>#是否开启缓存，默认为开启</w:t>
      </w:r>
      <w:r>
        <w:rPr>
          <w:rFonts w:hint="default" w:ascii="Times New Roman" w:hAnsi="Times New Roman" w:eastAsia="宋体" w:cs="Times New Roman"/>
          <w:i/>
          <w:iCs/>
          <w:color w:val="5F826B"/>
          <w:sz w:val="24"/>
          <w:szCs w:val="24"/>
          <w:shd w:val="clear" w:fill="1E1F22"/>
        </w:rPr>
        <w:br w:type="textWrapping"/>
      </w:r>
      <w:r>
        <w:rPr>
          <w:rFonts w:hint="default" w:ascii="Times New Roman" w:hAnsi="Times New Roman" w:eastAsia="宋体" w:cs="Times New Roman"/>
          <w:i/>
          <w:iCs/>
          <w:color w:val="5F826B"/>
          <w:sz w:val="24"/>
          <w:szCs w:val="24"/>
          <w:shd w:val="clear" w:fill="1E1F22"/>
        </w:rPr>
        <w:t xml:space="preserve">  </w:t>
      </w:r>
      <w:r>
        <w:rPr>
          <w:rFonts w:hint="default" w:ascii="Times New Roman" w:hAnsi="Times New Roman" w:eastAsia="宋体" w:cs="Times New Roman"/>
          <w:color w:val="CF8E6D"/>
          <w:sz w:val="24"/>
          <w:szCs w:val="24"/>
          <w:shd w:val="clear" w:fill="1E1F22"/>
        </w:rPr>
        <w:t>cache-ttl</w:t>
      </w:r>
      <w:r>
        <w:rPr>
          <w:rFonts w:hint="default" w:ascii="Times New Roman" w:hAnsi="Times New Roman" w:eastAsia="宋体" w:cs="Times New Roman"/>
          <w:color w:val="BCBEC4"/>
          <w:sz w:val="24"/>
          <w:szCs w:val="24"/>
          <w:shd w:val="clear" w:fill="1E1F22"/>
        </w:rPr>
        <w:t xml:space="preserve">: 300    </w:t>
      </w:r>
      <w:r>
        <w:rPr>
          <w:rFonts w:hint="default" w:ascii="Times New Roman" w:hAnsi="Times New Roman" w:eastAsia="宋体" w:cs="Times New Roman"/>
          <w:i/>
          <w:iCs/>
          <w:color w:val="5F826B"/>
          <w:sz w:val="24"/>
          <w:szCs w:val="24"/>
          <w:shd w:val="clear" w:fill="1E1F22"/>
        </w:rPr>
        <w:t>#缓存时间，默认为300</w:t>
      </w:r>
    </w:p>
    <w:p w14:paraId="4F5F666F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color w:val="5F826B"/>
          <w:sz w:val="24"/>
          <w:szCs w:val="24"/>
          <w:shd w:val="clear" w:fill="1E1F22"/>
        </w:rPr>
      </w:pPr>
    </w:p>
    <w:p w14:paraId="61A2DDF8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sz w:val="24"/>
          <w:szCs w:val="24"/>
        </w:rPr>
        <w:drawing>
          <wp:inline distT="0" distB="0" distL="114300" distR="114300">
            <wp:extent cx="5273040" cy="2931795"/>
            <wp:effectExtent l="0" t="0" r="381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BE4A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6、将从License Master系统得到的文件放到与配置文件一致的路径，demo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结构如下：</w:t>
      </w:r>
    </w:p>
    <w:p w14:paraId="67DFAD8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drawing>
          <wp:inline distT="0" distB="0" distL="114300" distR="114300">
            <wp:extent cx="4305300" cy="71437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714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 w:eastAsiaTheme="minorEastAsia"/>
          <w:sz w:val="24"/>
          <w:szCs w:val="24"/>
        </w:rPr>
        <w:br w:type="textWrapping"/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如果是注解模式，需要使用@ValidLicense才能生效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9230" cy="3898900"/>
            <wp:effectExtent l="0" t="0" r="7620" b="635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br w:type="textWrapping"/>
      </w:r>
    </w:p>
    <w:p w14:paraId="115B066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4356CDB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7、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成功启动的效果：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 w:eastAsiaTheme="minorEastAsia"/>
          <w:sz w:val="24"/>
          <w:szCs w:val="24"/>
        </w:rPr>
        <w:drawing>
          <wp:inline distT="0" distB="0" distL="114300" distR="114300">
            <wp:extent cx="5261610" cy="601980"/>
            <wp:effectExtent l="0" t="0" r="1524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 w:eastAsiaTheme="minorEastAsia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添加了一些限制后：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 w:eastAsiaTheme="minorEastAsia"/>
          <w:sz w:val="24"/>
          <w:szCs w:val="24"/>
        </w:rPr>
        <w:drawing>
          <wp:inline distT="0" distB="0" distL="114300" distR="114300">
            <wp:extent cx="5266055" cy="829945"/>
            <wp:effectExtent l="0" t="0" r="10795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1D7E4">
      <w:pPr>
        <w:numPr>
          <w:ilvl w:val="0"/>
          <w:numId w:val="0"/>
        </w:numPr>
        <w:ind w:leftChars="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尝试访问API</w:t>
      </w:r>
    </w:p>
    <w:p w14:paraId="26B474DF">
      <w:pPr>
        <w:numPr>
          <w:ilvl w:val="0"/>
          <w:numId w:val="0"/>
        </w:numPr>
        <w:ind w:leftChars="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7F105893">
      <w:pPr>
        <w:numPr>
          <w:ilvl w:val="0"/>
          <w:numId w:val="0"/>
        </w:numPr>
        <w:ind w:leftChars="0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drawing>
          <wp:inline distT="0" distB="0" distL="114300" distR="114300">
            <wp:extent cx="5256530" cy="1405255"/>
            <wp:effectExtent l="0" t="0" r="1270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2AA94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sz w:val="24"/>
          <w:szCs w:val="24"/>
          <w:u w:val="single"/>
          <w:lang w:val="en-US" w:eastAsia="zh-CN"/>
        </w:rPr>
      </w:pPr>
      <w:r>
        <w:rPr>
          <w:rStyle w:val="8"/>
          <w:rFonts w:hint="eastAsia"/>
          <w:lang w:val="en-US" w:eastAsia="zh-CN"/>
        </w:rPr>
        <w:t>更换</w:t>
      </w:r>
      <w:bookmarkStart w:id="0" w:name="_GoBack"/>
      <w:bookmarkEnd w:id="0"/>
      <w:r>
        <w:rPr>
          <w:rStyle w:val="8"/>
          <w:rFonts w:hint="eastAsia"/>
          <w:lang w:val="en-US" w:eastAsia="zh-CN"/>
        </w:rPr>
        <w:t>密钥库文件的方法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参考这个网页：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  <w:t>htttp</w:t>
      </w:r>
      <w:r>
        <w:rPr>
          <w:rFonts w:hint="default" w:ascii="Times New Roman" w:hAnsi="Times New Roman" w:eastAsia="宋体" w:cs="Times New Roman"/>
          <w:sz w:val="24"/>
          <w:szCs w:val="24"/>
          <w:u w:val="single"/>
          <w:lang w:val="en-US" w:eastAsia="zh-CN"/>
        </w:rPr>
        <w:t>://www.zifangsky.cn/1277.html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A6CE79"/>
    <w:multiLevelType w:val="singleLevel"/>
    <w:tmpl w:val="E6A6CE7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4C89FE4"/>
    <w:multiLevelType w:val="multilevel"/>
    <w:tmpl w:val="14C89F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4A73A2B"/>
    <w:multiLevelType w:val="singleLevel"/>
    <w:tmpl w:val="74A73A2B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1929A2"/>
    <w:rsid w:val="094D0A02"/>
    <w:rsid w:val="0A1929A2"/>
    <w:rsid w:val="1C043C09"/>
    <w:rsid w:val="2A113092"/>
    <w:rsid w:val="437A0663"/>
    <w:rsid w:val="490A473B"/>
    <w:rsid w:val="49836455"/>
    <w:rsid w:val="4D6E11CA"/>
    <w:rsid w:val="67A034FE"/>
    <w:rsid w:val="736D703B"/>
    <w:rsid w:val="7A8364A8"/>
    <w:rsid w:val="7FFF3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8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364</Words>
  <Characters>470</Characters>
  <Lines>0</Lines>
  <Paragraphs>0</Paragraphs>
  <TotalTime>59</TotalTime>
  <ScaleCrop>false</ScaleCrop>
  <LinksUpToDate>false</LinksUpToDate>
  <CharactersWithSpaces>472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2026-01-09T08:22:00Z</dcterms:created>
  <dc:creator>ly</dc:creator>
  <cp:lastModifiedBy>ly</cp:lastModifiedBy>
  <dcterms:modified xsi:type="dcterms:W3CDTF">2026-01-12T03:17:58Z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FC8025A96BB24CA19DF6C0FA356B60C0_11</vt:lpwstr>
  </property>
  <property fmtid="{D5CDD505-2E9C-101B-9397-08002B2CF9AE}" pid="4" name="KSOTemplateDocerSaveRecord">
    <vt:lpwstr>eyJoZGlkIjoiZGEzYTcyZDRhNGMxNTY0ZjAwYjE2NzNlMmJiZDU4YmEiLCJ1c2VySWQiOiIxMDU5MjAyMzY0In0=</vt:lpwstr>
  </property>
</Properties>
</file>