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6572A">
      <w:pPr>
        <w:spacing w:line="360" w:lineRule="auto"/>
        <w:jc w:val="left"/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数据看板模块</w:t>
      </w:r>
    </w:p>
    <w:p w14:paraId="0C8B9A18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 1：全平台销量排行榜</w:t>
      </w:r>
    </w:p>
    <w:p w14:paraId="62A354D2"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展示信息：</w:t>
      </w:r>
    </w:p>
    <w:p w14:paraId="2EF9EEC8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五个平台综合销量 TOP20 的 SKU（按周 / 月销量排序）</w:t>
      </w:r>
    </w:p>
    <w:p w14:paraId="454A371D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各平台独立的销量 TOP5 SKU（区分亚马逊、TikTok Shop 等平台）</w:t>
      </w:r>
    </w:p>
    <w:p w14:paraId="4B311FD0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近 7 天 / 30 天</w:t>
      </w:r>
      <w:r>
        <w:rPr>
          <w:rFonts w:hint="eastAsia" w:ascii="宋体" w:hAnsi="宋体" w:eastAsia="宋体"/>
          <w:b/>
          <w:bCs/>
          <w:szCs w:val="21"/>
        </w:rPr>
        <w:t>/自定义时间</w:t>
      </w:r>
      <w:r>
        <w:rPr>
          <w:rFonts w:ascii="宋体" w:hAnsi="宋体" w:eastAsia="宋体"/>
          <w:b/>
          <w:bCs/>
          <w:szCs w:val="21"/>
        </w:rPr>
        <w:t>的销量环比增长率</w:t>
      </w:r>
    </w:p>
    <w:p w14:paraId="369E44F5"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展示形式：</w:t>
      </w:r>
    </w:p>
    <w:p w14:paraId="70C82F09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电脑端：横向柱状图展示综合排行（柱长代表销量，标注平台来源）；5 个并列小柱状图展示各平台独立排行</w:t>
      </w:r>
    </w:p>
    <w:p w14:paraId="4AC169C6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手机端：可左右滑动的卡片列表，每张卡片显示 SKU 图片、销量、增长率</w:t>
      </w:r>
    </w:p>
    <w:p w14:paraId="7903B45B"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解决问题：</w:t>
      </w:r>
    </w:p>
    <w:p w14:paraId="1E2B08B0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明确回国采购优先级，优先选择综合销量高且增长快的 SKU</w:t>
      </w:r>
    </w:p>
    <w:p w14:paraId="73F904B4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支持平台差异化选品（如亚马逊侧重高毛利款，TikTok Shop 侧重性价比爆款）</w:t>
      </w:r>
    </w:p>
    <w:p w14:paraId="33365325">
      <w:pPr>
        <w:numPr>
          <w:ilvl w:val="1"/>
          <w:numId w:val="1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通过环比增长筛选潜力款，避免遗漏销量上升的新晋爆款</w:t>
      </w:r>
    </w:p>
    <w:p w14:paraId="46207FB1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 2：区域需求分布看板</w:t>
      </w:r>
    </w:p>
    <w:p w14:paraId="67CF8D8D"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展示信息：</w:t>
      </w:r>
    </w:p>
    <w:p w14:paraId="20765BC7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 xml:space="preserve">西班牙前 5 大自治区（如马德里、加泰罗尼亚）的销量占比 </w:t>
      </w:r>
    </w:p>
    <w:p w14:paraId="77AB96F0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各区域的 TOP3 热销品类（如马德里的 3C 品类、巴伦西亚的家居品类）</w:t>
      </w:r>
    </w:p>
    <w:p w14:paraId="0CCA777E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区域销量环比变化（对比上周 / 上月）</w:t>
      </w:r>
    </w:p>
    <w:p w14:paraId="4E56CB74"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展示形式：</w:t>
      </w:r>
    </w:p>
    <w:p w14:paraId="72C80132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电脑端：西班牙地图热力图（颜色深浅代表销量）；右侧表格展示区域、品类、销量三维数据</w:t>
      </w:r>
    </w:p>
    <w:p w14:paraId="7DE2D61E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手机端：简化地图（仅显示前 3 大区域）；点击区域通过下拉列表显示热销品类</w:t>
      </w:r>
    </w:p>
    <w:p w14:paraId="023D3FF4"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解决问题：</w:t>
      </w:r>
    </w:p>
    <w:p w14:paraId="02CB1B48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支持本地化选品决策，根据区域偏好调整采购品类（如巴塞罗那增加户外用品采购）</w:t>
      </w:r>
    </w:p>
    <w:p w14:paraId="44E25002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辅助物流前置规划，在高销量区域提前租赁海外仓（如马德里销量占比 30%）</w:t>
      </w:r>
    </w:p>
    <w:p w14:paraId="392425B4">
      <w:pPr>
        <w:numPr>
          <w:ilvl w:val="1"/>
          <w:numId w:val="2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规避低需求区域的无效采购投入</w:t>
      </w:r>
    </w:p>
    <w:p w14:paraId="3AC73971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 3：平台表现对比看板</w:t>
      </w:r>
    </w:p>
    <w:p w14:paraId="07F36FBB"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展示信息：</w:t>
      </w:r>
    </w:p>
    <w:p w14:paraId="21121DF2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五大平台的销售额占比（如亚马逊、TikTok Shop 等平台的贡献比例）</w:t>
      </w:r>
    </w:p>
    <w:p w14:paraId="4F138B8E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各平台客单价对比（如亚马逊客单价 50 欧元，TikTok Shop 客单价 30 欧元）</w:t>
      </w:r>
    </w:p>
    <w:p w14:paraId="3BDD9ABB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各平台特有的爆款 SKU（如 SHEIN 的快时尚单品）</w:t>
      </w:r>
    </w:p>
    <w:p w14:paraId="3F85D119"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展示形式：</w:t>
      </w:r>
    </w:p>
    <w:p w14:paraId="0BB38BC5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电脑端：饼图展示平台销售额占比；折线图对比各平台客单价趋势</w:t>
      </w:r>
    </w:p>
    <w:p w14:paraId="0205B653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手机端：横向条形图对比平台客单价；标签式切换查看各平台爆款</w:t>
      </w:r>
    </w:p>
    <w:p w14:paraId="303032A5"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解决问题：</w:t>
      </w:r>
    </w:p>
    <w:p w14:paraId="4413A907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按平台销售额占比分配采购预算（如亚马逊占比高则多备货）</w:t>
      </w:r>
    </w:p>
    <w:p w14:paraId="41484E28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针对平台特性调整采购策略（如 TikTok Shop 低客单价，侧重引流款）</w:t>
      </w:r>
    </w:p>
    <w:p w14:paraId="0DEB1B7E">
      <w:pPr>
        <w:numPr>
          <w:ilvl w:val="1"/>
          <w:numId w:val="3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捕捉新兴平台红利（如 SHEIN 的美妆工具品类潜力）</w:t>
      </w:r>
    </w:p>
    <w:p w14:paraId="0F8A64C7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 4：商品复购率看板</w:t>
      </w:r>
    </w:p>
    <w:p w14:paraId="4B48DC04"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展示信息：</w:t>
      </w:r>
    </w:p>
    <w:p w14:paraId="452D685C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全平台复购率 TOP10 的 SKU（复购用户数 / 总购买用户数）</w:t>
      </w:r>
    </w:p>
    <w:p w14:paraId="7A096244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各平台复购率对比（如亚马逊复购率 vs TikTok Shop 复购率）</w:t>
      </w:r>
    </w:p>
    <w:p w14:paraId="550BCA88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复购用户的地域分布（如瓦伦西亚地区复购率较高）</w:t>
      </w:r>
    </w:p>
    <w:p w14:paraId="406598C0"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展示形式：</w:t>
      </w:r>
    </w:p>
    <w:p w14:paraId="14A1D352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电脑端：表格展示 SKU、复购率、区域分布；环形图展示复购率区间（＞30%/10-30%/＜10%）</w:t>
      </w:r>
    </w:p>
    <w:p w14:paraId="1F34B4E7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手机端：卡片列表标绿高复购率 SKU；简短视频动态展示复购率趋势</w:t>
      </w:r>
    </w:p>
    <w:p w14:paraId="440CB9AA"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解决问题：</w:t>
      </w:r>
    </w:p>
    <w:p w14:paraId="373B8DFE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核心用户维系，对高复购率 SKU 增加安全库存（如数据线复购率 25%，补货量 ×1.5）</w:t>
      </w:r>
    </w:p>
    <w:p w14:paraId="02C31DF2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区域深耕，在复购率高的区域增加相关品类采购（如瓦伦西亚加购配件）</w:t>
      </w:r>
    </w:p>
    <w:p w14:paraId="12608A22">
      <w:pPr>
        <w:numPr>
          <w:ilvl w:val="1"/>
          <w:numId w:val="4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通过复购用户评价优化产品（如复购用户关注 “耐用性”）</w:t>
      </w:r>
    </w:p>
    <w:p w14:paraId="1C9FFD31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 5：退货率分析看板</w:t>
      </w:r>
    </w:p>
    <w:p w14:paraId="40C10C2E">
      <w:pPr>
        <w:numPr>
          <w:ilvl w:val="0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展示信息：</w:t>
      </w:r>
    </w:p>
    <w:p w14:paraId="48FD1036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退货率 TOP10 的 SKU（退货订单数 / 总订单数）</w:t>
      </w:r>
    </w:p>
    <w:p w14:paraId="2F63B6BE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退货原因分类统计（如质量问题、尺寸不符等）</w:t>
      </w:r>
    </w:p>
    <w:p w14:paraId="1F6669AC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各平台退货率对比（如亚马逊退货率 vs SHEIN 退货率）</w:t>
      </w:r>
    </w:p>
    <w:p w14:paraId="36F0AC60">
      <w:pPr>
        <w:numPr>
          <w:ilvl w:val="0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展示形式：</w:t>
      </w:r>
    </w:p>
    <w:p w14:paraId="4A119DE4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电脑端：红色预警表格展示 SKU、退货率、原因；柱状图分析退货原因占比</w:t>
      </w:r>
    </w:p>
    <w:p w14:paraId="20E30474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手机端：退货率＞15% 的 SKU 标红标签；高退货率 SKU 触发语音播报警示</w:t>
      </w:r>
    </w:p>
    <w:p w14:paraId="402E9AB3">
      <w:pPr>
        <w:numPr>
          <w:ilvl w:val="0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解决问题：</w:t>
      </w:r>
    </w:p>
    <w:p w14:paraId="56F1A695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供应商优化，对高退货率 SKU 更换供应商（如耳机退货率 20%，寻找新工厂）</w:t>
      </w:r>
    </w:p>
    <w:p w14:paraId="0F908F01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产品改进，根据退货原因调整采购标准（如 “尺寸不符” 多则增加尺码选项）</w:t>
      </w:r>
    </w:p>
    <w:p w14:paraId="37CAC9EB">
      <w:pPr>
        <w:numPr>
          <w:ilvl w:val="1"/>
          <w:numId w:val="5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风险控制，暂停采购高退货率 SKU 以避免库存积压</w:t>
      </w:r>
    </w:p>
    <w:p w14:paraId="79B10AD1"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交互需求：单看板整合与操作</w:t>
      </w:r>
    </w:p>
    <w:p w14:paraId="17F8FAF3"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模块隐藏 / 显示：</w:t>
      </w:r>
    </w:p>
    <w:p w14:paraId="45BFFC0B">
      <w:pPr>
        <w:numPr>
          <w:ilvl w:val="1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电脑端：支持模块折叠（点击标题栏收起内容）和隐藏（右上角按钮一键隐藏，通过模块管理恢复显示）</w:t>
      </w:r>
    </w:p>
    <w:p w14:paraId="7134FB93">
      <w:pPr>
        <w:numPr>
          <w:ilvl w:val="1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手机端：底部 Tab 导航切换模块（点击 Tab 显示对应内容，长按 Tab 可隐藏模块，通过设置恢复）</w:t>
      </w:r>
    </w:p>
    <w:p w14:paraId="18A41E7B"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全局筛选：</w:t>
      </w:r>
    </w:p>
    <w:p w14:paraId="6B3213B2">
      <w:pPr>
        <w:numPr>
          <w:ilvl w:val="1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按平台筛选（如仅查看亚马逊数据）、按时间筛选（近 7 天 / 30 天 / 自定义时间范围），所有模块数据同步更新</w:t>
      </w:r>
    </w:p>
    <w:p w14:paraId="7B2A8AA6"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导出功能：</w:t>
      </w:r>
    </w:p>
    <w:p w14:paraId="41A0D1BD">
      <w:r>
        <w:rPr>
          <w:rFonts w:hint="eastAsia" w:ascii="宋体" w:hAnsi="宋体" w:eastAsia="宋体"/>
          <w:b/>
          <w:bCs/>
          <w:szCs w:val="21"/>
        </w:rPr>
        <w:t>电脑端</w:t>
      </w:r>
      <w:r>
        <w:rPr>
          <w:rFonts w:ascii="宋体" w:hAnsi="宋体" w:eastAsia="宋体"/>
          <w:b/>
          <w:bCs/>
          <w:szCs w:val="21"/>
        </w:rPr>
        <w:t>支持 Excel 导出采购清单，包含 SKU、建议补货量、供应商等信息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673EB"/>
    <w:multiLevelType w:val="multilevel"/>
    <w:tmpl w:val="08A67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B33764"/>
    <w:multiLevelType w:val="multilevel"/>
    <w:tmpl w:val="1CB33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C34309"/>
    <w:multiLevelType w:val="multilevel"/>
    <w:tmpl w:val="22C34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40D4598"/>
    <w:multiLevelType w:val="multilevel"/>
    <w:tmpl w:val="540D4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EB521BE"/>
    <w:multiLevelType w:val="multilevel"/>
    <w:tmpl w:val="5EB52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50119B0"/>
    <w:multiLevelType w:val="multilevel"/>
    <w:tmpl w:val="65011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E16E5"/>
    <w:rsid w:val="362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2025-05-23T17:01:00Z</dcterms:created>
  <dc:creator>S7STAR003</dc:creator>
  <cp:lastModifiedBy>S7STAR003</cp:lastModifiedBy>
  <dcterms:modified xsi:type="dcterms:W3CDTF">2025-05-23T17:02:10Z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ECC41AFFE94D4A839D4DA950A5519F3F_11</vt:lpwstr>
  </property>
  <property fmtid="{D5CDD505-2E9C-101B-9397-08002B2CF9AE}" pid="4" name="KSOTemplateDocerSaveRecord">
    <vt:lpwstr>eyJoZGlkIjoiYmQzZmNiOWMzYTNmYzBiY2VmNmRiMzNhNDU2NWIyNzAifQ==</vt:lpwstr>
  </property>
</Properties>
</file>