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JhengHei" w:hAnsi="Microsoft JhengHei" w:eastAsia="Microsoft JhengHei"/>
          <w:b/>
          <w:sz w:val="36"/>
        </w:rPr>
        <w:t>Confidential Technical Feasibility Brief</w:t>
      </w:r>
    </w:p>
    <w:p>
      <w:pPr>
        <w:jc w:val="center"/>
      </w:pPr>
      <w:r>
        <w:rPr>
          <w:rFonts w:ascii="Microsoft JhengHei" w:hAnsi="Microsoft JhengHei" w:eastAsia="Microsoft JhengHei"/>
          <w:b/>
          <w:sz w:val="26"/>
        </w:rPr>
        <w:t>HSLA-like Steel Architecture for Coupled Corrosion-Fatigue and Crack-Arrest Screening</w:t>
      </w:r>
    </w:p>
    <w:p>
      <w:pPr>
        <w:jc w:val="center"/>
      </w:pPr>
      <w:r>
        <w:rPr>
          <w:i/>
          <w:sz w:val="20"/>
        </w:rPr>
        <w:t>Safe External Version v0.1 | For laboratory feasibility discussion only</w:t>
      </w:r>
    </w:p>
    <w:tbl>
      <w:tblPr>
        <w:tblW w:type="auto" w:w="0"/>
        <w:jc w:val="center"/>
        <w:tblLook w:firstColumn="1" w:firstRow="1" w:lastColumn="0" w:lastRow="0" w:noHBand="0" w:noVBand="1" w:val="04A0"/>
      </w:tblPr>
      <w:tblGrid>
        <w:gridCol w:w="10080"/>
      </w:tblGrid>
      <w:tr>
        <w:tc>
          <w:tcPr>
            <w:tcW w:type="dxa" w:w="10080"/>
            <w:shd w:fill="FFF2CC"/>
          </w:tcPr>
          <w:p>
            <w:r/>
            <w:r>
              <w:rPr>
                <w:rFonts w:ascii="Microsoft JhengHei" w:hAnsi="Microsoft JhengHei" w:eastAsia="Microsoft JhengHei"/>
                <w:b/>
                <w:sz w:val="18"/>
              </w:rPr>
              <w:t>CONFIDENTIAL DISCUSSION DRAFT: This document intentionally omits the underlying reasoning framework, internal scoring method, optimization logic, formula structure, weighting scheme, and any alloy recipe. It is intended only to request technical feasibility feedback from a qualified metallurgy laboratory.</w:t>
            </w:r>
          </w:p>
        </w:tc>
      </w:tr>
    </w:tbl>
    <w:p/>
    <w:p>
      <w:pPr>
        <w:pStyle w:val="Heading1"/>
      </w:pPr>
      <w:r>
        <w:t>1. Purpose</w:t>
      </w:r>
    </w:p>
    <w:p>
      <w:r>
        <w:t>This brief asks whether a laboratory can evaluate, at coupon-level feasibility, an HSLA-like steel architecture that targets coupled naval / marine structural failure modes. The intent is not to request a complete alloy recipe at this stage. The intent is to translate a failure-chain hypothesis into a safe, testable laboratory screening plan.</w:t>
      </w:r>
    </w:p>
    <w:p>
      <w:r>
        <w:t>The central question is: can a weldable HSLA-like matrix support both corrosion-fatigue-control behavior and crack-arrest behavior without degrading weldability, heat-affected-zone stability, or plate-scale manufacturability potential?</w:t>
      </w:r>
    </w:p>
    <w:p>
      <w:pPr>
        <w:pStyle w:val="Heading1"/>
      </w:pPr>
      <w:r>
        <w:t>2. Scope and Non-Disclosure Boundary</w:t>
      </w:r>
    </w:p>
    <w:p>
      <w:r>
        <w:t>This document is deliberately limited to the outer technical requirements. It does not disclose the internal framework used to derive the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rFonts w:ascii="Microsoft JhengHei" w:hAnsi="Microsoft JhengHei" w:eastAsia="Microsoft JhengHei"/>
                <w:b/>
                <w:sz w:val="18"/>
              </w:rPr>
              <w:t>Can be discussed</w:t>
            </w:r>
          </w:p>
        </w:tc>
        <w:tc>
          <w:tcPr>
            <w:tcW w:type="dxa" w:w="5040"/>
            <w:shd w:fill="D9EAF7"/>
          </w:tcPr>
          <w:p>
            <w:r/>
            <w:r>
              <w:rPr>
                <w:rFonts w:ascii="Microsoft JhengHei" w:hAnsi="Microsoft JhengHei" w:eastAsia="Microsoft JhengHei"/>
                <w:b/>
                <w:sz w:val="18"/>
              </w:rPr>
              <w:t>Cannot be disclosed in this version</w:t>
            </w:r>
          </w:p>
        </w:tc>
      </w:tr>
      <w:tr>
        <w:tc>
          <w:tcPr>
            <w:tcW w:type="dxa" w:w="5040"/>
            <w:vAlign w:val="top"/>
          </w:tcPr>
          <w:p>
            <w:r/>
            <w:r>
              <w:rPr>
                <w:rFonts w:ascii="Microsoft JhengHei" w:hAnsi="Microsoft JhengHei" w:eastAsia="Microsoft JhengHei"/>
                <w:b w:val="0"/>
                <w:sz w:val="18"/>
              </w:rPr>
              <w:t>Target failure chain and laboratory test gates</w:t>
            </w:r>
          </w:p>
        </w:tc>
        <w:tc>
          <w:tcPr>
            <w:tcW w:type="dxa" w:w="5040"/>
            <w:vAlign w:val="top"/>
          </w:tcPr>
          <w:p>
            <w:r/>
            <w:r>
              <w:rPr>
                <w:rFonts w:ascii="Microsoft JhengHei" w:hAnsi="Microsoft JhengHei" w:eastAsia="Microsoft JhengHei"/>
                <w:b w:val="0"/>
                <w:sz w:val="18"/>
              </w:rPr>
              <w:t>Internal reasoning framework, scoring logic, or formulas</w:t>
            </w:r>
          </w:p>
        </w:tc>
      </w:tr>
      <w:tr>
        <w:tc>
          <w:tcPr>
            <w:tcW w:type="dxa" w:w="5040"/>
            <w:vAlign w:val="top"/>
          </w:tcPr>
          <w:p>
            <w:r/>
            <w:r>
              <w:rPr>
                <w:rFonts w:ascii="Microsoft JhengHei" w:hAnsi="Microsoft JhengHei" w:eastAsia="Microsoft JhengHei"/>
                <w:b w:val="0"/>
                <w:sz w:val="18"/>
              </w:rPr>
              <w:t>Functional sample grouping concept</w:t>
            </w:r>
          </w:p>
        </w:tc>
        <w:tc>
          <w:tcPr>
            <w:tcW w:type="dxa" w:w="5040"/>
            <w:vAlign w:val="top"/>
          </w:tcPr>
          <w:p>
            <w:r/>
            <w:r>
              <w:rPr>
                <w:rFonts w:ascii="Microsoft JhengHei" w:hAnsi="Microsoft JhengHei" w:eastAsia="Microsoft JhengHei"/>
                <w:b w:val="0"/>
                <w:sz w:val="18"/>
              </w:rPr>
              <w:t>Exact optimization procedure or weighting method</w:t>
            </w:r>
          </w:p>
        </w:tc>
      </w:tr>
      <w:tr>
        <w:tc>
          <w:tcPr>
            <w:tcW w:type="dxa" w:w="5040"/>
            <w:vAlign w:val="top"/>
          </w:tcPr>
          <w:p>
            <w:r/>
            <w:r>
              <w:rPr>
                <w:rFonts w:ascii="Microsoft JhengHei" w:hAnsi="Microsoft JhengHei" w:eastAsia="Microsoft JhengHei"/>
                <w:b w:val="0"/>
                <w:sz w:val="18"/>
              </w:rPr>
              <w:t>Desired observable behavior: crack-arrest, corrosion-fatigue decoupling, HAZ stability</w:t>
            </w:r>
          </w:p>
        </w:tc>
        <w:tc>
          <w:tcPr>
            <w:tcW w:type="dxa" w:w="5040"/>
            <w:vAlign w:val="top"/>
          </w:tcPr>
          <w:p>
            <w:r/>
            <w:r>
              <w:rPr>
                <w:rFonts w:ascii="Microsoft JhengHei" w:hAnsi="Microsoft JhengHei" w:eastAsia="Microsoft JhengHei"/>
                <w:b w:val="0"/>
                <w:sz w:val="18"/>
              </w:rPr>
              <w:t>Alloy composition ranges, heat-treatment recipe, or proprietary design rules</w:t>
            </w:r>
          </w:p>
        </w:tc>
      </w:tr>
      <w:tr>
        <w:tc>
          <w:tcPr>
            <w:tcW w:type="dxa" w:w="5040"/>
            <w:vAlign w:val="top"/>
          </w:tcPr>
          <w:p>
            <w:r/>
            <w:r>
              <w:rPr>
                <w:rFonts w:ascii="Microsoft JhengHei" w:hAnsi="Microsoft JhengHei" w:eastAsia="Microsoft JhengHei"/>
                <w:b w:val="0"/>
                <w:sz w:val="18"/>
              </w:rPr>
              <w:t>Feasibility questions for laboratory review</w:t>
            </w:r>
          </w:p>
        </w:tc>
        <w:tc>
          <w:tcPr>
            <w:tcW w:type="dxa" w:w="5040"/>
            <w:vAlign w:val="top"/>
          </w:tcPr>
          <w:p>
            <w:r/>
            <w:r>
              <w:rPr>
                <w:rFonts w:ascii="Microsoft JhengHei" w:hAnsi="Microsoft JhengHei" w:eastAsia="Microsoft JhengHei"/>
                <w:b w:val="0"/>
                <w:sz w:val="18"/>
              </w:rPr>
              <w:t>Patent claim draft, military performance claim, or production-ready steel specification</w:t>
            </w:r>
          </w:p>
        </w:tc>
      </w:tr>
    </w:tbl>
    <w:p>
      <w:pPr>
        <w:pStyle w:val="Heading1"/>
      </w:pPr>
      <w:r>
        <w:t>3. Technical Problem Statement</w:t>
      </w:r>
    </w:p>
    <w:p>
      <w:r>
        <w:t>Marine structural steels face coupled rather than isolated degradation. A useful early-stage architecture should therefore be evaluated against failure transitions, not only against single-property maxima such as yield strength, hardness, or standalone corrosion rate.</w:t>
      </w:r>
    </w:p>
    <w:p>
      <w:r>
        <w:t>The target failure chain is:</w:t>
      </w:r>
    </w:p>
    <w:p>
      <w:r>
        <w:t>marine environment -&gt; localized corrosion / pitting -&gt; cyclic fatigue loading -&gt; pit-to-fatigue crack transition -&gt; crack initiation -&gt; crack-path connectivity -&gt; accelerated crack growth -&gt; weld / HAZ amplification -&gt; structural failure risk</w:t>
      </w:r>
    </w:p>
    <w:p>
      <w:r>
        <w:t>The proposed laboratory evaluation should focus on the following coupled transitions:</w:t>
      </w:r>
    </w:p>
    <w:p>
      <w:pPr>
        <w:pStyle w:val="ListBullet"/>
      </w:pPr>
      <w:r>
        <w:t>Pitting-to-fatigue conversion: whether localized corrosion sites more easily become fatigue crack initiation points.</w:t>
      </w:r>
    </w:p>
    <w:p>
      <w:pPr>
        <w:pStyle w:val="ListBullet"/>
      </w:pPr>
      <w:r>
        <w:t>Crack-path connectivity: whether microstructural / interfacial features encourage or interrupt connected crack propagation paths.</w:t>
      </w:r>
    </w:p>
    <w:p>
      <w:pPr>
        <w:pStyle w:val="ListBullet"/>
      </w:pPr>
      <w:r>
        <w:t>Weld / HAZ amplification: whether welding thermal cycles create a preferential degradation zone for corrosion-fatigue or crack growth.</w:t>
      </w:r>
    </w:p>
    <w:p>
      <w:pPr>
        <w:pStyle w:val="Heading1"/>
      </w:pPr>
      <w:r>
        <w:t>4. Proposed Functional Architecture</w:t>
      </w:r>
    </w:p>
    <w:p>
      <w:r>
        <w:t>The proposed architecture is not a finished alloy. It is a screening direction:</w:t>
      </w:r>
    </w:p>
    <w:p>
      <w:r>
        <w:t>HSLA-like weldable matrix + crack-arrest functional field + corrosion-fatigue-control functional field</w:t>
      </w:r>
    </w:p>
    <w:p>
      <w:r>
        <w:t>The HSLA-like matrix is treated as the engineering anchor. Crack-arrest and corrosion-fatigue-control functions are treated as candidate enhancements that must not destroy weldability, HAZ behavior, or scale-up plausibility.</w:t>
      </w:r>
    </w:p>
    <w:p>
      <w:pPr>
        <w:pStyle w:val="Heading1"/>
      </w:pPr>
      <w:r>
        <w:t>5. Suggested Coupon-Level Screening Groups</w:t>
      </w:r>
    </w:p>
    <w:p>
      <w:r>
        <w:t>The laboratory may adjust the practical implementation based on available equipment, metallurgy route, safety constraints, and prior art. The following groups are conceptual and should not be interpreted as composition instructions.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
              <w:rPr>
                <w:rFonts w:ascii="Microsoft JhengHei" w:hAnsi="Microsoft JhengHei" w:eastAsia="Microsoft JhengHei"/>
                <w:b/>
                <w:sz w:val="18"/>
              </w:rPr>
              <w:t>Group</w:t>
            </w:r>
          </w:p>
        </w:tc>
        <w:tc>
          <w:tcPr>
            <w:tcW w:type="dxa" w:w="2520"/>
            <w:shd w:fill="D9EAF7"/>
          </w:tcPr>
          <w:p>
            <w:r/>
            <w:r>
              <w:rPr>
                <w:rFonts w:ascii="Microsoft JhengHei" w:hAnsi="Microsoft JhengHei" w:eastAsia="Microsoft JhengHei"/>
                <w:b/>
                <w:sz w:val="18"/>
              </w:rPr>
              <w:t>Conceptual role</w:t>
            </w:r>
          </w:p>
        </w:tc>
        <w:tc>
          <w:tcPr>
            <w:tcW w:type="dxa" w:w="2520"/>
            <w:shd w:fill="D9EAF7"/>
          </w:tcPr>
          <w:p>
            <w:r/>
            <w:r>
              <w:rPr>
                <w:rFonts w:ascii="Microsoft JhengHei" w:hAnsi="Microsoft JhengHei" w:eastAsia="Microsoft JhengHei"/>
                <w:b/>
                <w:sz w:val="18"/>
              </w:rPr>
              <w:t>Primary observation</w:t>
            </w:r>
          </w:p>
        </w:tc>
        <w:tc>
          <w:tcPr>
            <w:tcW w:type="dxa" w:w="2520"/>
            <w:shd w:fill="D9EAF7"/>
          </w:tcPr>
          <w:p>
            <w:r/>
            <w:r>
              <w:rPr>
                <w:rFonts w:ascii="Microsoft JhengHei" w:hAnsi="Microsoft JhengHei" w:eastAsia="Microsoft JhengHei"/>
                <w:b/>
                <w:sz w:val="18"/>
              </w:rPr>
              <w:t>Hard boundary</w:t>
            </w:r>
          </w:p>
        </w:tc>
      </w:tr>
      <w:tr>
        <w:tc>
          <w:tcPr>
            <w:tcW w:type="dxa" w:w="2520"/>
            <w:vAlign w:val="top"/>
          </w:tcPr>
          <w:p>
            <w:r/>
            <w:r>
              <w:rPr>
                <w:rFonts w:ascii="Microsoft JhengHei" w:hAnsi="Microsoft JhengHei" w:eastAsia="Microsoft JhengHei"/>
                <w:b w:val="0"/>
                <w:sz w:val="18"/>
              </w:rPr>
              <w:t>B0: Baseline</w:t>
            </w:r>
          </w:p>
        </w:tc>
        <w:tc>
          <w:tcPr>
            <w:tcW w:type="dxa" w:w="2520"/>
            <w:vAlign w:val="top"/>
          </w:tcPr>
          <w:p>
            <w:r/>
            <w:r>
              <w:rPr>
                <w:rFonts w:ascii="Microsoft JhengHei" w:hAnsi="Microsoft JhengHei" w:eastAsia="Microsoft JhengHei"/>
                <w:b w:val="0"/>
                <w:sz w:val="18"/>
              </w:rPr>
              <w:t>HSLA-like reference condition</w:t>
            </w:r>
          </w:p>
        </w:tc>
        <w:tc>
          <w:tcPr>
            <w:tcW w:type="dxa" w:w="2520"/>
            <w:vAlign w:val="top"/>
          </w:tcPr>
          <w:p>
            <w:r/>
            <w:r>
              <w:rPr>
                <w:rFonts w:ascii="Microsoft JhengHei" w:hAnsi="Microsoft JhengHei" w:eastAsia="Microsoft JhengHei"/>
                <w:b w:val="0"/>
                <w:sz w:val="18"/>
              </w:rPr>
              <w:t>Reference strength / toughness / corrosion-fatigue / weld response</w:t>
            </w:r>
          </w:p>
        </w:tc>
        <w:tc>
          <w:tcPr>
            <w:tcW w:type="dxa" w:w="2520"/>
            <w:vAlign w:val="top"/>
          </w:tcPr>
          <w:p>
            <w:r/>
            <w:r>
              <w:rPr>
                <w:rFonts w:ascii="Microsoft JhengHei" w:hAnsi="Microsoft JhengHei" w:eastAsia="Microsoft JhengHei"/>
                <w:b w:val="0"/>
                <w:sz w:val="18"/>
              </w:rPr>
              <w:t>Must be commercially or academically defensible as a reference</w:t>
            </w:r>
          </w:p>
        </w:tc>
      </w:tr>
      <w:tr>
        <w:tc>
          <w:tcPr>
            <w:tcW w:type="dxa" w:w="2520"/>
            <w:vAlign w:val="top"/>
          </w:tcPr>
          <w:p>
            <w:r/>
            <w:r>
              <w:rPr>
                <w:rFonts w:ascii="Microsoft JhengHei" w:hAnsi="Microsoft JhengHei" w:eastAsia="Microsoft JhengHei"/>
                <w:b w:val="0"/>
                <w:sz w:val="18"/>
              </w:rPr>
              <w:t>B1: CA-oriented</w:t>
            </w:r>
          </w:p>
        </w:tc>
        <w:tc>
          <w:tcPr>
            <w:tcW w:type="dxa" w:w="2520"/>
            <w:vAlign w:val="top"/>
          </w:tcPr>
          <w:p>
            <w:r/>
            <w:r>
              <w:rPr>
                <w:rFonts w:ascii="Microsoft JhengHei" w:hAnsi="Microsoft JhengHei" w:eastAsia="Microsoft JhengHei"/>
                <w:b w:val="0"/>
                <w:sz w:val="18"/>
              </w:rPr>
              <w:t>Crack-arrest / crack-deflection / crack-blunting emphasis</w:t>
            </w:r>
          </w:p>
        </w:tc>
        <w:tc>
          <w:tcPr>
            <w:tcW w:type="dxa" w:w="2520"/>
            <w:vAlign w:val="top"/>
          </w:tcPr>
          <w:p>
            <w:r/>
            <w:r>
              <w:rPr>
                <w:rFonts w:ascii="Microsoft JhengHei" w:hAnsi="Microsoft JhengHei" w:eastAsia="Microsoft JhengHei"/>
                <w:b w:val="0"/>
                <w:sz w:val="18"/>
              </w:rPr>
              <w:t>Evidence of interrupted crack connectivity or slower crack growth</w:t>
            </w:r>
          </w:p>
        </w:tc>
        <w:tc>
          <w:tcPr>
            <w:tcW w:type="dxa" w:w="2520"/>
            <w:vAlign w:val="top"/>
          </w:tcPr>
          <w:p>
            <w:r/>
            <w:r>
              <w:rPr>
                <w:rFonts w:ascii="Microsoft JhengHei" w:hAnsi="Microsoft JhengHei" w:eastAsia="Microsoft JhengHei"/>
                <w:b w:val="0"/>
                <w:sz w:val="18"/>
              </w:rPr>
              <w:t>Must not degrade weldability below reference viability</w:t>
            </w:r>
          </w:p>
        </w:tc>
      </w:tr>
      <w:tr>
        <w:tc>
          <w:tcPr>
            <w:tcW w:type="dxa" w:w="2520"/>
            <w:vAlign w:val="top"/>
          </w:tcPr>
          <w:p>
            <w:r/>
            <w:r>
              <w:rPr>
                <w:rFonts w:ascii="Microsoft JhengHei" w:hAnsi="Microsoft JhengHei" w:eastAsia="Microsoft JhengHei"/>
                <w:b w:val="0"/>
                <w:sz w:val="18"/>
              </w:rPr>
              <w:t>B2: CF-oriented</w:t>
            </w:r>
          </w:p>
        </w:tc>
        <w:tc>
          <w:tcPr>
            <w:tcW w:type="dxa" w:w="2520"/>
            <w:vAlign w:val="top"/>
          </w:tcPr>
          <w:p>
            <w:r/>
            <w:r>
              <w:rPr>
                <w:rFonts w:ascii="Microsoft JhengHei" w:hAnsi="Microsoft JhengHei" w:eastAsia="Microsoft JhengHei"/>
                <w:b w:val="0"/>
                <w:sz w:val="18"/>
              </w:rPr>
              <w:t>Corrosion-fatigue decoupling emphasis</w:t>
            </w:r>
          </w:p>
        </w:tc>
        <w:tc>
          <w:tcPr>
            <w:tcW w:type="dxa" w:w="2520"/>
            <w:vAlign w:val="top"/>
          </w:tcPr>
          <w:p>
            <w:r/>
            <w:r>
              <w:rPr>
                <w:rFonts w:ascii="Microsoft JhengHei" w:hAnsi="Microsoft JhengHei" w:eastAsia="Microsoft JhengHei"/>
                <w:b w:val="0"/>
                <w:sz w:val="18"/>
              </w:rPr>
              <w:t>Delayed pit-to-fatigue transition or reduced corrosion-fatigue sensitivity</w:t>
            </w:r>
          </w:p>
        </w:tc>
        <w:tc>
          <w:tcPr>
            <w:tcW w:type="dxa" w:w="2520"/>
            <w:vAlign w:val="top"/>
          </w:tcPr>
          <w:p>
            <w:r/>
            <w:r>
              <w:rPr>
                <w:rFonts w:ascii="Microsoft JhengHei" w:hAnsi="Microsoft JhengHei" w:eastAsia="Microsoft JhengHei"/>
                <w:b w:val="0"/>
                <w:sz w:val="18"/>
              </w:rPr>
              <w:t>Must not create brittle or HAZ-sensitive behavior</w:t>
            </w:r>
          </w:p>
        </w:tc>
      </w:tr>
      <w:tr>
        <w:tc>
          <w:tcPr>
            <w:tcW w:type="dxa" w:w="2520"/>
            <w:vAlign w:val="top"/>
          </w:tcPr>
          <w:p>
            <w:r/>
            <w:r>
              <w:rPr>
                <w:rFonts w:ascii="Microsoft JhengHei" w:hAnsi="Microsoft JhengHei" w:eastAsia="Microsoft JhengHei"/>
                <w:b w:val="0"/>
                <w:sz w:val="18"/>
              </w:rPr>
              <w:t>B3: CA-CF combined</w:t>
            </w:r>
          </w:p>
        </w:tc>
        <w:tc>
          <w:tcPr>
            <w:tcW w:type="dxa" w:w="2520"/>
            <w:vAlign w:val="top"/>
          </w:tcPr>
          <w:p>
            <w:r/>
            <w:r>
              <w:rPr>
                <w:rFonts w:ascii="Microsoft JhengHei" w:hAnsi="Microsoft JhengHei" w:eastAsia="Microsoft JhengHei"/>
                <w:b w:val="0"/>
                <w:sz w:val="18"/>
              </w:rPr>
              <w:t>Combined crack-arrest and corrosion-fatigue-control behavior</w:t>
            </w:r>
          </w:p>
        </w:tc>
        <w:tc>
          <w:tcPr>
            <w:tcW w:type="dxa" w:w="2520"/>
            <w:vAlign w:val="top"/>
          </w:tcPr>
          <w:p>
            <w:r/>
            <w:r>
              <w:rPr>
                <w:rFonts w:ascii="Microsoft JhengHei" w:hAnsi="Microsoft JhengHei" w:eastAsia="Microsoft JhengHei"/>
                <w:b w:val="0"/>
                <w:sz w:val="18"/>
              </w:rPr>
              <w:t>Best coupled-risk suppression without single-property collapse</w:t>
            </w:r>
          </w:p>
        </w:tc>
        <w:tc>
          <w:tcPr>
            <w:tcW w:type="dxa" w:w="2520"/>
            <w:vAlign w:val="top"/>
          </w:tcPr>
          <w:p>
            <w:r/>
            <w:r>
              <w:rPr>
                <w:rFonts w:ascii="Microsoft JhengHei" w:hAnsi="Microsoft JhengHei" w:eastAsia="Microsoft JhengHei"/>
                <w:b w:val="0"/>
                <w:sz w:val="18"/>
              </w:rPr>
              <w:t>Must preserve matrix-level manufacturability plausibility</w:t>
            </w:r>
          </w:p>
        </w:tc>
      </w:tr>
      <w:tr>
        <w:tc>
          <w:tcPr>
            <w:tcW w:type="dxa" w:w="2520"/>
            <w:vAlign w:val="top"/>
          </w:tcPr>
          <w:p>
            <w:r/>
            <w:r>
              <w:rPr>
                <w:rFonts w:ascii="Microsoft JhengHei" w:hAnsi="Microsoft JhengHei" w:eastAsia="Microsoft JhengHei"/>
                <w:b w:val="0"/>
                <w:sz w:val="18"/>
              </w:rPr>
              <w:t>B4: Optional SD later</w:t>
            </w:r>
          </w:p>
        </w:tc>
        <w:tc>
          <w:tcPr>
            <w:tcW w:type="dxa" w:w="2520"/>
            <w:vAlign w:val="top"/>
          </w:tcPr>
          <w:p>
            <w:r/>
            <w:r>
              <w:rPr>
                <w:rFonts w:ascii="Microsoft JhengHei" w:hAnsi="Microsoft JhengHei" w:eastAsia="Microsoft JhengHei"/>
                <w:b w:val="0"/>
                <w:sz w:val="18"/>
              </w:rPr>
              <w:t>Shock / dynamic energy dissipation exploration</w:t>
            </w:r>
          </w:p>
        </w:tc>
        <w:tc>
          <w:tcPr>
            <w:tcW w:type="dxa" w:w="2520"/>
            <w:vAlign w:val="top"/>
          </w:tcPr>
          <w:p>
            <w:r/>
            <w:r>
              <w:rPr>
                <w:rFonts w:ascii="Microsoft JhengHei" w:hAnsi="Microsoft JhengHei" w:eastAsia="Microsoft JhengHei"/>
                <w:b w:val="0"/>
                <w:sz w:val="18"/>
              </w:rPr>
              <w:t>Only considered if CA-CF stability is first shown</w:t>
            </w:r>
          </w:p>
        </w:tc>
        <w:tc>
          <w:tcPr>
            <w:tcW w:type="dxa" w:w="2520"/>
            <w:vAlign w:val="top"/>
          </w:tcPr>
          <w:p>
            <w:r/>
            <w:r>
              <w:rPr>
                <w:rFonts w:ascii="Microsoft JhengHei" w:hAnsi="Microsoft JhengHei" w:eastAsia="Microsoft JhengHei"/>
                <w:b w:val="0"/>
                <w:sz w:val="18"/>
              </w:rPr>
              <w:t>Must not override weldability, HAZ, or CF gates</w:t>
            </w:r>
          </w:p>
        </w:tc>
      </w:tr>
    </w:tbl>
    <w:p>
      <w:pPr>
        <w:pStyle w:val="Heading1"/>
      </w:pPr>
      <w:r>
        <w:t>6. Recommended Early Test Gates</w:t>
      </w:r>
    </w:p>
    <w:p>
      <w:r>
        <w:t>The first laboratory goal should be gate-based feasibility, not final performance optimization.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rFonts w:ascii="Microsoft JhengHei" w:hAnsi="Microsoft JhengHei" w:eastAsia="Microsoft JhengHei"/>
                <w:b/>
                <w:sz w:val="18"/>
              </w:rPr>
              <w:t>Gate</w:t>
            </w:r>
          </w:p>
        </w:tc>
        <w:tc>
          <w:tcPr>
            <w:tcW w:type="dxa" w:w="3360"/>
            <w:shd w:fill="D9EAF7"/>
          </w:tcPr>
          <w:p>
            <w:r/>
            <w:r>
              <w:rPr>
                <w:rFonts w:ascii="Microsoft JhengHei" w:hAnsi="Microsoft JhengHei" w:eastAsia="Microsoft JhengHei"/>
                <w:b/>
                <w:sz w:val="18"/>
              </w:rPr>
              <w:t>Question</w:t>
            </w:r>
          </w:p>
        </w:tc>
        <w:tc>
          <w:tcPr>
            <w:tcW w:type="dxa" w:w="3360"/>
            <w:shd w:fill="D9EAF7"/>
          </w:tcPr>
          <w:p>
            <w:r/>
            <w:r>
              <w:rPr>
                <w:rFonts w:ascii="Microsoft JhengHei" w:hAnsi="Microsoft JhengHei" w:eastAsia="Microsoft JhengHei"/>
                <w:b/>
                <w:sz w:val="18"/>
              </w:rPr>
              <w:t>Preferred evidence type</w:t>
            </w:r>
          </w:p>
        </w:tc>
      </w:tr>
      <w:tr>
        <w:tc>
          <w:tcPr>
            <w:tcW w:type="dxa" w:w="3360"/>
            <w:vAlign w:val="top"/>
          </w:tcPr>
          <w:p>
            <w:r/>
            <w:r>
              <w:rPr>
                <w:rFonts w:ascii="Microsoft JhengHei" w:hAnsi="Microsoft JhengHei" w:eastAsia="Microsoft JhengHei"/>
                <w:b w:val="0"/>
                <w:sz w:val="18"/>
              </w:rPr>
              <w:t>G1 Weldability / HAZ stability</w:t>
            </w:r>
          </w:p>
        </w:tc>
        <w:tc>
          <w:tcPr>
            <w:tcW w:type="dxa" w:w="3360"/>
            <w:vAlign w:val="top"/>
          </w:tcPr>
          <w:p>
            <w:r/>
            <w:r>
              <w:rPr>
                <w:rFonts w:ascii="Microsoft JhengHei" w:hAnsi="Microsoft JhengHei" w:eastAsia="Microsoft JhengHei"/>
                <w:b w:val="0"/>
                <w:sz w:val="18"/>
              </w:rPr>
              <w:t>Does the candidate avoid obvious welding or thermal-cycle degradation relative to baseline?</w:t>
            </w:r>
          </w:p>
        </w:tc>
        <w:tc>
          <w:tcPr>
            <w:tcW w:type="dxa" w:w="3360"/>
            <w:vAlign w:val="top"/>
          </w:tcPr>
          <w:p>
            <w:r/>
            <w:r>
              <w:rPr>
                <w:rFonts w:ascii="Microsoft JhengHei" w:hAnsi="Microsoft JhengHei" w:eastAsia="Microsoft JhengHei"/>
                <w:b w:val="0"/>
                <w:sz w:val="18"/>
              </w:rPr>
              <w:t>Simulated HAZ, weld coupon, hardness / microstructure gradient, basic mechanical screening</w:t>
            </w:r>
          </w:p>
        </w:tc>
      </w:tr>
      <w:tr>
        <w:tc>
          <w:tcPr>
            <w:tcW w:type="dxa" w:w="3360"/>
            <w:vAlign w:val="top"/>
          </w:tcPr>
          <w:p>
            <w:r/>
            <w:r>
              <w:rPr>
                <w:rFonts w:ascii="Microsoft JhengHei" w:hAnsi="Microsoft JhengHei" w:eastAsia="Microsoft JhengHei"/>
                <w:b w:val="0"/>
                <w:sz w:val="18"/>
              </w:rPr>
              <w:t>G2 Corrosion-fatigue behavior</w:t>
            </w:r>
          </w:p>
        </w:tc>
        <w:tc>
          <w:tcPr>
            <w:tcW w:type="dxa" w:w="3360"/>
            <w:vAlign w:val="top"/>
          </w:tcPr>
          <w:p>
            <w:r/>
            <w:r>
              <w:rPr>
                <w:rFonts w:ascii="Microsoft JhengHei" w:hAnsi="Microsoft JhengHei" w:eastAsia="Microsoft JhengHei"/>
                <w:b w:val="0"/>
                <w:sz w:val="18"/>
              </w:rPr>
              <w:t>Does the candidate reduce pit-to-fatigue conversion risk or corrosion-fatigue sensitivity?</w:t>
            </w:r>
          </w:p>
        </w:tc>
        <w:tc>
          <w:tcPr>
            <w:tcW w:type="dxa" w:w="3360"/>
            <w:vAlign w:val="top"/>
          </w:tcPr>
          <w:p>
            <w:r/>
            <w:r>
              <w:rPr>
                <w:rFonts w:ascii="Microsoft JhengHei" w:hAnsi="Microsoft JhengHei" w:eastAsia="Microsoft JhengHei"/>
                <w:b w:val="0"/>
                <w:sz w:val="18"/>
              </w:rPr>
              <w:t>Pitting exposure + cyclic loading comparison, crack initiation statistics, surface / fracture analysis</w:t>
            </w:r>
          </w:p>
        </w:tc>
      </w:tr>
      <w:tr>
        <w:tc>
          <w:tcPr>
            <w:tcW w:type="dxa" w:w="3360"/>
            <w:vAlign w:val="top"/>
          </w:tcPr>
          <w:p>
            <w:r/>
            <w:r>
              <w:rPr>
                <w:rFonts w:ascii="Microsoft JhengHei" w:hAnsi="Microsoft JhengHei" w:eastAsia="Microsoft JhengHei"/>
                <w:b w:val="0"/>
                <w:sz w:val="18"/>
              </w:rPr>
              <w:t>G3 Crack-arrest behavior</w:t>
            </w:r>
          </w:p>
        </w:tc>
        <w:tc>
          <w:tcPr>
            <w:tcW w:type="dxa" w:w="3360"/>
            <w:vAlign w:val="top"/>
          </w:tcPr>
          <w:p>
            <w:r/>
            <w:r>
              <w:rPr>
                <w:rFonts w:ascii="Microsoft JhengHei" w:hAnsi="Microsoft JhengHei" w:eastAsia="Microsoft JhengHei"/>
                <w:b w:val="0"/>
                <w:sz w:val="18"/>
              </w:rPr>
              <w:t>Does the candidate interrupt crack connectivity, deflect cracks, blunt crack tips, or reduce growth rate?</w:t>
            </w:r>
          </w:p>
        </w:tc>
        <w:tc>
          <w:tcPr>
            <w:tcW w:type="dxa" w:w="3360"/>
            <w:vAlign w:val="top"/>
          </w:tcPr>
          <w:p>
            <w:r/>
            <w:r>
              <w:rPr>
                <w:rFonts w:ascii="Microsoft JhengHei" w:hAnsi="Microsoft JhengHei" w:eastAsia="Microsoft JhengHei"/>
                <w:b w:val="0"/>
                <w:sz w:val="18"/>
              </w:rPr>
              <w:t>Fractography, crack-growth tracking, microstructure-path correlation</w:t>
            </w:r>
          </w:p>
        </w:tc>
      </w:tr>
      <w:tr>
        <w:tc>
          <w:tcPr>
            <w:tcW w:type="dxa" w:w="3360"/>
            <w:vAlign w:val="top"/>
          </w:tcPr>
          <w:p>
            <w:r/>
            <w:r>
              <w:rPr>
                <w:rFonts w:ascii="Microsoft JhengHei" w:hAnsi="Microsoft JhengHei" w:eastAsia="Microsoft JhengHei"/>
                <w:b w:val="0"/>
                <w:sz w:val="18"/>
              </w:rPr>
              <w:t>G4 Coupled-risk balance</w:t>
            </w:r>
          </w:p>
        </w:tc>
        <w:tc>
          <w:tcPr>
            <w:tcW w:type="dxa" w:w="3360"/>
            <w:vAlign w:val="top"/>
          </w:tcPr>
          <w:p>
            <w:r/>
            <w:r>
              <w:rPr>
                <w:rFonts w:ascii="Microsoft JhengHei" w:hAnsi="Microsoft JhengHei" w:eastAsia="Microsoft JhengHei"/>
                <w:b w:val="0"/>
                <w:sz w:val="18"/>
              </w:rPr>
              <w:t>Does improvement in one function avoid degrading another critical function?</w:t>
            </w:r>
          </w:p>
        </w:tc>
        <w:tc>
          <w:tcPr>
            <w:tcW w:type="dxa" w:w="3360"/>
            <w:vAlign w:val="top"/>
          </w:tcPr>
          <w:p>
            <w:r/>
            <w:r>
              <w:rPr>
                <w:rFonts w:ascii="Microsoft JhengHei" w:hAnsi="Microsoft JhengHei" w:eastAsia="Microsoft JhengHei"/>
                <w:b w:val="0"/>
                <w:sz w:val="18"/>
              </w:rPr>
              <w:t>Multi-metric comparison against baseline rather than single best metric</w:t>
            </w:r>
          </w:p>
        </w:tc>
      </w:tr>
      <w:tr>
        <w:tc>
          <w:tcPr>
            <w:tcW w:type="dxa" w:w="3360"/>
            <w:vAlign w:val="top"/>
          </w:tcPr>
          <w:p>
            <w:r/>
            <w:r>
              <w:rPr>
                <w:rFonts w:ascii="Microsoft JhengHei" w:hAnsi="Microsoft JhengHei" w:eastAsia="Microsoft JhengHei"/>
                <w:b w:val="0"/>
                <w:sz w:val="18"/>
              </w:rPr>
              <w:t>G5 Scale plausibility</w:t>
            </w:r>
          </w:p>
        </w:tc>
        <w:tc>
          <w:tcPr>
            <w:tcW w:type="dxa" w:w="3360"/>
            <w:vAlign w:val="top"/>
          </w:tcPr>
          <w:p>
            <w:r/>
            <w:r>
              <w:rPr>
                <w:rFonts w:ascii="Microsoft JhengHei" w:hAnsi="Microsoft JhengHei" w:eastAsia="Microsoft JhengHei"/>
                <w:b w:val="0"/>
                <w:sz w:val="18"/>
              </w:rPr>
              <w:t>Is there any obvious barrier to plate-scale fabrication or repair-oriented workflow?</w:t>
            </w:r>
          </w:p>
        </w:tc>
        <w:tc>
          <w:tcPr>
            <w:tcW w:type="dxa" w:w="3360"/>
            <w:vAlign w:val="top"/>
          </w:tcPr>
          <w:p>
            <w:r/>
            <w:r>
              <w:rPr>
                <w:rFonts w:ascii="Microsoft JhengHei" w:hAnsi="Microsoft JhengHei" w:eastAsia="Microsoft JhengHei"/>
                <w:b w:val="0"/>
                <w:sz w:val="18"/>
              </w:rPr>
              <w:t>Laboratory expert judgment, processing complexity review, cost / process risk notes</w:t>
            </w:r>
          </w:p>
        </w:tc>
      </w:tr>
    </w:tbl>
    <w:p>
      <w:pPr>
        <w:pStyle w:val="Heading1"/>
      </w:pPr>
      <w:r>
        <w:t>7. Questions for the Laboratory</w:t>
      </w:r>
    </w:p>
    <w:p>
      <w:pPr>
        <w:pStyle w:val="ListNumber"/>
      </w:pPr>
      <w:r>
        <w:t>Is the HSLA-like matrix assumption reasonable for this type of coupled corrosion-fatigue / crack-arrest screening?</w:t>
      </w:r>
    </w:p>
    <w:p>
      <w:pPr>
        <w:pStyle w:val="ListNumber"/>
      </w:pPr>
      <w:r>
        <w:t>Which non-sensitive microstructural or processing mechanisms could plausibly support crack-arrest behavior while preserving weldability?</w:t>
      </w:r>
    </w:p>
    <w:p>
      <w:pPr>
        <w:pStyle w:val="ListNumber"/>
      </w:pPr>
      <w:r>
        <w:t>Which non-sensitive mechanisms could plausibly reduce pit-to-fatigue conversion or weld / HAZ corrosion-fatigue amplification?</w:t>
      </w:r>
    </w:p>
    <w:p>
      <w:pPr>
        <w:pStyle w:val="ListNumber"/>
      </w:pPr>
      <w:r>
        <w:t>Can the laboratory propose a coupon-level test matrix without requiring disclosure of a complete proprietary design method?</w:t>
      </w:r>
    </w:p>
    <w:p>
      <w:pPr>
        <w:pStyle w:val="ListNumber"/>
      </w:pPr>
      <w:r>
        <w:t>What minimum sample count, thermal-cycle simulation, corrosion exposure, fatigue method, and microscopy package would be needed for a credible first screen?</w:t>
      </w:r>
    </w:p>
    <w:p>
      <w:pPr>
        <w:pStyle w:val="ListNumber"/>
      </w:pPr>
      <w:r>
        <w:t>What obvious failure risks would make this direction unsuitable before any small-sample fabrication?</w:t>
      </w:r>
    </w:p>
    <w:p>
      <w:pPr>
        <w:pStyle w:val="Heading1"/>
      </w:pPr>
      <w:r>
        <w:t>8. Success Criteria for a First Feasibility Round</w:t>
      </w:r>
    </w:p>
    <w:p>
      <w:r>
        <w:t>A first feasibility round should be considered positive only if the combined CA-CF direction shows at least preliminary improvement in coupled-risk indicators while maintaining baseline viability. A sample with the highest strength but degraded HAZ behavior, corrosion-fatigue behavior, or crack connectivity should not be treated as the winning direction.</w:t>
      </w:r>
    </w:p>
    <w:p>
      <w:pPr>
        <w:pStyle w:val="ListBullet"/>
      </w:pPr>
      <w:r>
        <w:t>Positive signal: improved corrosion-fatigue or crack-path behavior without obvious weld / HAZ degradation.</w:t>
      </w:r>
    </w:p>
    <w:p>
      <w:pPr>
        <w:pStyle w:val="ListBullet"/>
      </w:pPr>
      <w:r>
        <w:t>Neutral signal: no improvement over baseline but no major degradation; the architecture may need redesign.</w:t>
      </w:r>
    </w:p>
    <w:p>
      <w:pPr>
        <w:pStyle w:val="ListBullet"/>
      </w:pPr>
      <w:r>
        <w:t>Negative signal: single-property gain accompanied by weldability, HAZ, corrosion-fatigue, or manufacturability collapse.</w:t>
      </w:r>
    </w:p>
    <w:p>
      <w:pPr>
        <w:pStyle w:val="Heading1"/>
      </w:pPr>
      <w:r>
        <w:t>9. IP and Collaboration Note</w:t>
      </w:r>
    </w:p>
    <w:p>
      <w:r>
        <w:t>This brief is suitable for confidential technical discussion only. Before exchanging composition ideas, processing recipes, unpublished laboratory know-how, or sample results, the parties should consider an NDA or other appropriate written confidentiality arrangement. If the laboratory identifies a concrete implementable route and preliminary data are positive, patent counsel should evaluate whether protection is best pursued as a method, screening workflow, material architecture, processing route, or composition claim. This document itself is not a patent claim and should not be treated as legal advice.</w:t>
      </w:r>
    </w:p>
    <w:p>
      <w:pPr>
        <w:pStyle w:val="Heading1"/>
      </w:pPr>
      <w:r>
        <w:t>10. One-Page Summary</w:t>
      </w:r>
    </w:p>
    <w:p>
      <w:r>
        <w:t>This project is not asking for the strongest steel by a single metric. It asks whether a weldable HSLA-like steel architecture can be screened for lower coupled failure-chain risk: especially pit-to-fatigue conversion, crack-path connectivity, and weld / HAZ amplification. The most important first result is not a final alloy recipe, but a defensible feasibility answer: can crack-arrest and corrosion-fatigue-control functions coexist in a practical HSLA-like matrix without destroying welding and scale-up plausibility?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Technical Feasibility Brief | Safe External Version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