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44"/>
          <w:szCs w:val="44"/>
        </w:rPr>
        <w:t xml:space="preserve">The Price of Patience</w:t>
      </w:r>
    </w:p>
    <w:p>
      <w:pPr>
        <w:spacing w:after="480"/>
        <w:jc w:val="center"/>
      </w:pPr>
      <w:r>
        <w:rPr>
          <w:i/>
          <w:iCs/>
          <w:sz w:val="26"/>
          <w:szCs w:val="26"/>
        </w:rPr>
        <w:t xml:space="preserve">AI Autonomy, Costly Signalling, and the Strategic Meaning of Cyber Pre-Positioning</w:t>
      </w:r>
    </w:p>
    <w:p>
      <w:pPr>
        <w:spacing w:after="120"/>
        <w:jc w:val="center"/>
      </w:pPr>
      <w:r>
        <w:rPr>
          <w:sz w:val="22"/>
          <w:szCs w:val="22"/>
        </w:rPr>
        <w:t xml:space="preserve">Working paper — literature foundation and research design</w:t>
      </w:r>
    </w:p>
    <w:p>
      <w:pPr>
        <w:jc w:val="center"/>
      </w:pPr>
      <w:r>
        <w:rPr>
          <w:color w:val="555555"/>
          <w:sz w:val="20"/>
          <w:szCs w:val="20"/>
        </w:rPr>
        <w:t xml:space="preserve">Based on a 105-paper corpus; 16 papers extracted in full depth</w:t>
      </w:r>
    </w:p>
    <w:p>
      <w:r>
        <w:br w:type="page"/>
      </w:r>
    </w:p>
    <w:p>
      <w:pPr>
        <w:pStyle w:val="Heading1"/>
        <w:spacing w:after="200"/>
      </w:pPr>
      <w:r>
        <w:rPr>
          <w:b/>
          <w:bCs/>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spacing w:after="140" w:line="300"/>
        <w:jc w:val="both"/>
      </w:pPr>
      <w:r>
        <w:rPr>
          <w:b/>
          <w:bCs/>
        </w:rPr>
        <w:t xml:space="preserve">Working paper — literature foundation and research design</w:t>
      </w:r>
    </w:p>
    <w:p>
      <w:pPr>
        <w:pBdr>
          <w:bottom w:val="single" w:color="BBBBBB" w:sz="6" w:space="1"/>
        </w:pBdr>
        <w:spacing w:after="120" w:before="120"/>
      </w:pPr>
      <w:r>
        <w:t xml:space="preserve"/>
      </w:r>
    </w:p>
    <w:p>
      <w:pPr>
        <w:pStyle w:val="Heading1"/>
        <w:keepNext/>
        <w:spacing w:after="140" w:before="360"/>
      </w:pPr>
      <w:r>
        <w:t xml:space="preserve">Note on the evidence base</w:t>
      </w:r>
    </w:p>
    <w:p>
      <w:pPr>
        <w:spacing w:after="140" w:line="300"/>
        <w:jc w:val="both"/>
      </w:pPr>
      <w:r>
        <w:t xml:space="preserve">This paper is built on a corpus of </w:t>
      </w:r>
      <w:r>
        <w:rPr>
          <w:b/>
          <w:bCs/>
        </w:rPr>
        <w:t xml:space="preserve">105 PDFs</w:t>
      </w:r>
      <w:r>
        <w:t xml:space="preserve"> supplied by the author. </w:t>
      </w:r>
      <w:r>
        <w:rPr>
          <w:b/>
          <w:bCs/>
        </w:rPr>
        <w:t xml:space="preserve">Nine papers</w:t>
      </w:r>
      <w:r>
        <w:t xml:space="preserve"> have been extracted in full depth; all 105 have been triaged by full-text term search. Every substantive claim below is cited to a paper in that corpus, or explicitly labelled as (a) my analytical synthesis or (b) supplementary literature outside the corpus. Where the corpus cannot support a claim, this is stated rather than finessed.</w:t>
      </w:r>
    </w:p>
    <w:p>
      <w:pPr>
        <w:spacing w:after="140" w:line="300"/>
        <w:jc w:val="both"/>
      </w:pPr>
      <w:r>
        <w:t xml:space="preserve">Full-depth extractions: Maschmeyer (2023); Singh, Jash &amp; Nanjappa (2025); Butt &amp; Ulina (2026); Guttieri (2025); Sullivan (2025); Baram (2026); Kabir et al. (2026); Yigit et al. (2025); Melella (PhD); Pokorny (2026); Codreanu (2025). Extraction files are in </w:t>
      </w:r>
      <w:r>
        <w:rPr>
          <w:rFonts w:ascii="Consolas" w:cs="Consolas" w:eastAsia="Consolas" w:hAnsi="Consolas"/>
          <w:sz w:val="19"/>
          <w:szCs w:val="19"/>
        </w:rPr>
        <w:t xml:space="preserve">corpus/extractions/</w:t>
      </w:r>
      <w:r>
        <w:t xml:space="preserve">.</w:t>
      </w:r>
    </w:p>
    <w:p>
      <w:pPr>
        <w:spacing w:after="140" w:line="300"/>
        <w:jc w:val="both"/>
      </w:pPr>
      <w:r>
        <w:rPr>
          <w:b/>
          <w:bCs/>
        </w:rPr>
        <w:t xml:space="preserve">Revision note.</w:t>
      </w:r>
      <w:r>
        <w:t xml:space="preserve"> Extractions 05 (Sullivan) and 06 (Baram) materially changed the argument advanced in the first draft; extraction 09 (Melella) </w:t>
      </w:r>
      <w:r>
        <w:rPr>
          <w:b/>
          <w:bCs/>
        </w:rPr>
        <w:t xml:space="preserve">falsified a claim made in the second draft</w:t>
      </w:r>
      <w:r>
        <w:t xml:space="preserve">. Both changes are documented in §4.1 and §4.3 rather than silently absorbed.</w:t>
      </w:r>
    </w:p>
    <w:p>
      <w:pPr>
        <w:pBdr>
          <w:bottom w:val="single" w:color="BBBBBB" w:sz="6" w:space="1"/>
        </w:pBdr>
        <w:spacing w:after="120" w:before="120"/>
      </w:pPr>
      <w:r>
        <w:t xml:space="preserve"/>
      </w:r>
    </w:p>
    <w:p>
      <w:pPr>
        <w:pStyle w:val="Heading1"/>
        <w:keepNext/>
        <w:spacing w:after="140" w:before="360"/>
      </w:pPr>
      <w:r>
        <w:t xml:space="preserve">1. Evidence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8EDF2" w:color="auto" w:val="clear"/>
            <w:tcMar>
              <w:top w:type="dxa" w:w="60"/>
              <w:left w:type="dxa" w:w="100"/>
              <w:bottom w:type="dxa" w:w="60"/>
              <w:right w:type="dxa" w:w="100"/>
            </w:tcMar>
          </w:tcPr>
          <w:p>
            <w:pPr>
              <w:spacing w:after="20" w:before="20"/>
            </w:pPr>
            <w:r>
              <w:rPr>
                <w:b/>
                <w:bCs/>
                <w:sz w:val="19"/>
                <w:szCs w:val="19"/>
              </w:rPr>
              <w:t xml:space="preserve"/>
            </w:r>
          </w:p>
        </w:tc>
        <w:tc>
          <w:tcPr>
            <w:tcW w:type="dxa" w:w="1872"/>
            <w:shd w:fill="E8EDF2" w:color="auto" w:val="clear"/>
            <w:tcMar>
              <w:top w:type="dxa" w:w="60"/>
              <w:left w:type="dxa" w:w="100"/>
              <w:bottom w:type="dxa" w:w="60"/>
              <w:right w:type="dxa" w:w="100"/>
            </w:tcMar>
          </w:tcPr>
          <w:p>
            <w:pPr>
              <w:spacing w:after="20" w:before="20"/>
            </w:pPr>
            <w:r>
              <w:rPr>
                <w:b/>
                <w:bCs/>
                <w:sz w:val="19"/>
                <w:szCs w:val="19"/>
              </w:rPr>
              <w:t xml:space="preserve">Maschmeyer (2023)</w:t>
            </w:r>
          </w:p>
        </w:tc>
        <w:tc>
          <w:tcPr>
            <w:tcW w:type="dxa" w:w="1872"/>
            <w:shd w:fill="E8EDF2" w:color="auto" w:val="clear"/>
            <w:tcMar>
              <w:top w:type="dxa" w:w="60"/>
              <w:left w:type="dxa" w:w="100"/>
              <w:bottom w:type="dxa" w:w="60"/>
              <w:right w:type="dxa" w:w="100"/>
            </w:tcMar>
          </w:tcPr>
          <w:p>
            <w:pPr>
              <w:spacing w:after="20" w:before="20"/>
            </w:pPr>
            <w:r>
              <w:rPr>
                <w:b/>
                <w:bCs/>
                <w:sz w:val="19"/>
                <w:szCs w:val="19"/>
              </w:rPr>
              <w:t xml:space="preserve">Singh, Jash &amp; Nanjappa (2025)</w:t>
            </w:r>
          </w:p>
        </w:tc>
        <w:tc>
          <w:tcPr>
            <w:tcW w:type="dxa" w:w="1872"/>
            <w:shd w:fill="E8EDF2" w:color="auto" w:val="clear"/>
            <w:tcMar>
              <w:top w:type="dxa" w:w="60"/>
              <w:left w:type="dxa" w:w="100"/>
              <w:bottom w:type="dxa" w:w="60"/>
              <w:right w:type="dxa" w:w="100"/>
            </w:tcMar>
          </w:tcPr>
          <w:p>
            <w:pPr>
              <w:spacing w:after="20" w:before="20"/>
            </w:pPr>
            <w:r>
              <w:rPr>
                <w:b/>
                <w:bCs/>
                <w:sz w:val="19"/>
                <w:szCs w:val="19"/>
              </w:rPr>
              <w:t xml:space="preserve">Butt &amp; Ulina (2026)</w:t>
            </w:r>
          </w:p>
        </w:tc>
        <w:tc>
          <w:tcPr>
            <w:tcW w:type="dxa" w:w="1872"/>
            <w:shd w:fill="E8EDF2" w:color="auto" w:val="clear"/>
            <w:tcMar>
              <w:top w:type="dxa" w:w="60"/>
              <w:left w:type="dxa" w:w="100"/>
              <w:bottom w:type="dxa" w:w="60"/>
              <w:right w:type="dxa" w:w="100"/>
            </w:tcMar>
          </w:tcPr>
          <w:p>
            <w:pPr>
              <w:spacing w:after="20" w:before="20"/>
            </w:pPr>
            <w:r>
              <w:rPr>
                <w:b/>
                <w:bCs/>
                <w:sz w:val="19"/>
                <w:szCs w:val="19"/>
              </w:rPr>
              <w:t xml:space="preserve">Guttieri (2025)</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Venue</w:t>
            </w:r>
          </w:p>
        </w:tc>
        <w:tc>
          <w:tcPr>
            <w:tcW w:type="dxa" w:w="1872"/>
            <w:tcMar>
              <w:top w:type="dxa" w:w="60"/>
              <w:left w:type="dxa" w:w="100"/>
              <w:bottom w:type="dxa" w:w="60"/>
              <w:right w:type="dxa" w:w="100"/>
            </w:tcMar>
          </w:tcPr>
          <w:p>
            <w:pPr>
              <w:spacing w:after="20" w:before="20"/>
            </w:pPr>
            <w:r>
              <w:rPr>
                <w:i/>
                <w:iCs/>
                <w:sz w:val="19"/>
                <w:szCs w:val="19"/>
              </w:rPr>
              <w:t xml:space="preserve">European Journal of International Relations</w:t>
            </w:r>
            <w:r>
              <w:rPr>
                <w:sz w:val="19"/>
                <w:szCs w:val="19"/>
              </w:rPr>
              <w:t xml:space="preserve"> 29(1)</w:t>
            </w:r>
          </w:p>
        </w:tc>
        <w:tc>
          <w:tcPr>
            <w:tcW w:type="dxa" w:w="1872"/>
            <w:tcMar>
              <w:top w:type="dxa" w:w="60"/>
              <w:left w:type="dxa" w:w="100"/>
              <w:bottom w:type="dxa" w:w="60"/>
              <w:right w:type="dxa" w:w="100"/>
            </w:tcMar>
          </w:tcPr>
          <w:p>
            <w:pPr>
              <w:spacing w:after="20" w:before="20"/>
            </w:pPr>
            <w:r>
              <w:rPr>
                <w:i/>
                <w:iCs/>
                <w:sz w:val="19"/>
                <w:szCs w:val="19"/>
              </w:rPr>
              <w:t xml:space="preserve">Cogent Social Sciences</w:t>
            </w:r>
            <w:r>
              <w:rPr>
                <w:sz w:val="19"/>
                <w:szCs w:val="19"/>
              </w:rPr>
              <w:t xml:space="preserve"> 11(1)</w:t>
            </w:r>
          </w:p>
        </w:tc>
        <w:tc>
          <w:tcPr>
            <w:tcW w:type="dxa" w:w="1872"/>
            <w:tcMar>
              <w:top w:type="dxa" w:w="60"/>
              <w:left w:type="dxa" w:w="100"/>
              <w:bottom w:type="dxa" w:w="60"/>
              <w:right w:type="dxa" w:w="100"/>
            </w:tcMar>
          </w:tcPr>
          <w:p>
            <w:pPr>
              <w:spacing w:after="20" w:before="20"/>
            </w:pPr>
            <w:r>
              <w:rPr>
                <w:i/>
                <w:iCs/>
                <w:sz w:val="19"/>
                <w:szCs w:val="19"/>
              </w:rPr>
              <w:t xml:space="preserve">Critical Review of Social Sciences Studies</w:t>
            </w:r>
            <w:r>
              <w:rPr>
                <w:sz w:val="19"/>
                <w:szCs w:val="19"/>
              </w:rPr>
              <w:t xml:space="preserve"> 4(1)</w:t>
            </w:r>
          </w:p>
        </w:tc>
        <w:tc>
          <w:tcPr>
            <w:tcW w:type="dxa" w:w="1872"/>
            <w:tcMar>
              <w:top w:type="dxa" w:w="60"/>
              <w:left w:type="dxa" w:w="100"/>
              <w:bottom w:type="dxa" w:w="60"/>
              <w:right w:type="dxa" w:w="100"/>
            </w:tcMar>
          </w:tcPr>
          <w:p>
            <w:pPr>
              <w:spacing w:after="20" w:before="20"/>
            </w:pPr>
            <w:r>
              <w:rPr>
                <w:i/>
                <w:iCs/>
                <w:sz w:val="19"/>
                <w:szCs w:val="19"/>
              </w:rPr>
              <w:t xml:space="preserve">The Cyber Defense Review</w:t>
            </w:r>
            <w:r>
              <w:rPr>
                <w:sz w:val="19"/>
                <w:szCs w:val="19"/>
              </w:rPr>
              <w:t xml:space="preserve"> 10(1)</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Objective</w:t>
            </w:r>
          </w:p>
        </w:tc>
        <w:tc>
          <w:tcPr>
            <w:tcW w:type="dxa" w:w="1872"/>
            <w:tcMar>
              <w:top w:type="dxa" w:w="60"/>
              <w:left w:type="dxa" w:w="100"/>
              <w:bottom w:type="dxa" w:w="60"/>
              <w:right w:type="dxa" w:w="100"/>
            </w:tcMar>
          </w:tcPr>
          <w:p>
            <w:pPr>
              <w:spacing w:after="20" w:before="20"/>
            </w:pPr>
            <w:r>
              <w:rPr>
                <w:sz w:val="19"/>
                <w:szCs w:val="19"/>
              </w:rPr>
              <w:t xml:space="preserve">Theorise subversion as reverse structural power</w:t>
            </w:r>
          </w:p>
        </w:tc>
        <w:tc>
          <w:tcPr>
            <w:tcW w:type="dxa" w:w="1872"/>
            <w:tcMar>
              <w:top w:type="dxa" w:w="60"/>
              <w:left w:type="dxa" w:w="100"/>
              <w:bottom w:type="dxa" w:w="60"/>
              <w:right w:type="dxa" w:w="100"/>
            </w:tcMar>
          </w:tcPr>
          <w:p>
            <w:pPr>
              <w:spacing w:after="20" w:before="20"/>
            </w:pPr>
            <w:r>
              <w:rPr>
                <w:sz w:val="19"/>
                <w:szCs w:val="19"/>
              </w:rPr>
              <w:t xml:space="preserve">Explain US–China cyber strategic competition</w:t>
            </w:r>
          </w:p>
        </w:tc>
        <w:tc>
          <w:tcPr>
            <w:tcW w:type="dxa" w:w="1872"/>
            <w:tcMar>
              <w:top w:type="dxa" w:w="60"/>
              <w:left w:type="dxa" w:w="100"/>
              <w:bottom w:type="dxa" w:w="60"/>
              <w:right w:type="dxa" w:w="100"/>
            </w:tcMar>
          </w:tcPr>
          <w:p>
            <w:pPr>
              <w:spacing w:after="20" w:before="20"/>
            </w:pPr>
            <w:r>
              <w:rPr>
                <w:sz w:val="19"/>
                <w:szCs w:val="19"/>
              </w:rPr>
              <w:t xml:space="preserve">Review cyber warfare trends 2022–2026</w:t>
            </w:r>
          </w:p>
        </w:tc>
        <w:tc>
          <w:tcPr>
            <w:tcW w:type="dxa" w:w="1872"/>
            <w:tcMar>
              <w:top w:type="dxa" w:w="60"/>
              <w:left w:type="dxa" w:w="100"/>
              <w:bottom w:type="dxa" w:w="60"/>
              <w:right w:type="dxa" w:w="100"/>
            </w:tcMar>
          </w:tcPr>
          <w:p>
            <w:pPr>
              <w:spacing w:after="20" w:before="20"/>
            </w:pPr>
            <w:r>
              <w:rPr>
                <w:sz w:val="19"/>
                <w:szCs w:val="19"/>
              </w:rPr>
              <w:t xml:space="preserve">Reframe cyber resilience for power projection</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Research question</w:t>
            </w:r>
          </w:p>
        </w:tc>
        <w:tc>
          <w:tcPr>
            <w:tcW w:type="dxa" w:w="1872"/>
            <w:tcMar>
              <w:top w:type="dxa" w:w="60"/>
              <w:left w:type="dxa" w:w="100"/>
              <w:bottom w:type="dxa" w:w="60"/>
              <w:right w:type="dxa" w:w="100"/>
            </w:tcMar>
          </w:tcPr>
          <w:p>
            <w:pPr>
              <w:spacing w:after="20" w:before="20"/>
            </w:pPr>
            <w:r>
              <w:rPr>
                <w:sz w:val="19"/>
                <w:szCs w:val="19"/>
              </w:rPr>
              <w:t xml:space="preserve">Not formal. Puzzle: why are the most capable actors also the most vulnerable?</w:t>
            </w:r>
          </w:p>
        </w:tc>
        <w:tc>
          <w:tcPr>
            <w:tcW w:type="dxa" w:w="1872"/>
            <w:tcMar>
              <w:top w:type="dxa" w:w="60"/>
              <w:left w:type="dxa" w:w="100"/>
              <w:bottom w:type="dxa" w:w="60"/>
              <w:right w:type="dxa" w:w="100"/>
            </w:tcMar>
          </w:tcPr>
          <w:p>
            <w:pPr>
              <w:spacing w:after="20" w:before="20"/>
            </w:pPr>
            <w:r>
              <w:rPr>
                <w:sz w:val="19"/>
                <w:szCs w:val="19"/>
              </w:rPr>
              <w:t xml:space="preserve">Hypothesis: competition driven by geopolitical, military, technological factors</w:t>
            </w:r>
          </w:p>
        </w:tc>
        <w:tc>
          <w:tcPr>
            <w:tcW w:type="dxa" w:w="1872"/>
            <w:tcMar>
              <w:top w:type="dxa" w:w="60"/>
              <w:left w:type="dxa" w:w="100"/>
              <w:bottom w:type="dxa" w:w="60"/>
              <w:right w:type="dxa" w:w="100"/>
            </w:tcMar>
          </w:tcPr>
          <w:p>
            <w:pPr>
              <w:spacing w:after="20" w:before="20"/>
            </w:pPr>
            <w:r>
              <w:rPr>
                <w:sz w:val="19"/>
                <w:szCs w:val="19"/>
              </w:rPr>
              <w:t xml:space="preserve">Not stated</w:t>
            </w:r>
          </w:p>
        </w:tc>
        <w:tc>
          <w:tcPr>
            <w:tcW w:type="dxa" w:w="1872"/>
            <w:tcMar>
              <w:top w:type="dxa" w:w="60"/>
              <w:left w:type="dxa" w:w="100"/>
              <w:bottom w:type="dxa" w:w="60"/>
              <w:right w:type="dxa" w:w="100"/>
            </w:tcMar>
          </w:tcPr>
          <w:p>
            <w:pPr>
              <w:spacing w:after="20" w:before="20"/>
            </w:pPr>
            <w:r>
              <w:rPr>
                <w:sz w:val="19"/>
                <w:szCs w:val="19"/>
              </w:rPr>
              <w:t xml:space="preserve">Not formal</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Theoretical framework</w:t>
            </w:r>
          </w:p>
        </w:tc>
        <w:tc>
          <w:tcPr>
            <w:tcW w:type="dxa" w:w="1872"/>
            <w:tcMar>
              <w:top w:type="dxa" w:w="60"/>
              <w:left w:type="dxa" w:w="100"/>
              <w:bottom w:type="dxa" w:w="60"/>
              <w:right w:type="dxa" w:w="100"/>
            </w:tcMar>
          </w:tcPr>
          <w:p>
            <w:pPr>
              <w:spacing w:after="20" w:before="20"/>
            </w:pPr>
            <w:r>
              <w:rPr>
                <w:sz w:val="19"/>
                <w:szCs w:val="19"/>
              </w:rPr>
              <w:t xml:space="preserve">Structural power (IR) + Intelligence Studies</w:t>
            </w:r>
          </w:p>
        </w:tc>
        <w:tc>
          <w:tcPr>
            <w:tcW w:type="dxa" w:w="1872"/>
            <w:tcMar>
              <w:top w:type="dxa" w:w="60"/>
              <w:left w:type="dxa" w:w="100"/>
              <w:bottom w:type="dxa" w:w="60"/>
              <w:right w:type="dxa" w:w="100"/>
            </w:tcMar>
          </w:tcPr>
          <w:p>
            <w:pPr>
              <w:spacing w:after="20" w:before="20"/>
            </w:pPr>
            <w:r>
              <w:rPr>
                <w:sz w:val="19"/>
                <w:szCs w:val="19"/>
              </w:rPr>
              <w:t xml:space="preserve">Offensive realism; techno-nationalism</w:t>
            </w:r>
          </w:p>
        </w:tc>
        <w:tc>
          <w:tcPr>
            <w:tcW w:type="dxa" w:w="1872"/>
            <w:tcMar>
              <w:top w:type="dxa" w:w="60"/>
              <w:left w:type="dxa" w:w="100"/>
              <w:bottom w:type="dxa" w:w="60"/>
              <w:right w:type="dxa" w:w="100"/>
            </w:tcMar>
          </w:tcPr>
          <w:p>
            <w:pPr>
              <w:spacing w:after="20" w:before="20"/>
            </w:pPr>
            <w:r>
              <w:rPr>
                <w:b/>
                <w:bCs/>
                <w:sz w:val="19"/>
                <w:szCs w:val="19"/>
              </w:rPr>
              <w:t xml:space="preserve">None — atheoretical</w:t>
            </w:r>
          </w:p>
        </w:tc>
        <w:tc>
          <w:tcPr>
            <w:tcW w:type="dxa" w:w="1872"/>
            <w:tcMar>
              <w:top w:type="dxa" w:w="60"/>
              <w:left w:type="dxa" w:w="100"/>
              <w:bottom w:type="dxa" w:w="60"/>
              <w:right w:type="dxa" w:w="100"/>
            </w:tcMar>
          </w:tcPr>
          <w:p>
            <w:pPr>
              <w:spacing w:after="20" w:before="20"/>
            </w:pPr>
            <w:r>
              <w:rPr>
                <w:sz w:val="19"/>
                <w:szCs w:val="19"/>
              </w:rPr>
              <w:t xml:space="preserve">Woods' layered resilience; Cyber Persistence Theory; cybersecurity dilemma</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Methodology</w:t>
            </w:r>
          </w:p>
        </w:tc>
        <w:tc>
          <w:tcPr>
            <w:tcW w:type="dxa" w:w="1872"/>
            <w:tcMar>
              <w:top w:type="dxa" w:w="60"/>
              <w:left w:type="dxa" w:w="100"/>
              <w:bottom w:type="dxa" w:w="60"/>
              <w:right w:type="dxa" w:w="100"/>
            </w:tcMar>
          </w:tcPr>
          <w:p>
            <w:pPr>
              <w:spacing w:after="20" w:before="20"/>
            </w:pPr>
            <w:r>
              <w:rPr>
                <w:sz w:val="19"/>
                <w:szCs w:val="19"/>
              </w:rPr>
              <w:t xml:space="preserve">Theory-building + plausibility probe</w:t>
            </w:r>
          </w:p>
        </w:tc>
        <w:tc>
          <w:tcPr>
            <w:tcW w:type="dxa" w:w="1872"/>
            <w:tcMar>
              <w:top w:type="dxa" w:w="60"/>
              <w:left w:type="dxa" w:w="100"/>
              <w:bottom w:type="dxa" w:w="60"/>
              <w:right w:type="dxa" w:w="100"/>
            </w:tcMar>
          </w:tcPr>
          <w:p>
            <w:pPr>
              <w:spacing w:after="20" w:before="20"/>
            </w:pPr>
            <w:r>
              <w:rPr>
                <w:sz w:val="19"/>
                <w:szCs w:val="19"/>
              </w:rPr>
              <w:t xml:space="preserve">Comparative case study; document analysis</w:t>
            </w:r>
          </w:p>
        </w:tc>
        <w:tc>
          <w:tcPr>
            <w:tcW w:type="dxa" w:w="1872"/>
            <w:tcMar>
              <w:top w:type="dxa" w:w="60"/>
              <w:left w:type="dxa" w:w="100"/>
              <w:bottom w:type="dxa" w:w="60"/>
              <w:right w:type="dxa" w:w="100"/>
            </w:tcMar>
          </w:tcPr>
          <w:p>
            <w:pPr>
              <w:spacing w:after="20" w:before="20"/>
            </w:pPr>
            <w:r>
              <w:rPr>
                <w:sz w:val="19"/>
                <w:szCs w:val="19"/>
              </w:rPr>
              <w:t xml:space="preserve">"Evidence-based analytical review" of secondary sources</w:t>
            </w:r>
          </w:p>
        </w:tc>
        <w:tc>
          <w:tcPr>
            <w:tcW w:type="dxa" w:w="1872"/>
            <w:tcMar>
              <w:top w:type="dxa" w:w="60"/>
              <w:left w:type="dxa" w:w="100"/>
              <w:bottom w:type="dxa" w:w="60"/>
              <w:right w:type="dxa" w:w="100"/>
            </w:tcMar>
          </w:tcPr>
          <w:p>
            <w:pPr>
              <w:spacing w:after="20" w:before="20"/>
            </w:pPr>
            <w:r>
              <w:rPr>
                <w:sz w:val="19"/>
                <w:szCs w:val="19"/>
              </w:rPr>
              <w:t xml:space="preserve">Conceptual argument + illustrative cases</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Cases / data</w:t>
            </w:r>
          </w:p>
        </w:tc>
        <w:tc>
          <w:tcPr>
            <w:tcW w:type="dxa" w:w="1872"/>
            <w:tcMar>
              <w:top w:type="dxa" w:w="60"/>
              <w:left w:type="dxa" w:w="100"/>
              <w:bottom w:type="dxa" w:w="60"/>
              <w:right w:type="dxa" w:w="100"/>
            </w:tcMar>
          </w:tcPr>
          <w:p>
            <w:pPr>
              <w:spacing w:after="20" w:before="20"/>
            </w:pPr>
            <w:r>
              <w:rPr>
                <w:sz w:val="19"/>
                <w:szCs w:val="19"/>
              </w:rPr>
              <w:t xml:space="preserve">2016 US election interference</w:t>
            </w:r>
          </w:p>
        </w:tc>
        <w:tc>
          <w:tcPr>
            <w:tcW w:type="dxa" w:w="1872"/>
            <w:tcMar>
              <w:top w:type="dxa" w:w="60"/>
              <w:left w:type="dxa" w:w="100"/>
              <w:bottom w:type="dxa" w:w="60"/>
              <w:right w:type="dxa" w:w="100"/>
            </w:tcMar>
          </w:tcPr>
          <w:p>
            <w:pPr>
              <w:spacing w:after="20" w:before="20"/>
            </w:pPr>
            <w:r>
              <w:rPr>
                <w:sz w:val="19"/>
                <w:szCs w:val="19"/>
              </w:rPr>
              <w:t xml:space="preserve">Aurora, GhostNet, OPM, Volt/Flax/Salt/Silk Typhoon; USCYBERCOM vs ISF/CSF</w:t>
            </w:r>
          </w:p>
        </w:tc>
        <w:tc>
          <w:tcPr>
            <w:tcW w:type="dxa" w:w="1872"/>
            <w:tcMar>
              <w:top w:type="dxa" w:w="60"/>
              <w:left w:type="dxa" w:w="100"/>
              <w:bottom w:type="dxa" w:w="60"/>
              <w:right w:type="dxa" w:w="100"/>
            </w:tcMar>
          </w:tcPr>
          <w:p>
            <w:pPr>
              <w:spacing w:after="20" w:before="20"/>
            </w:pPr>
            <w:r>
              <w:rPr>
                <w:sz w:val="19"/>
                <w:szCs w:val="19"/>
              </w:rPr>
              <w:t xml:space="preserve">Russia–Ukraine; Volt Typhoon; DPRK crypto ops; vendor trend data</w:t>
            </w:r>
          </w:p>
        </w:tc>
        <w:tc>
          <w:tcPr>
            <w:tcW w:type="dxa" w:w="1872"/>
            <w:tcMar>
              <w:top w:type="dxa" w:w="60"/>
              <w:left w:type="dxa" w:w="100"/>
              <w:bottom w:type="dxa" w:w="60"/>
              <w:right w:type="dxa" w:w="100"/>
            </w:tcMar>
          </w:tcPr>
          <w:p>
            <w:pPr>
              <w:spacing w:after="20" w:before="20"/>
            </w:pPr>
            <w:r>
              <w:rPr>
                <w:sz w:val="19"/>
                <w:szCs w:val="19"/>
              </w:rPr>
              <w:t xml:space="preserve">Volt Typhoon; Ukraine cyber defence; Jack Voltaic exercises</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Key concepts</w:t>
            </w:r>
          </w:p>
        </w:tc>
        <w:tc>
          <w:tcPr>
            <w:tcW w:type="dxa" w:w="1872"/>
            <w:tcMar>
              <w:top w:type="dxa" w:w="60"/>
              <w:left w:type="dxa" w:w="100"/>
              <w:bottom w:type="dxa" w:w="60"/>
              <w:right w:type="dxa" w:w="100"/>
            </w:tcMar>
          </w:tcPr>
          <w:p>
            <w:pPr>
              <w:spacing w:after="20" w:before="20"/>
            </w:pPr>
            <w:r>
              <w:rPr>
                <w:sz w:val="19"/>
                <w:szCs w:val="19"/>
              </w:rPr>
              <w:t xml:space="preserve">Subversion; reverse structural power; capability–vulnerability paradox</w:t>
            </w:r>
          </w:p>
        </w:tc>
        <w:tc>
          <w:tcPr>
            <w:tcW w:type="dxa" w:w="1872"/>
            <w:tcMar>
              <w:top w:type="dxa" w:w="60"/>
              <w:left w:type="dxa" w:w="100"/>
              <w:bottom w:type="dxa" w:w="60"/>
              <w:right w:type="dxa" w:w="100"/>
            </w:tcMar>
          </w:tcPr>
          <w:p>
            <w:pPr>
              <w:spacing w:after="20" w:before="20"/>
            </w:pPr>
            <w:r>
              <w:rPr>
                <w:sz w:val="19"/>
                <w:szCs w:val="19"/>
              </w:rPr>
              <w:t xml:space="preserve">Cyber sovereignty; militarisation; standard-setting</w:t>
            </w:r>
          </w:p>
        </w:tc>
        <w:tc>
          <w:tcPr>
            <w:tcW w:type="dxa" w:w="1872"/>
            <w:tcMar>
              <w:top w:type="dxa" w:w="60"/>
              <w:left w:type="dxa" w:w="100"/>
              <w:bottom w:type="dxa" w:w="60"/>
              <w:right w:type="dxa" w:w="100"/>
            </w:tcMar>
          </w:tcPr>
          <w:p>
            <w:pPr>
              <w:spacing w:after="20" w:before="20"/>
            </w:pPr>
            <w:r>
              <w:rPr>
                <w:sz w:val="19"/>
                <w:szCs w:val="19"/>
              </w:rPr>
              <w:t xml:space="preserve">AI-driven attacks; Zero Trust; RaaS</w:t>
            </w:r>
          </w:p>
        </w:tc>
        <w:tc>
          <w:tcPr>
            <w:tcW w:type="dxa" w:w="1872"/>
            <w:tcMar>
              <w:top w:type="dxa" w:w="60"/>
              <w:left w:type="dxa" w:w="100"/>
              <w:bottom w:type="dxa" w:w="60"/>
              <w:right w:type="dxa" w:w="100"/>
            </w:tcMar>
          </w:tcPr>
          <w:p>
            <w:pPr>
              <w:spacing w:after="20" w:before="20"/>
            </w:pPr>
            <w:r>
              <w:rPr>
                <w:sz w:val="19"/>
                <w:szCs w:val="19"/>
              </w:rPr>
              <w:t xml:space="preserve">Latent power; graceful extensibility; sustained adaptability; cyber campaigning</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Major argument</w:t>
            </w:r>
          </w:p>
        </w:tc>
        <w:tc>
          <w:tcPr>
            <w:tcW w:type="dxa" w:w="1872"/>
            <w:tcMar>
              <w:top w:type="dxa" w:w="60"/>
              <w:left w:type="dxa" w:w="100"/>
              <w:bottom w:type="dxa" w:w="60"/>
              <w:right w:type="dxa" w:w="100"/>
            </w:tcMar>
          </w:tcPr>
          <w:p>
            <w:pPr>
              <w:spacing w:after="20" w:before="20"/>
            </w:pPr>
            <w:r>
              <w:rPr>
                <w:sz w:val="19"/>
                <w:szCs w:val="19"/>
              </w:rPr>
              <w:t xml:space="preserve">Cyber operations are means of subversion, not warfare</w:t>
            </w:r>
          </w:p>
        </w:tc>
        <w:tc>
          <w:tcPr>
            <w:tcW w:type="dxa" w:w="1872"/>
            <w:tcMar>
              <w:top w:type="dxa" w:w="60"/>
              <w:left w:type="dxa" w:w="100"/>
              <w:bottom w:type="dxa" w:w="60"/>
              <w:right w:type="dxa" w:w="100"/>
            </w:tcMar>
          </w:tcPr>
          <w:p>
            <w:pPr>
              <w:spacing w:after="20" w:before="20"/>
            </w:pPr>
            <w:r>
              <w:rPr>
                <w:sz w:val="19"/>
                <w:szCs w:val="19"/>
              </w:rPr>
              <w:t xml:space="preserve">Governance divergence turns cyberspace into a standard-setting battleground</w:t>
            </w:r>
          </w:p>
        </w:tc>
        <w:tc>
          <w:tcPr>
            <w:tcW w:type="dxa" w:w="1872"/>
            <w:tcMar>
              <w:top w:type="dxa" w:w="60"/>
              <w:left w:type="dxa" w:w="100"/>
              <w:bottom w:type="dxa" w:w="60"/>
              <w:right w:type="dxa" w:w="100"/>
            </w:tcMar>
          </w:tcPr>
          <w:p>
            <w:pPr>
              <w:spacing w:after="20" w:before="20"/>
            </w:pPr>
            <w:r>
              <w:rPr>
                <w:sz w:val="19"/>
                <w:szCs w:val="19"/>
              </w:rPr>
              <w:t xml:space="preserve">AI has significantly boosted offensive operations</w:t>
            </w:r>
          </w:p>
        </w:tc>
        <w:tc>
          <w:tcPr>
            <w:tcW w:type="dxa" w:w="1872"/>
            <w:tcMar>
              <w:top w:type="dxa" w:w="60"/>
              <w:left w:type="dxa" w:w="100"/>
              <w:bottom w:type="dxa" w:w="60"/>
              <w:right w:type="dxa" w:w="100"/>
            </w:tcMar>
          </w:tcPr>
          <w:p>
            <w:pPr>
              <w:spacing w:after="20" w:before="20"/>
            </w:pPr>
            <w:r>
              <w:rPr>
                <w:sz w:val="19"/>
                <w:szCs w:val="19"/>
              </w:rPr>
              <w:t xml:space="preserve">Resilience is a practice and operational capability, not a state</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Principal finding</w:t>
            </w:r>
          </w:p>
        </w:tc>
        <w:tc>
          <w:tcPr>
            <w:tcW w:type="dxa" w:w="1872"/>
            <w:tcMar>
              <w:top w:type="dxa" w:w="60"/>
              <w:left w:type="dxa" w:w="100"/>
              <w:bottom w:type="dxa" w:w="60"/>
              <w:right w:type="dxa" w:w="100"/>
            </w:tcMar>
          </w:tcPr>
          <w:p>
            <w:pPr>
              <w:spacing w:after="20" w:before="20"/>
            </w:pPr>
            <w:r>
              <w:rPr>
                <w:sz w:val="19"/>
                <w:szCs w:val="19"/>
              </w:rPr>
              <w:t xml:space="preserve">Reverse structural power resolves the capability–vulnerability paradox</w:t>
            </w:r>
          </w:p>
        </w:tc>
        <w:tc>
          <w:tcPr>
            <w:tcW w:type="dxa" w:w="1872"/>
            <w:tcMar>
              <w:top w:type="dxa" w:w="60"/>
              <w:left w:type="dxa" w:w="100"/>
              <w:bottom w:type="dxa" w:w="60"/>
              <w:right w:type="dxa" w:w="100"/>
            </w:tcMar>
          </w:tcPr>
          <w:p>
            <w:pPr>
              <w:spacing w:after="20" w:before="20"/>
            </w:pPr>
            <w:r>
              <w:rPr>
                <w:sz w:val="19"/>
                <w:szCs w:val="19"/>
              </w:rPr>
              <w:t xml:space="preserve">Competition operates across three interconnected dimensions</w:t>
            </w:r>
          </w:p>
        </w:tc>
        <w:tc>
          <w:tcPr>
            <w:tcW w:type="dxa" w:w="1872"/>
            <w:tcMar>
              <w:top w:type="dxa" w:w="60"/>
              <w:left w:type="dxa" w:w="100"/>
              <w:bottom w:type="dxa" w:w="60"/>
              <w:right w:type="dxa" w:w="100"/>
            </w:tcMar>
          </w:tcPr>
          <w:p>
            <w:pPr>
              <w:spacing w:after="20" w:before="20"/>
            </w:pPr>
            <w:r>
              <w:rPr>
                <w:sz w:val="19"/>
                <w:szCs w:val="19"/>
              </w:rPr>
              <w:t xml:space="preserve">Defenders are behind on AI-enabled offence</w:t>
            </w:r>
          </w:p>
        </w:tc>
        <w:tc>
          <w:tcPr>
            <w:tcW w:type="dxa" w:w="1872"/>
            <w:tcMar>
              <w:top w:type="dxa" w:w="60"/>
              <w:left w:type="dxa" w:w="100"/>
              <w:bottom w:type="dxa" w:w="60"/>
              <w:right w:type="dxa" w:w="100"/>
            </w:tcMar>
          </w:tcPr>
          <w:p>
            <w:pPr>
              <w:spacing w:after="20" w:before="20"/>
            </w:pPr>
            <w:r>
              <w:rPr>
                <w:sz w:val="19"/>
                <w:szCs w:val="19"/>
              </w:rPr>
              <w:t xml:space="preserve">Prevailing (NIST) resilience definitions are insufficient for conflict</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Limitations acknowledged</w:t>
            </w:r>
          </w:p>
        </w:tc>
        <w:tc>
          <w:tcPr>
            <w:tcW w:type="dxa" w:w="1872"/>
            <w:tcMar>
              <w:top w:type="dxa" w:w="60"/>
              <w:left w:type="dxa" w:w="100"/>
              <w:bottom w:type="dxa" w:w="60"/>
              <w:right w:type="dxa" w:w="100"/>
            </w:tcMar>
          </w:tcPr>
          <w:p>
            <w:pPr>
              <w:spacing w:after="20" w:before="20"/>
            </w:pPr>
            <w:r>
              <w:rPr>
                <w:sz w:val="19"/>
                <w:szCs w:val="19"/>
              </w:rPr>
              <w:t xml:space="preserve">"Plausibility probe" only; single case</w:t>
            </w:r>
          </w:p>
        </w:tc>
        <w:tc>
          <w:tcPr>
            <w:tcW w:type="dxa" w:w="1872"/>
            <w:tcMar>
              <w:top w:type="dxa" w:w="60"/>
              <w:left w:type="dxa" w:w="100"/>
              <w:bottom w:type="dxa" w:w="60"/>
              <w:right w:type="dxa" w:w="100"/>
            </w:tcMar>
          </w:tcPr>
          <w:p>
            <w:pPr>
              <w:spacing w:after="20" w:before="20"/>
            </w:pPr>
            <w:r>
              <w:rPr>
                <w:sz w:val="19"/>
                <w:szCs w:val="19"/>
              </w:rPr>
              <w:t xml:space="preserve">Review article; open-source reliance</w:t>
            </w:r>
          </w:p>
        </w:tc>
        <w:tc>
          <w:tcPr>
            <w:tcW w:type="dxa" w:w="1872"/>
            <w:tcMar>
              <w:top w:type="dxa" w:w="60"/>
              <w:left w:type="dxa" w:w="100"/>
              <w:bottom w:type="dxa" w:w="60"/>
              <w:right w:type="dxa" w:w="100"/>
            </w:tcMar>
          </w:tcPr>
          <w:p>
            <w:pPr>
              <w:spacing w:after="20" w:before="20"/>
            </w:pPr>
            <w:r>
              <w:rPr>
                <w:b/>
                <w:bCs/>
                <w:sz w:val="19"/>
                <w:szCs w:val="19"/>
              </w:rPr>
              <w:t xml:space="preserve">None stated</w:t>
            </w:r>
          </w:p>
        </w:tc>
        <w:tc>
          <w:tcPr>
            <w:tcW w:type="dxa" w:w="1872"/>
            <w:tcMar>
              <w:top w:type="dxa" w:w="60"/>
              <w:left w:type="dxa" w:w="100"/>
              <w:bottom w:type="dxa" w:w="60"/>
              <w:right w:type="dxa" w:w="100"/>
            </w:tcMar>
          </w:tcPr>
          <w:p>
            <w:pPr>
              <w:spacing w:after="20" w:before="20"/>
            </w:pPr>
            <w:r>
              <w:rPr>
                <w:sz w:val="19"/>
                <w:szCs w:val="19"/>
              </w:rPr>
              <w:t xml:space="preserve">NGram evidence "more illustrative than" probative</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Policy recommendations</w:t>
            </w:r>
          </w:p>
        </w:tc>
        <w:tc>
          <w:tcPr>
            <w:tcW w:type="dxa" w:w="1872"/>
            <w:tcMar>
              <w:top w:type="dxa" w:w="60"/>
              <w:left w:type="dxa" w:w="100"/>
              <w:bottom w:type="dxa" w:w="60"/>
              <w:right w:type="dxa" w:w="100"/>
            </w:tcMar>
          </w:tcPr>
          <w:p>
            <w:pPr>
              <w:spacing w:after="20" w:before="20"/>
            </w:pPr>
            <w:r>
              <w:rPr>
                <w:sz w:val="19"/>
                <w:szCs w:val="19"/>
              </w:rPr>
              <w:t xml:space="preserve">None (theory article)</w:t>
            </w:r>
          </w:p>
        </w:tc>
        <w:tc>
          <w:tcPr>
            <w:tcW w:type="dxa" w:w="1872"/>
            <w:tcMar>
              <w:top w:type="dxa" w:w="60"/>
              <w:left w:type="dxa" w:w="100"/>
              <w:bottom w:type="dxa" w:w="60"/>
              <w:right w:type="dxa" w:w="100"/>
            </w:tcMar>
          </w:tcPr>
          <w:p>
            <w:pPr>
              <w:spacing w:after="20" w:before="20"/>
            </w:pPr>
            <w:r>
              <w:rPr>
                <w:sz w:val="19"/>
                <w:szCs w:val="19"/>
              </w:rPr>
              <w:t xml:space="preserve">Governance and confidence-building implications</w:t>
            </w:r>
          </w:p>
        </w:tc>
        <w:tc>
          <w:tcPr>
            <w:tcW w:type="dxa" w:w="1872"/>
            <w:tcMar>
              <w:top w:type="dxa" w:w="60"/>
              <w:left w:type="dxa" w:w="100"/>
              <w:bottom w:type="dxa" w:w="60"/>
              <w:right w:type="dxa" w:w="100"/>
            </w:tcMar>
          </w:tcPr>
          <w:p>
            <w:pPr>
              <w:spacing w:after="20" w:before="20"/>
            </w:pPr>
            <w:r>
              <w:rPr>
                <w:sz w:val="19"/>
                <w:szCs w:val="19"/>
              </w:rPr>
              <w:t xml:space="preserve">Tabulated by priority area, 2025–2030</w:t>
            </w:r>
          </w:p>
        </w:tc>
        <w:tc>
          <w:tcPr>
            <w:tcW w:type="dxa" w:w="1872"/>
            <w:tcMar>
              <w:top w:type="dxa" w:w="60"/>
              <w:left w:type="dxa" w:w="100"/>
              <w:bottom w:type="dxa" w:w="60"/>
              <w:right w:type="dxa" w:w="100"/>
            </w:tcMar>
          </w:tcPr>
          <w:p>
            <w:pPr>
              <w:spacing w:after="20" w:before="20"/>
            </w:pPr>
            <w:r>
              <w:rPr>
                <w:sz w:val="19"/>
                <w:szCs w:val="19"/>
              </w:rPr>
              <w:t xml:space="preserve">Deterrence by denial; civil-military integration</w:t>
            </w:r>
          </w:p>
        </w:tc>
      </w:tr>
      <w:tr>
        <w:trPr>
          <w:tblHeader w:val="false"/>
        </w:trPr>
        <w:tc>
          <w:tcPr>
            <w:tcW w:type="dxa" w:w="1872"/>
            <w:tcMar>
              <w:top w:type="dxa" w:w="60"/>
              <w:left w:type="dxa" w:w="100"/>
              <w:bottom w:type="dxa" w:w="60"/>
              <w:right w:type="dxa" w:w="100"/>
            </w:tcMar>
          </w:tcPr>
          <w:p>
            <w:pPr>
              <w:spacing w:after="20" w:before="20"/>
            </w:pPr>
            <w:r>
              <w:rPr>
                <w:rFonts w:ascii="Consolas" w:cs="Consolas" w:eastAsia="Consolas" w:hAnsi="Consolas"/>
                <w:b/>
                <w:bCs/>
                <w:sz w:val="19"/>
                <w:szCs w:val="19"/>
              </w:rPr>
              <w:t xml:space="preserve">offense-defense</w:t>
            </w:r>
          </w:p>
        </w:tc>
        <w:tc>
          <w:tcPr>
            <w:tcW w:type="dxa" w:w="1872"/>
            <w:tcMar>
              <w:top w:type="dxa" w:w="60"/>
              <w:left w:type="dxa" w:w="100"/>
              <w:bottom w:type="dxa" w:w="60"/>
              <w:right w:type="dxa" w:w="100"/>
            </w:tcMar>
          </w:tcPr>
          <w:p>
            <w:pPr>
              <w:spacing w:after="20" w:before="20"/>
            </w:pPr>
            <w:r>
              <w:rPr>
                <w:b/>
                <w:bCs/>
                <w:sz w:val="19"/>
                <w:szCs w:val="19"/>
              </w:rPr>
              <w:t xml:space="preserve">2</w:t>
            </w:r>
            <w:r>
              <w:rPr>
                <w:sz w:val="19"/>
                <w:szCs w:val="19"/>
              </w:rPr>
              <w:t xml:space="preserve"> (one dismissive sentence + one bibliography entry)</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b/>
                <w:bCs/>
                <w:sz w:val="19"/>
                <w:szCs w:val="19"/>
              </w:rPr>
              <w:t xml:space="preserve">0</w:t>
            </w:r>
          </w:p>
        </w:tc>
      </w:tr>
      <w:tr>
        <w:trPr>
          <w:tblHeader w:val="false"/>
        </w:trPr>
        <w:tc>
          <w:tcPr>
            <w:tcW w:type="dxa" w:w="1872"/>
            <w:tcMar>
              <w:top w:type="dxa" w:w="60"/>
              <w:left w:type="dxa" w:w="100"/>
              <w:bottom w:type="dxa" w:w="60"/>
              <w:right w:type="dxa" w:w="100"/>
            </w:tcMar>
          </w:tcPr>
          <w:p>
            <w:pPr>
              <w:spacing w:after="20" w:before="20"/>
            </w:pPr>
            <w:r>
              <w:rPr>
                <w:rFonts w:ascii="Consolas" w:cs="Consolas" w:eastAsia="Consolas" w:hAnsi="Consolas"/>
                <w:b/>
                <w:bCs/>
                <w:sz w:val="19"/>
                <w:szCs w:val="19"/>
              </w:rPr>
              <w:t xml:space="preserve">artificial intelligence</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sz w:val="19"/>
                <w:szCs w:val="19"/>
              </w:rPr>
              <w:t xml:space="preserve">present</w:t>
            </w:r>
          </w:p>
        </w:tc>
        <w:tc>
          <w:tcPr>
            <w:tcW w:type="dxa" w:w="1872"/>
            <w:tcMar>
              <w:top w:type="dxa" w:w="60"/>
              <w:left w:type="dxa" w:w="100"/>
              <w:bottom w:type="dxa" w:w="60"/>
              <w:right w:type="dxa" w:w="100"/>
            </w:tcMar>
          </w:tcPr>
          <w:p>
            <w:pPr>
              <w:spacing w:after="20" w:before="20"/>
            </w:pPr>
            <w:r>
              <w:rPr>
                <w:b/>
                <w:bCs/>
                <w:sz w:val="19"/>
                <w:szCs w:val="19"/>
              </w:rPr>
              <w:t xml:space="preserve">0</w:t>
            </w:r>
          </w:p>
        </w:tc>
      </w:tr>
      <w:tr>
        <w:trPr>
          <w:tblHeader w:val="false"/>
        </w:trPr>
        <w:tc>
          <w:tcPr>
            <w:tcW w:type="dxa" w:w="1872"/>
            <w:tcMar>
              <w:top w:type="dxa" w:w="60"/>
              <w:left w:type="dxa" w:w="100"/>
              <w:bottom w:type="dxa" w:w="60"/>
              <w:right w:type="dxa" w:w="100"/>
            </w:tcMar>
          </w:tcPr>
          <w:p>
            <w:pPr>
              <w:spacing w:after="20" w:before="20"/>
            </w:pPr>
            <w:r>
              <w:rPr>
                <w:rFonts w:ascii="Consolas" w:cs="Consolas" w:eastAsia="Consolas" w:hAnsi="Consolas"/>
                <w:b/>
                <w:bCs/>
                <w:sz w:val="19"/>
                <w:szCs w:val="19"/>
              </w:rPr>
              <w:t xml:space="preserve">agentic</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b/>
                <w:bCs/>
                <w:sz w:val="19"/>
                <w:szCs w:val="19"/>
              </w:rPr>
              <w:t xml:space="preserve">0</w:t>
            </w:r>
          </w:p>
        </w:tc>
      </w:tr>
      <w:tr>
        <w:trPr>
          <w:tblHeader w:val="false"/>
        </w:trPr>
        <w:tc>
          <w:tcPr>
            <w:tcW w:type="dxa" w:w="1872"/>
            <w:tcMar>
              <w:top w:type="dxa" w:w="60"/>
              <w:left w:type="dxa" w:w="100"/>
              <w:bottom w:type="dxa" w:w="60"/>
              <w:right w:type="dxa" w:w="100"/>
            </w:tcMar>
          </w:tcPr>
          <w:p>
            <w:pPr>
              <w:spacing w:after="20" w:before="20"/>
            </w:pPr>
            <w:r>
              <w:rPr>
                <w:rFonts w:ascii="Consolas" w:cs="Consolas" w:eastAsia="Consolas" w:hAnsi="Consolas"/>
                <w:b/>
                <w:bCs/>
                <w:sz w:val="19"/>
                <w:szCs w:val="19"/>
              </w:rPr>
              <w:t xml:space="preserve">Volt Typhoon</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sz w:val="19"/>
                <w:szCs w:val="19"/>
              </w:rPr>
              <w:t xml:space="preserve">6</w:t>
            </w:r>
          </w:p>
        </w:tc>
        <w:tc>
          <w:tcPr>
            <w:tcW w:type="dxa" w:w="1872"/>
            <w:tcMar>
              <w:top w:type="dxa" w:w="60"/>
              <w:left w:type="dxa" w:w="100"/>
              <w:bottom w:type="dxa" w:w="60"/>
              <w:right w:type="dxa" w:w="100"/>
            </w:tcMar>
          </w:tcPr>
          <w:p>
            <w:pPr>
              <w:spacing w:after="20" w:before="20"/>
            </w:pPr>
            <w:r>
              <w:rPr>
                <w:sz w:val="19"/>
                <w:szCs w:val="19"/>
              </w:rPr>
              <w:t xml:space="preserve">2</w:t>
            </w:r>
          </w:p>
        </w:tc>
        <w:tc>
          <w:tcPr>
            <w:tcW w:type="dxa" w:w="1872"/>
            <w:tcMar>
              <w:top w:type="dxa" w:w="60"/>
              <w:left w:type="dxa" w:w="100"/>
              <w:bottom w:type="dxa" w:w="60"/>
              <w:right w:type="dxa" w:w="100"/>
            </w:tcMar>
          </w:tcPr>
          <w:p>
            <w:pPr>
              <w:spacing w:after="20" w:before="20"/>
            </w:pPr>
            <w:r>
              <w:rPr>
                <w:b/>
                <w:bCs/>
                <w:sz w:val="19"/>
                <w:szCs w:val="19"/>
              </w:rPr>
              <w:t xml:space="preserve">13</w:t>
            </w:r>
          </w:p>
        </w:tc>
      </w:tr>
      <w:tr>
        <w:trPr>
          <w:tblHeader w:val="false"/>
        </w:trPr>
        <w:tc>
          <w:tcPr>
            <w:tcW w:type="dxa" w:w="1872"/>
            <w:tcMar>
              <w:top w:type="dxa" w:w="60"/>
              <w:left w:type="dxa" w:w="100"/>
              <w:bottom w:type="dxa" w:w="60"/>
              <w:right w:type="dxa" w:w="100"/>
            </w:tcMar>
          </w:tcPr>
          <w:p>
            <w:pPr>
              <w:spacing w:after="20" w:before="20"/>
            </w:pPr>
            <w:r>
              <w:rPr>
                <w:rFonts w:ascii="Consolas" w:cs="Consolas" w:eastAsia="Consolas" w:hAnsi="Consolas"/>
                <w:b/>
                <w:bCs/>
                <w:sz w:val="19"/>
                <w:szCs w:val="19"/>
              </w:rPr>
              <w:t xml:space="preserve">pre-position*</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b/>
                <w:bCs/>
                <w:sz w:val="19"/>
                <w:szCs w:val="19"/>
              </w:rPr>
              <w:t xml:space="preserve">3</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Relevance to RQ</w:t>
            </w:r>
          </w:p>
        </w:tc>
        <w:tc>
          <w:tcPr>
            <w:tcW w:type="dxa" w:w="1872"/>
            <w:tcMar>
              <w:top w:type="dxa" w:w="60"/>
              <w:left w:type="dxa" w:w="100"/>
              <w:bottom w:type="dxa" w:w="60"/>
              <w:right w:type="dxa" w:w="100"/>
            </w:tcMar>
          </w:tcPr>
          <w:p>
            <w:pPr>
              <w:spacing w:after="20" w:before="20"/>
            </w:pPr>
            <w:r>
              <w:rPr>
                <w:sz w:val="19"/>
                <w:szCs w:val="19"/>
              </w:rPr>
              <w:t xml:space="preserve">Baseline statement that offence–defence framing is </w:t>
            </w:r>
            <w:r>
              <w:rPr>
                <w:i/>
                <w:iCs/>
                <w:sz w:val="19"/>
                <w:szCs w:val="19"/>
              </w:rPr>
              <w:t xml:space="preserve">wrong</w:t>
            </w:r>
            <w:r>
              <w:rPr>
                <w:sz w:val="19"/>
                <w:szCs w:val="19"/>
              </w:rPr>
              <w:t xml:space="preserve"> for cyber</w:t>
            </w:r>
          </w:p>
        </w:tc>
        <w:tc>
          <w:tcPr>
            <w:tcW w:type="dxa" w:w="1872"/>
            <w:tcMar>
              <w:top w:type="dxa" w:w="60"/>
              <w:left w:type="dxa" w:w="100"/>
              <w:bottom w:type="dxa" w:w="60"/>
              <w:right w:type="dxa" w:w="100"/>
            </w:tcMar>
          </w:tcPr>
          <w:p>
            <w:pPr>
              <w:spacing w:after="20" w:before="20"/>
            </w:pPr>
            <w:r>
              <w:rPr>
                <w:sz w:val="19"/>
                <w:szCs w:val="19"/>
              </w:rPr>
              <w:t xml:space="preserve">Contested attribution of Volt Typhoon; PRC counter-narrative</w:t>
            </w:r>
          </w:p>
        </w:tc>
        <w:tc>
          <w:tcPr>
            <w:tcW w:type="dxa" w:w="1872"/>
            <w:tcMar>
              <w:top w:type="dxa" w:w="60"/>
              <w:left w:type="dxa" w:w="100"/>
              <w:bottom w:type="dxa" w:w="60"/>
              <w:right w:type="dxa" w:w="100"/>
            </w:tcMar>
          </w:tcPr>
          <w:p>
            <w:pPr>
              <w:spacing w:after="20" w:before="20"/>
            </w:pPr>
            <w:r>
              <w:rPr>
                <w:sz w:val="19"/>
                <w:szCs w:val="19"/>
              </w:rPr>
              <w:t xml:space="preserve">Only corpus paper linking AI autonomy to offensive operations</w:t>
            </w:r>
          </w:p>
        </w:tc>
        <w:tc>
          <w:tcPr>
            <w:tcW w:type="dxa" w:w="1872"/>
            <w:tcMar>
              <w:top w:type="dxa" w:w="60"/>
              <w:left w:type="dxa" w:w="100"/>
              <w:bottom w:type="dxa" w:w="60"/>
              <w:right w:type="dxa" w:w="100"/>
            </w:tcMar>
          </w:tcPr>
          <w:p>
            <w:pPr>
              <w:spacing w:after="20" w:before="20"/>
            </w:pPr>
            <w:r>
              <w:rPr>
                <w:b/>
                <w:bCs/>
                <w:sz w:val="19"/>
                <w:szCs w:val="19"/>
              </w:rPr>
              <w:t xml:space="preserve">Anchor paper</w:t>
            </w:r>
            <w:r>
              <w:rPr>
                <w:sz w:val="19"/>
                <w:szCs w:val="19"/>
              </w:rPr>
              <w:t xml:space="preserve">: pre-positioning as strategic signal</w:t>
            </w:r>
          </w:p>
        </w:tc>
      </w:tr>
    </w:tbl>
    <w:p>
      <w:pPr>
        <w:spacing w:after="160"/>
      </w:pPr>
      <w:r>
        <w:t xml:space="preserve"/>
      </w:r>
    </w:p>
    <w:p>
      <w:pPr>
        <w:pStyle w:val="Heading2"/>
        <w:keepNext/>
        <w:spacing w:after="140" w:before="240"/>
      </w:pPr>
      <w:r>
        <w:t xml:space="preserve">Evidence matrix (continued)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2" w:color="auto" w:val="clear"/>
            <w:tcMar>
              <w:top w:type="dxa" w:w="60"/>
              <w:left w:type="dxa" w:w="100"/>
              <w:bottom w:type="dxa" w:w="60"/>
              <w:right w:type="dxa" w:w="100"/>
            </w:tcMar>
          </w:tcPr>
          <w:p>
            <w:pPr>
              <w:spacing w:after="20" w:before="20"/>
            </w:pPr>
            <w:r>
              <w:rPr>
                <w:b/>
                <w:bCs/>
                <w:sz w:val="19"/>
                <w:szCs w:val="19"/>
              </w:rPr>
              <w:t xml:space="preserve"/>
            </w:r>
          </w:p>
        </w:tc>
        <w:tc>
          <w:tcPr>
            <w:tcW w:type="dxa" w:w="3120"/>
            <w:shd w:fill="E8EDF2" w:color="auto" w:val="clear"/>
            <w:tcMar>
              <w:top w:type="dxa" w:w="60"/>
              <w:left w:type="dxa" w:w="100"/>
              <w:bottom w:type="dxa" w:w="60"/>
              <w:right w:type="dxa" w:w="100"/>
            </w:tcMar>
          </w:tcPr>
          <w:p>
            <w:pPr>
              <w:spacing w:after="20" w:before="20"/>
            </w:pPr>
            <w:r>
              <w:rPr>
                <w:b/>
                <w:bCs/>
                <w:sz w:val="19"/>
                <w:szCs w:val="19"/>
              </w:rPr>
              <w:t xml:space="preserve">Sullivan (2025)</w:t>
            </w:r>
          </w:p>
        </w:tc>
        <w:tc>
          <w:tcPr>
            <w:tcW w:type="dxa" w:w="3120"/>
            <w:shd w:fill="E8EDF2" w:color="auto" w:val="clear"/>
            <w:tcMar>
              <w:top w:type="dxa" w:w="60"/>
              <w:left w:type="dxa" w:w="100"/>
              <w:bottom w:type="dxa" w:w="60"/>
              <w:right w:type="dxa" w:w="100"/>
            </w:tcMar>
          </w:tcPr>
          <w:p>
            <w:pPr>
              <w:spacing w:after="20" w:before="20"/>
            </w:pPr>
            <w:r>
              <w:rPr>
                <w:b/>
                <w:bCs/>
                <w:sz w:val="19"/>
                <w:szCs w:val="19"/>
              </w:rPr>
              <w:t xml:space="preserve">Baram (2026)</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Venue</w:t>
            </w:r>
          </w:p>
        </w:tc>
        <w:tc>
          <w:tcPr>
            <w:tcW w:type="dxa" w:w="3120"/>
            <w:tcMar>
              <w:top w:type="dxa" w:w="60"/>
              <w:left w:type="dxa" w:w="100"/>
              <w:bottom w:type="dxa" w:w="60"/>
              <w:right w:type="dxa" w:w="100"/>
            </w:tcMar>
          </w:tcPr>
          <w:p>
            <w:pPr>
              <w:spacing w:after="20" w:before="20"/>
            </w:pPr>
            <w:r>
              <w:rPr>
                <w:i/>
                <w:iCs/>
                <w:sz w:val="19"/>
                <w:szCs w:val="19"/>
              </w:rPr>
              <w:t xml:space="preserve">The Cyber Defense Review</w:t>
            </w:r>
            <w:r>
              <w:rPr>
                <w:sz w:val="19"/>
                <w:szCs w:val="19"/>
              </w:rPr>
              <w:t xml:space="preserve"> 10(1)</w:t>
            </w:r>
          </w:p>
        </w:tc>
        <w:tc>
          <w:tcPr>
            <w:tcW w:type="dxa" w:w="3120"/>
            <w:tcMar>
              <w:top w:type="dxa" w:w="60"/>
              <w:left w:type="dxa" w:w="100"/>
              <w:bottom w:type="dxa" w:w="60"/>
              <w:right w:type="dxa" w:w="100"/>
            </w:tcMar>
          </w:tcPr>
          <w:p>
            <w:pPr>
              <w:spacing w:after="20" w:before="20"/>
            </w:pPr>
            <w:r>
              <w:rPr>
                <w:b/>
                <w:bCs/>
                <w:i/>
                <w:iCs/>
                <w:sz w:val="19"/>
                <w:szCs w:val="19"/>
              </w:rPr>
              <w:t xml:space="preserve">Contemporary Security Policy</w:t>
            </w:r>
            <w:r>
              <w:rPr>
                <w:sz w:val="19"/>
                <w:szCs w:val="19"/>
              </w:rPr>
              <w:t xml:space="preserve"> (ranked)</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Objective</w:t>
            </w:r>
          </w:p>
        </w:tc>
        <w:tc>
          <w:tcPr>
            <w:tcW w:type="dxa" w:w="3120"/>
            <w:tcMar>
              <w:top w:type="dxa" w:w="60"/>
              <w:left w:type="dxa" w:w="100"/>
              <w:bottom w:type="dxa" w:w="60"/>
              <w:right w:type="dxa" w:w="100"/>
            </w:tcMar>
          </w:tcPr>
          <w:p>
            <w:pPr>
              <w:spacing w:after="20" w:before="20"/>
            </w:pPr>
            <w:r>
              <w:rPr>
                <w:sz w:val="19"/>
                <w:szCs w:val="19"/>
              </w:rPr>
              <w:t xml:space="preserve">Explain and remedy the "fog of law" in cyber</w:t>
            </w:r>
          </w:p>
        </w:tc>
        <w:tc>
          <w:tcPr>
            <w:tcW w:type="dxa" w:w="3120"/>
            <w:tcMar>
              <w:top w:type="dxa" w:w="60"/>
              <w:left w:type="dxa" w:w="100"/>
              <w:bottom w:type="dxa" w:w="60"/>
              <w:right w:type="dxa" w:w="100"/>
            </w:tcMar>
          </w:tcPr>
          <w:p>
            <w:pPr>
              <w:spacing w:after="20" w:before="20"/>
            </w:pPr>
            <w:r>
              <w:rPr>
                <w:sz w:val="19"/>
                <w:szCs w:val="19"/>
              </w:rPr>
              <w:t xml:space="preserve">Explain variation in joint public attribution</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Research question</w:t>
            </w:r>
          </w:p>
        </w:tc>
        <w:tc>
          <w:tcPr>
            <w:tcW w:type="dxa" w:w="3120"/>
            <w:tcMar>
              <w:top w:type="dxa" w:w="60"/>
              <w:left w:type="dxa" w:w="100"/>
              <w:bottom w:type="dxa" w:w="60"/>
              <w:right w:type="dxa" w:w="100"/>
            </w:tcMar>
          </w:tcPr>
          <w:p>
            <w:pPr>
              <w:spacing w:after="20" w:before="20"/>
            </w:pPr>
            <w:r>
              <w:rPr>
                <w:sz w:val="19"/>
                <w:szCs w:val="19"/>
              </w:rPr>
              <w:t xml:space="preserve">Not formal</w:t>
            </w:r>
          </w:p>
        </w:tc>
        <w:tc>
          <w:tcPr>
            <w:tcW w:type="dxa" w:w="3120"/>
            <w:tcMar>
              <w:top w:type="dxa" w:w="60"/>
              <w:left w:type="dxa" w:w="100"/>
              <w:bottom w:type="dxa" w:w="60"/>
              <w:right w:type="dxa" w:w="100"/>
            </w:tcMar>
          </w:tcPr>
          <w:p>
            <w:pPr>
              <w:spacing w:after="20" w:before="20"/>
            </w:pPr>
            <w:r>
              <w:rPr>
                <w:sz w:val="19"/>
                <w:szCs w:val="19"/>
              </w:rPr>
              <w:t xml:space="preserve">Why do states attribute jointly, and why in one form over another?</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Theoretical framework</w:t>
            </w:r>
          </w:p>
        </w:tc>
        <w:tc>
          <w:tcPr>
            <w:tcW w:type="dxa" w:w="3120"/>
            <w:tcMar>
              <w:top w:type="dxa" w:w="60"/>
              <w:left w:type="dxa" w:w="100"/>
              <w:bottom w:type="dxa" w:w="60"/>
              <w:right w:type="dxa" w:w="100"/>
            </w:tcMar>
          </w:tcPr>
          <w:p>
            <w:pPr>
              <w:spacing w:after="20" w:before="20"/>
            </w:pPr>
            <w:r>
              <w:rPr>
                <w:sz w:val="19"/>
                <w:szCs w:val="19"/>
              </w:rPr>
              <w:t xml:space="preserve">Rules vs standards; deterrence vs Cyber Persistence Theory</w:t>
            </w:r>
          </w:p>
        </w:tc>
        <w:tc>
          <w:tcPr>
            <w:tcW w:type="dxa" w:w="3120"/>
            <w:tcMar>
              <w:top w:type="dxa" w:w="60"/>
              <w:left w:type="dxa" w:w="100"/>
              <w:bottom w:type="dxa" w:w="60"/>
              <w:right w:type="dxa" w:w="100"/>
            </w:tcMar>
          </w:tcPr>
          <w:p>
            <w:pPr>
              <w:spacing w:after="20" w:before="20"/>
            </w:pPr>
            <w:r>
              <w:rPr>
                <w:sz w:val="19"/>
                <w:szCs w:val="19"/>
              </w:rPr>
              <w:t xml:space="preserve">Cyber norms; deterrence signalling; alliance politics</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Methodology</w:t>
            </w:r>
          </w:p>
        </w:tc>
        <w:tc>
          <w:tcPr>
            <w:tcW w:type="dxa" w:w="3120"/>
            <w:tcMar>
              <w:top w:type="dxa" w:w="60"/>
              <w:left w:type="dxa" w:w="100"/>
              <w:bottom w:type="dxa" w:w="60"/>
              <w:right w:type="dxa" w:w="100"/>
            </w:tcMar>
          </w:tcPr>
          <w:p>
            <w:pPr>
              <w:spacing w:after="20" w:before="20"/>
            </w:pPr>
            <w:r>
              <w:rPr>
                <w:sz w:val="19"/>
                <w:szCs w:val="19"/>
              </w:rPr>
              <w:t xml:space="preserve">Doctrinal legal analysis of DoD </w:t>
            </w:r>
            <w:r>
              <w:rPr>
                <w:i/>
                <w:iCs/>
                <w:sz w:val="19"/>
                <w:szCs w:val="19"/>
              </w:rPr>
              <w:t xml:space="preserve">Law of War Manual</w:t>
            </w:r>
          </w:p>
        </w:tc>
        <w:tc>
          <w:tcPr>
            <w:tcW w:type="dxa" w:w="3120"/>
            <w:tcMar>
              <w:top w:type="dxa" w:w="60"/>
              <w:left w:type="dxa" w:w="100"/>
              <w:bottom w:type="dxa" w:w="60"/>
              <w:right w:type="dxa" w:w="100"/>
            </w:tcMar>
          </w:tcPr>
          <w:p>
            <w:pPr>
              <w:spacing w:after="20" w:before="20"/>
            </w:pPr>
            <w:r>
              <w:rPr>
                <w:b/>
                <w:bCs/>
                <w:sz w:val="19"/>
                <w:szCs w:val="19"/>
              </w:rPr>
              <w:t xml:space="preserve">Typology + coding of 20 incidents, EuRepoC dataset, 2015–2025</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Cases / data</w:t>
            </w:r>
          </w:p>
        </w:tc>
        <w:tc>
          <w:tcPr>
            <w:tcW w:type="dxa" w:w="3120"/>
            <w:tcMar>
              <w:top w:type="dxa" w:w="60"/>
              <w:left w:type="dxa" w:w="100"/>
              <w:bottom w:type="dxa" w:w="60"/>
              <w:right w:type="dxa" w:w="100"/>
            </w:tcMar>
          </w:tcPr>
          <w:p>
            <w:pPr>
              <w:spacing w:after="20" w:before="20"/>
            </w:pPr>
            <w:r>
              <w:rPr>
                <w:sz w:val="19"/>
                <w:szCs w:val="19"/>
              </w:rPr>
              <w:t xml:space="preserve">Volt Typhoon, Salt Typhoon (passing); Stuxnet</w:t>
            </w:r>
          </w:p>
        </w:tc>
        <w:tc>
          <w:tcPr>
            <w:tcW w:type="dxa" w:w="3120"/>
            <w:tcMar>
              <w:top w:type="dxa" w:w="60"/>
              <w:left w:type="dxa" w:w="100"/>
              <w:bottom w:type="dxa" w:w="60"/>
              <w:right w:type="dxa" w:w="100"/>
            </w:tcMar>
          </w:tcPr>
          <w:p>
            <w:pPr>
              <w:spacing w:after="20" w:before="20"/>
            </w:pPr>
            <w:r>
              <w:rPr>
                <w:sz w:val="19"/>
                <w:szCs w:val="19"/>
              </w:rPr>
              <w:t xml:space="preserve">20 joint attribution cases; Russia 11, China 7, DPRK 1, Iran 1</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Key concepts</w:t>
            </w:r>
          </w:p>
        </w:tc>
        <w:tc>
          <w:tcPr>
            <w:tcW w:type="dxa" w:w="3120"/>
            <w:tcMar>
              <w:top w:type="dxa" w:w="60"/>
              <w:left w:type="dxa" w:w="100"/>
              <w:bottom w:type="dxa" w:w="60"/>
              <w:right w:type="dxa" w:w="100"/>
            </w:tcMar>
          </w:tcPr>
          <w:p>
            <w:pPr>
              <w:spacing w:after="20" w:before="20"/>
            </w:pPr>
            <w:r>
              <w:rPr>
                <w:sz w:val="19"/>
                <w:szCs w:val="19"/>
              </w:rPr>
              <w:t xml:space="preserve">Fog of law; gray zone; tacit bargaining; technical vs political attribution</w:t>
            </w:r>
          </w:p>
        </w:tc>
        <w:tc>
          <w:tcPr>
            <w:tcW w:type="dxa" w:w="3120"/>
            <w:tcMar>
              <w:top w:type="dxa" w:w="60"/>
              <w:left w:type="dxa" w:w="100"/>
              <w:bottom w:type="dxa" w:w="60"/>
              <w:right w:type="dxa" w:w="100"/>
            </w:tcMar>
          </w:tcPr>
          <w:p>
            <w:pPr>
              <w:spacing w:after="20" w:before="20"/>
            </w:pPr>
            <w:r>
              <w:rPr>
                <w:sz w:val="19"/>
                <w:szCs w:val="19"/>
              </w:rPr>
              <w:t xml:space="preserve">Jointness; four coordination modes; norm signalling</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Major argument</w:t>
            </w:r>
          </w:p>
        </w:tc>
        <w:tc>
          <w:tcPr>
            <w:tcW w:type="dxa" w:w="3120"/>
            <w:tcMar>
              <w:top w:type="dxa" w:w="60"/>
              <w:left w:type="dxa" w:w="100"/>
              <w:bottom w:type="dxa" w:w="60"/>
              <w:right w:type="dxa" w:w="100"/>
            </w:tcMar>
          </w:tcPr>
          <w:p>
            <w:pPr>
              <w:spacing w:after="20" w:before="20"/>
            </w:pPr>
            <w:r>
              <w:rPr>
                <w:sz w:val="19"/>
                <w:szCs w:val="19"/>
              </w:rPr>
              <w:t xml:space="preserve">Legal ambiguity, a deterrence-era choice, now misaligns with persistent engagement</w:t>
            </w:r>
          </w:p>
        </w:tc>
        <w:tc>
          <w:tcPr>
            <w:tcW w:type="dxa" w:w="3120"/>
            <w:tcMar>
              <w:top w:type="dxa" w:w="60"/>
              <w:left w:type="dxa" w:w="100"/>
              <w:bottom w:type="dxa" w:w="60"/>
              <w:right w:type="dxa" w:w="100"/>
            </w:tcMar>
          </w:tcPr>
          <w:p>
            <w:pPr>
              <w:spacing w:after="20" w:before="20"/>
            </w:pPr>
            <w:r>
              <w:rPr>
                <w:sz w:val="19"/>
                <w:szCs w:val="19"/>
              </w:rPr>
              <w:t xml:space="preserve">Joint attribution is not one practice but four, with different purposes</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Principal finding</w:t>
            </w:r>
          </w:p>
        </w:tc>
        <w:tc>
          <w:tcPr>
            <w:tcW w:type="dxa" w:w="3120"/>
            <w:tcMar>
              <w:top w:type="dxa" w:w="60"/>
              <w:left w:type="dxa" w:w="100"/>
              <w:bottom w:type="dxa" w:w="60"/>
              <w:right w:type="dxa" w:w="100"/>
            </w:tcMar>
          </w:tcPr>
          <w:p>
            <w:pPr>
              <w:spacing w:after="20" w:before="20"/>
            </w:pPr>
            <w:r>
              <w:rPr>
                <w:sz w:val="19"/>
                <w:szCs w:val="19"/>
              </w:rPr>
              <w:t xml:space="preserve">Cyber operations are cheap and low-salience; unilateral clarification is the viable path</w:t>
            </w:r>
          </w:p>
        </w:tc>
        <w:tc>
          <w:tcPr>
            <w:tcW w:type="dxa" w:w="3120"/>
            <w:tcMar>
              <w:top w:type="dxa" w:w="60"/>
              <w:left w:type="dxa" w:w="100"/>
              <w:bottom w:type="dxa" w:w="60"/>
              <w:right w:type="dxa" w:w="100"/>
            </w:tcMar>
          </w:tcPr>
          <w:p>
            <w:pPr>
              <w:spacing w:after="20" w:before="20"/>
            </w:pPr>
            <w:r>
              <w:rPr>
                <w:b/>
                <w:bCs/>
                <w:sz w:val="19"/>
                <w:szCs w:val="19"/>
              </w:rPr>
              <w:t xml:space="preserve">Volt Typhoon drew a Type 3 response — technical advisory, no sanctions, no endorsement</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Limitations acknowledged</w:t>
            </w:r>
          </w:p>
        </w:tc>
        <w:tc>
          <w:tcPr>
            <w:tcW w:type="dxa" w:w="3120"/>
            <w:tcMar>
              <w:top w:type="dxa" w:w="60"/>
              <w:left w:type="dxa" w:w="100"/>
              <w:bottom w:type="dxa" w:w="60"/>
              <w:right w:type="dxa" w:w="100"/>
            </w:tcMar>
          </w:tcPr>
          <w:p>
            <w:pPr>
              <w:spacing w:after="20" w:before="20"/>
            </w:pPr>
            <w:r>
              <w:rPr>
                <w:sz w:val="19"/>
                <w:szCs w:val="19"/>
              </w:rPr>
              <w:t xml:space="preserve">Notes policy failure ≠ theory failure</w:t>
            </w:r>
          </w:p>
        </w:tc>
        <w:tc>
          <w:tcPr>
            <w:tcW w:type="dxa" w:w="3120"/>
            <w:tcMar>
              <w:top w:type="dxa" w:w="60"/>
              <w:left w:type="dxa" w:w="100"/>
              <w:bottom w:type="dxa" w:w="60"/>
              <w:right w:type="dxa" w:w="100"/>
            </w:tcMar>
          </w:tcPr>
          <w:p>
            <w:pPr>
              <w:spacing w:after="20" w:before="20"/>
            </w:pPr>
            <w:r>
              <w:rPr>
                <w:b/>
                <w:bCs/>
                <w:sz w:val="19"/>
                <w:szCs w:val="19"/>
              </w:rPr>
              <w:t xml:space="preserve">Exemplary: Western/allied reporting bias declared explicitly</w:t>
            </w:r>
          </w:p>
        </w:tc>
      </w:tr>
      <w:tr>
        <w:trPr>
          <w:tblHeader w:val="false"/>
        </w:trPr>
        <w:tc>
          <w:tcPr>
            <w:tcW w:type="dxa" w:w="3120"/>
            <w:tcMar>
              <w:top w:type="dxa" w:w="60"/>
              <w:left w:type="dxa" w:w="100"/>
              <w:bottom w:type="dxa" w:w="60"/>
              <w:right w:type="dxa" w:w="100"/>
            </w:tcMar>
          </w:tcPr>
          <w:p>
            <w:pPr>
              <w:spacing w:after="20" w:before="20"/>
            </w:pPr>
            <w:r>
              <w:rPr>
                <w:rFonts w:ascii="Consolas" w:cs="Consolas" w:eastAsia="Consolas" w:hAnsi="Consolas"/>
                <w:b/>
                <w:bCs/>
                <w:sz w:val="19"/>
                <w:szCs w:val="19"/>
              </w:rPr>
              <w:t xml:space="preserve">artificial intelligence</w:t>
            </w:r>
          </w:p>
        </w:tc>
        <w:tc>
          <w:tcPr>
            <w:tcW w:type="dxa" w:w="3120"/>
            <w:tcMar>
              <w:top w:type="dxa" w:w="60"/>
              <w:left w:type="dxa" w:w="100"/>
              <w:bottom w:type="dxa" w:w="60"/>
              <w:right w:type="dxa" w:w="100"/>
            </w:tcMar>
          </w:tcPr>
          <w:p>
            <w:pPr>
              <w:spacing w:after="20" w:before="20"/>
            </w:pPr>
            <w:r>
              <w:rPr>
                <w:b/>
                <w:bCs/>
                <w:sz w:val="19"/>
                <w:szCs w:val="19"/>
              </w:rPr>
              <w:t xml:space="preserve">0</w:t>
            </w:r>
          </w:p>
        </w:tc>
        <w:tc>
          <w:tcPr>
            <w:tcW w:type="dxa" w:w="3120"/>
            <w:tcMar>
              <w:top w:type="dxa" w:w="60"/>
              <w:left w:type="dxa" w:w="100"/>
              <w:bottom w:type="dxa" w:w="60"/>
              <w:right w:type="dxa" w:w="100"/>
            </w:tcMar>
          </w:tcPr>
          <w:p>
            <w:pPr>
              <w:spacing w:after="20" w:before="20"/>
            </w:pPr>
            <w:r>
              <w:rPr>
                <w:b/>
                <w:bCs/>
                <w:sz w:val="19"/>
                <w:szCs w:val="19"/>
              </w:rPr>
              <w:t xml:space="preserve">0</w:t>
            </w:r>
          </w:p>
        </w:tc>
      </w:tr>
      <w:tr>
        <w:trPr>
          <w:tblHeader w:val="false"/>
        </w:trPr>
        <w:tc>
          <w:tcPr>
            <w:tcW w:type="dxa" w:w="3120"/>
            <w:tcMar>
              <w:top w:type="dxa" w:w="60"/>
              <w:left w:type="dxa" w:w="100"/>
              <w:bottom w:type="dxa" w:w="60"/>
              <w:right w:type="dxa" w:w="100"/>
            </w:tcMar>
          </w:tcPr>
          <w:p>
            <w:pPr>
              <w:spacing w:after="20" w:before="20"/>
            </w:pPr>
            <w:r>
              <w:rPr>
                <w:rFonts w:ascii="Consolas" w:cs="Consolas" w:eastAsia="Consolas" w:hAnsi="Consolas"/>
                <w:b/>
                <w:bCs/>
                <w:sz w:val="19"/>
                <w:szCs w:val="19"/>
              </w:rPr>
              <w:t xml:space="preserve">autonom*</w:t>
            </w:r>
          </w:p>
        </w:tc>
        <w:tc>
          <w:tcPr>
            <w:tcW w:type="dxa" w:w="3120"/>
            <w:tcMar>
              <w:top w:type="dxa" w:w="60"/>
              <w:left w:type="dxa" w:w="100"/>
              <w:bottom w:type="dxa" w:w="60"/>
              <w:right w:type="dxa" w:w="100"/>
            </w:tcMar>
          </w:tcPr>
          <w:p>
            <w:pPr>
              <w:spacing w:after="20" w:before="20"/>
            </w:pPr>
            <w:r>
              <w:rPr>
                <w:b/>
                <w:bCs/>
                <w:sz w:val="19"/>
                <w:szCs w:val="19"/>
              </w:rPr>
              <w:t xml:space="preserve">1</w:t>
            </w:r>
            <w:r>
              <w:rPr>
                <w:sz w:val="19"/>
                <w:szCs w:val="19"/>
              </w:rPr>
              <w:t xml:space="preserve"> (bibliography only)</w:t>
            </w:r>
          </w:p>
        </w:tc>
        <w:tc>
          <w:tcPr>
            <w:tcW w:type="dxa" w:w="3120"/>
            <w:tcMar>
              <w:top w:type="dxa" w:w="60"/>
              <w:left w:type="dxa" w:w="100"/>
              <w:bottom w:type="dxa" w:w="60"/>
              <w:right w:type="dxa" w:w="100"/>
            </w:tcMar>
          </w:tcPr>
          <w:p>
            <w:pPr>
              <w:spacing w:after="20" w:before="20"/>
            </w:pPr>
            <w:r>
              <w:rPr>
                <w:b/>
                <w:bCs/>
                <w:sz w:val="19"/>
                <w:szCs w:val="19"/>
              </w:rPr>
              <w:t xml:space="preserve">0</w:t>
            </w:r>
          </w:p>
        </w:tc>
      </w:tr>
      <w:tr>
        <w:trPr>
          <w:tblHeader w:val="false"/>
        </w:trPr>
        <w:tc>
          <w:tcPr>
            <w:tcW w:type="dxa" w:w="3120"/>
            <w:tcMar>
              <w:top w:type="dxa" w:w="60"/>
              <w:left w:type="dxa" w:w="100"/>
              <w:bottom w:type="dxa" w:w="60"/>
              <w:right w:type="dxa" w:w="100"/>
            </w:tcMar>
          </w:tcPr>
          <w:p>
            <w:pPr>
              <w:spacing w:after="20" w:before="20"/>
            </w:pPr>
            <w:r>
              <w:rPr>
                <w:rFonts w:ascii="Consolas" w:cs="Consolas" w:eastAsia="Consolas" w:hAnsi="Consolas"/>
                <w:b/>
                <w:bCs/>
                <w:sz w:val="19"/>
                <w:szCs w:val="19"/>
              </w:rPr>
              <w:t xml:space="preserve">Volt Typhoon</w:t>
            </w:r>
          </w:p>
        </w:tc>
        <w:tc>
          <w:tcPr>
            <w:tcW w:type="dxa" w:w="3120"/>
            <w:tcMar>
              <w:top w:type="dxa" w:w="60"/>
              <w:left w:type="dxa" w:w="100"/>
              <w:bottom w:type="dxa" w:w="60"/>
              <w:right w:type="dxa" w:w="100"/>
            </w:tcMar>
          </w:tcPr>
          <w:p>
            <w:pPr>
              <w:spacing w:after="20" w:before="20"/>
            </w:pPr>
            <w:r>
              <w:rPr>
                <w:sz w:val="19"/>
                <w:szCs w:val="19"/>
              </w:rPr>
              <w:t xml:space="preserve">2</w:t>
            </w:r>
          </w:p>
        </w:tc>
        <w:tc>
          <w:tcPr>
            <w:tcW w:type="dxa" w:w="3120"/>
            <w:tcMar>
              <w:top w:type="dxa" w:w="60"/>
              <w:left w:type="dxa" w:w="100"/>
              <w:bottom w:type="dxa" w:w="60"/>
              <w:right w:type="dxa" w:w="100"/>
            </w:tcMar>
          </w:tcPr>
          <w:p>
            <w:pPr>
              <w:spacing w:after="20" w:before="20"/>
            </w:pPr>
            <w:r>
              <w:rPr>
                <w:sz w:val="19"/>
                <w:szCs w:val="19"/>
              </w:rPr>
              <w:t xml:space="preserve">7</w:t>
            </w:r>
          </w:p>
        </w:tc>
      </w:tr>
      <w:tr>
        <w:trPr>
          <w:tblHeader w:val="false"/>
        </w:trPr>
        <w:tc>
          <w:tcPr>
            <w:tcW w:type="dxa" w:w="3120"/>
            <w:tcMar>
              <w:top w:type="dxa" w:w="60"/>
              <w:left w:type="dxa" w:w="100"/>
              <w:bottom w:type="dxa" w:w="60"/>
              <w:right w:type="dxa" w:w="100"/>
            </w:tcMar>
          </w:tcPr>
          <w:p>
            <w:pPr>
              <w:spacing w:after="20" w:before="20"/>
            </w:pPr>
            <w:r>
              <w:rPr>
                <w:rFonts w:ascii="Consolas" w:cs="Consolas" w:eastAsia="Consolas" w:hAnsi="Consolas"/>
                <w:b/>
                <w:bCs/>
                <w:sz w:val="19"/>
                <w:szCs w:val="19"/>
              </w:rPr>
              <w:t xml:space="preserve">signal*</w:t>
            </w:r>
          </w:p>
        </w:tc>
        <w:tc>
          <w:tcPr>
            <w:tcW w:type="dxa" w:w="3120"/>
            <w:tcMar>
              <w:top w:type="dxa" w:w="60"/>
              <w:left w:type="dxa" w:w="100"/>
              <w:bottom w:type="dxa" w:w="60"/>
              <w:right w:type="dxa" w:w="100"/>
            </w:tcMar>
          </w:tcPr>
          <w:p>
            <w:pPr>
              <w:spacing w:after="20" w:before="20"/>
            </w:pPr>
            <w:r>
              <w:rPr>
                <w:sz w:val="19"/>
                <w:szCs w:val="19"/>
              </w:rPr>
              <w:t xml:space="preserve">present</w:t>
            </w:r>
          </w:p>
        </w:tc>
        <w:tc>
          <w:tcPr>
            <w:tcW w:type="dxa" w:w="3120"/>
            <w:tcMar>
              <w:top w:type="dxa" w:w="60"/>
              <w:left w:type="dxa" w:w="100"/>
              <w:bottom w:type="dxa" w:w="60"/>
              <w:right w:type="dxa" w:w="100"/>
            </w:tcMar>
          </w:tcPr>
          <w:p>
            <w:pPr>
              <w:spacing w:after="20" w:before="20"/>
            </w:pPr>
            <w:r>
              <w:rPr>
                <w:b/>
                <w:bCs/>
                <w:sz w:val="19"/>
                <w:szCs w:val="19"/>
              </w:rPr>
              <w:t xml:space="preserve">28</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Relevance to RQ</w:t>
            </w:r>
          </w:p>
        </w:tc>
        <w:tc>
          <w:tcPr>
            <w:tcW w:type="dxa" w:w="3120"/>
            <w:tcMar>
              <w:top w:type="dxa" w:w="60"/>
              <w:left w:type="dxa" w:w="100"/>
              <w:bottom w:type="dxa" w:w="60"/>
              <w:right w:type="dxa" w:w="100"/>
            </w:tcMar>
          </w:tcPr>
          <w:p>
            <w:pPr>
              <w:spacing w:after="20" w:before="20"/>
            </w:pPr>
            <w:r>
              <w:rPr>
                <w:sz w:val="19"/>
                <w:szCs w:val="19"/>
              </w:rPr>
              <w:t xml:space="preserve">Cost baseline; tacit bargaining; salience problem</w:t>
            </w:r>
          </w:p>
        </w:tc>
        <w:tc>
          <w:tcPr>
            <w:tcW w:type="dxa" w:w="3120"/>
            <w:tcMar>
              <w:top w:type="dxa" w:w="60"/>
              <w:left w:type="dxa" w:w="100"/>
              <w:bottom w:type="dxa" w:w="60"/>
              <w:right w:type="dxa" w:w="100"/>
            </w:tcMar>
          </w:tcPr>
          <w:p>
            <w:pPr>
              <w:spacing w:after="20" w:before="20"/>
            </w:pPr>
            <w:r>
              <w:rPr>
                <w:b/>
                <w:bCs/>
                <w:sz w:val="19"/>
                <w:szCs w:val="19"/>
              </w:rPr>
              <w:t xml:space="preserve">Empirical anchor: documents the signalling failure</w:t>
            </w:r>
          </w:p>
        </w:tc>
      </w:tr>
    </w:tbl>
    <w:p>
      <w:pPr>
        <w:spacing w:after="160"/>
      </w:pPr>
      <w:r>
        <w:t xml:space="preserve"/>
      </w:r>
    </w:p>
    <w:p>
      <w:pPr>
        <w:pBdr>
          <w:bottom w:val="single" w:color="BBBBBB" w:sz="6" w:space="1"/>
        </w:pBdr>
        <w:spacing w:after="120" w:before="120"/>
      </w:pPr>
      <w:r>
        <w:t xml:space="preserve"/>
      </w:r>
    </w:p>
    <w:p>
      <w:pPr>
        <w:pStyle w:val="Heading1"/>
        <w:keepNext/>
        <w:spacing w:after="140" w:before="360"/>
      </w:pPr>
      <w:r>
        <w:t xml:space="preserve">2. Comparative Analysis</w:t>
      </w:r>
    </w:p>
    <w:p>
      <w:pPr>
        <w:pStyle w:val="Heading2"/>
        <w:keepNext/>
        <w:spacing w:after="140" w:before="240"/>
      </w:pPr>
      <w:r>
        <w:t xml:space="preserve">2.1 Areas of agreement</w:t>
      </w:r>
    </w:p>
    <w:p>
      <w:pPr>
        <w:spacing w:after="140" w:line="300"/>
        <w:jc w:val="both"/>
      </w:pPr>
      <w:r>
        <w:t xml:space="preserve">All four papers agree that cyber competition is </w:t>
      </w:r>
      <w:r>
        <w:rPr>
          <w:b/>
          <w:bCs/>
        </w:rPr>
        <w:t xml:space="preserve">continuous rather than episodic</w:t>
      </w:r>
      <w:r>
        <w:t xml:space="preserve">. Guttieri (2025) frames this through Cyber Persistence Theory — "cyber competition involves constant contact among competitors." Singh et al. (2025) periodise US–China competition into phases culminating in an "advanced phase (2015–2024)." Maschmeyer (2023) locates cyber operations in the register of subversion, which is by nature prolonged and covert. Butt &amp; Ulina (2026) describe a post-2022 "inflection point."</w:t>
      </w:r>
    </w:p>
    <w:p>
      <w:pPr>
        <w:spacing w:after="140" w:line="300"/>
        <w:jc w:val="both"/>
      </w:pPr>
      <w:r>
        <w:t xml:space="preserve">All four also agree that </w:t>
      </w:r>
      <w:r>
        <w:rPr>
          <w:b/>
          <w:bCs/>
        </w:rPr>
        <w:t xml:space="preserve">critical infrastructure is the contested object</w:t>
      </w:r>
      <w:r>
        <w:t xml:space="preserve">, and that the civil–military boundary is where strategic effect is generated.</w:t>
      </w:r>
    </w:p>
    <w:p>
      <w:pPr>
        <w:pStyle w:val="Heading2"/>
        <w:keepNext/>
        <w:spacing w:after="140" w:before="240"/>
      </w:pPr>
      <w:r>
        <w:t xml:space="preserve">2.2 Areas of disagreement</w:t>
      </w:r>
    </w:p>
    <w:p>
      <w:pPr>
        <w:spacing w:after="140" w:line="300"/>
        <w:jc w:val="both"/>
      </w:pPr>
      <w:r>
        <w:rPr>
          <w:b/>
          <w:bCs/>
        </w:rPr>
        <w:t xml:space="preserve">On the utility of offence–defence theory.</w:t>
      </w:r>
      <w:r>
        <w:t xml:space="preserve"> This is the sharpest division, and it is mostly a division by silence. Maschmeyer (2023) is the only author to engage the concept directly, and he rejects it:</w:t>
      </w:r>
    </w:p>
    <w:p>
      <w:pPr>
        <w:pBdr>
          <w:left w:val="single" w:color="7A93AC" w:sz="12" w:space="8"/>
        </w:pBdr>
        <w:spacing w:after="140" w:before="140"/>
        <w:ind w:left="480" w:right="360"/>
      </w:pPr>
      <w:r>
        <w:rPr>
          <w:i/>
          <w:iCs/>
          <w:sz w:val="21"/>
          <w:szCs w:val="21"/>
        </w:rPr>
        <w:t xml:space="preserve">"Conventional wisdom attempts to explain this paradox militarily through offense–defense theory, diagnosing a strong offensive advantage for cyber weapons. This theory faces significant theoretical and empirical challenges, however."</w:t>
      </w:r>
    </w:p>
    <w:p>
      <w:pPr>
        <w:spacing w:after="140" w:line="300"/>
        <w:jc w:val="both"/>
      </w:pPr>
      <w:r>
        <w:t xml:space="preserve">Butt &amp; Ulina (2026) assert an offensive advantage — "that's where the defenders are behind" — without engaging the theory that would license the claim. Guttieri (2025) neither affirms nor denies it, but her policy conclusion (deterrence by denial over deterrence by punishment) presupposes that defence is </w:t>
      </w:r>
      <w:r>
        <w:rPr>
          <w:i/>
          <w:iCs/>
        </w:rPr>
        <w:t xml:space="preserve">achievable</w:t>
      </w:r>
      <w:r>
        <w:t xml:space="preserve">, which cuts against strong offence-dominance.</w:t>
      </w:r>
    </w:p>
    <w:p>
      <w:pPr>
        <w:spacing w:after="140" w:line="300"/>
        <w:jc w:val="both"/>
      </w:pPr>
      <w:r>
        <w:rPr>
          <w:b/>
          <w:bCs/>
        </w:rPr>
        <w:t xml:space="preserve">On what pre-positioning means.</w:t>
      </w:r>
      <w:r>
        <w:t xml:space="preserve"> Guttieri (2025) reads Volt Typhoon as preparation for conflict, endorsing Nakasone's assessment. Singh et al. (2025) report, without adjudicating, the PRC's counter-claim that Volt Typhoon is a US fabrication and that the US itself operates the MARBLE toolkit to erase digital footprints. These are not compatible readings, and the disagreement is itself analytically significant.</w:t>
      </w:r>
    </w:p>
    <w:p>
      <w:pPr>
        <w:pStyle w:val="Heading2"/>
        <w:keepNext/>
        <w:spacing w:after="140" w:before="240"/>
      </w:pPr>
      <w:r>
        <w:t xml:space="preserve">2.3 Competing explanations for the capability–vulnerability paradox</w:t>
      </w:r>
    </w:p>
    <w:p>
      <w:pPr>
        <w:spacing w:after="140" w:line="300"/>
        <w:jc w:val="both"/>
      </w:pPr>
      <w:r>
        <w:t xml:space="preserve">The corpus contains at least three:</w:t>
      </w:r>
    </w:p>
    <w:p>
      <w:pPr>
        <w:pStyle w:val="ListParagraph"/>
        <w:numPr>
          <w:ilvl w:val="0"/>
          <w:numId w:val="2"/>
        </w:numPr>
        <w:spacing w:after="60"/>
      </w:pPr>
      <w:r>
        <w:rPr>
          <w:b/>
          <w:bCs/>
        </w:rPr>
        <w:t xml:space="preserve">Offence dominance</w:t>
      </w:r>
      <w:r>
        <w:t xml:space="preserve"> — the militarised reading, reported and rejected by</w:t>
      </w:r>
    </w:p>
    <w:p>
      <w:pPr>
        <w:spacing w:after="140" w:line="300"/>
        <w:jc w:val="both"/>
      </w:pPr>
      <w:r>
        <w:t xml:space="preserve">Maschmeyer (2023).</w:t>
      </w:r>
    </w:p>
    <w:p>
      <w:pPr>
        <w:pStyle w:val="ListParagraph"/>
        <w:numPr>
          <w:ilvl w:val="0"/>
          <w:numId w:val="2"/>
        </w:numPr>
        <w:spacing w:after="60"/>
      </w:pPr>
      <w:r>
        <w:rPr>
          <w:b/>
          <w:bCs/>
        </w:rPr>
        <w:t xml:space="preserve">Reverse structural power</w:t>
      </w:r>
      <w:r>
        <w:t xml:space="preserve"> — Maschmeyer's own: the more central an actor's</w:t>
      </w:r>
    </w:p>
    <w:p>
      <w:pPr>
        <w:spacing w:after="140" w:line="300"/>
        <w:jc w:val="both"/>
      </w:pPr>
      <w:r>
        <w:t xml:space="preserve">structural position, the more harm subversion can inflict by reversing it.</w:t>
      </w:r>
    </w:p>
    <w:p>
      <w:pPr>
        <w:pStyle w:val="ListParagraph"/>
        <w:numPr>
          <w:ilvl w:val="0"/>
          <w:numId w:val="2"/>
        </w:numPr>
        <w:spacing w:after="60"/>
      </w:pPr>
      <w:r>
        <w:rPr>
          <w:b/>
          <w:bCs/>
        </w:rPr>
        <w:t xml:space="preserve">Resilience deficit</w:t>
      </w:r>
      <w:r>
        <w:t xml:space="preserve"> — Guttieri's: vulnerability follows from treating resilience</w:t>
      </w:r>
    </w:p>
    <w:p>
      <w:pPr>
        <w:spacing w:after="140" w:line="300"/>
        <w:jc w:val="both"/>
      </w:pPr>
      <w:r>
        <w:t xml:space="preserve">as a static IT function rather than an operational capability.</w:t>
      </w:r>
    </w:p>
    <w:p>
      <w:pPr>
        <w:spacing w:after="140" w:line="300"/>
        <w:jc w:val="both"/>
      </w:pPr>
      <w:r>
        <w:t xml:space="preserve">These are not merely different answers; they imply different dependent variables.</w:t>
      </w:r>
    </w:p>
    <w:p>
      <w:pPr>
        <w:pStyle w:val="Heading2"/>
        <w:keepNext/>
        <w:spacing w:after="140" w:before="240"/>
      </w:pPr>
      <w:r>
        <w:t xml:space="preserve">2.4 Methodological differences</w:t>
      </w:r>
    </w:p>
    <w:p>
      <w:pPr>
        <w:spacing w:after="140" w:line="300"/>
        <w:jc w:val="both"/>
      </w:pPr>
      <w:r>
        <w:t xml:space="preserve">The corpus divides into </w:t>
      </w:r>
      <w:r>
        <w:rPr>
          <w:b/>
          <w:bCs/>
        </w:rPr>
        <w:t xml:space="preserve">theory-building with illustrative cases</w:t>
      </w:r>
      <w:r>
        <w:t xml:space="preserve"> (Maschmeyer's self-described plausibility probe; Guttieri's case vignettes) and </w:t>
      </w:r>
      <w:r>
        <w:rPr>
          <w:b/>
          <w:bCs/>
        </w:rPr>
        <w:t xml:space="preserve">secondary-source synthesis</w:t>
      </w:r>
      <w:r>
        <w:t xml:space="preserve"> (Singh et al.; Butt &amp; Ulina). Nothing in the fully-extracted set employs inferential statistics, formal modelling, process tracing with archival sources, or elite interviews. No paper tests a hypothesis against variation on the outcome.</w:t>
      </w:r>
    </w:p>
    <w:p>
      <w:pPr>
        <w:pStyle w:val="Heading2"/>
        <w:keepNext/>
        <w:spacing w:after="140" w:before="240"/>
      </w:pPr>
      <w:r>
        <w:t xml:space="preserve">2.5 Evolution of the debate</w:t>
      </w:r>
    </w:p>
    <w:p>
      <w:pPr>
        <w:spacing w:after="140" w:line="300"/>
        <w:jc w:val="both"/>
      </w:pPr>
      <w:r>
        <w:t xml:space="preserve">A chronology is visible even in four papers. Maschmeyer (2022/23) writes against the militarisation of cyber theory. Singh et al. (2025) and Guttieri (2025) write after Volt Typhoon's 2023 attribution, and both treat infrastructure pre-positioning as central. Butt &amp; Ulina (2026) write after generative AI's diffusion and foreground AI-enabled operations. </w:t>
      </w:r>
      <w:r>
        <w:rPr>
          <w:b/>
          <w:bCs/>
        </w:rPr>
        <w:t xml:space="preserve">The debate has moved from "is cyber war?" to "what is persistent access for?" — but has not yet absorbed the autonomy question.</w:t>
      </w:r>
    </w:p>
    <w:p>
      <w:pPr>
        <w:pBdr>
          <w:bottom w:val="single" w:color="BBBBBB" w:sz="6" w:space="1"/>
        </w:pBdr>
        <w:spacing w:after="120" w:before="120"/>
      </w:pPr>
      <w:r>
        <w:t xml:space="preserve"/>
      </w:r>
    </w:p>
    <w:p>
      <w:pPr>
        <w:pStyle w:val="Heading1"/>
        <w:keepNext/>
        <w:spacing w:after="140" w:before="360"/>
      </w:pPr>
      <w:r>
        <w:t xml:space="preserve">3. Thematic Literature Review</w:t>
      </w:r>
    </w:p>
    <w:p>
      <w:pPr>
        <w:pStyle w:val="Heading2"/>
        <w:keepNext/>
        <w:spacing w:after="140" w:before="240"/>
      </w:pPr>
      <w:r>
        <w:t xml:space="preserve">Theme 1 — Is the offence–defence balance the right frame for cyber?</w:t>
      </w:r>
    </w:p>
    <w:p>
      <w:pPr>
        <w:spacing w:after="140" w:line="300"/>
        <w:jc w:val="both"/>
      </w:pPr>
      <w:r>
        <w:rPr>
          <w:b/>
          <w:bCs/>
        </w:rPr>
        <w:t xml:space="preserve">The debate.</w:t>
      </w:r>
      <w:r>
        <w:t xml:space="preserve"> Offence–defence theory holds that the relative ease of attack versus defence shapes conflict likelihood. Applied to cyber, it has generated a durable conventional wisdom of offence dominance. Maschmeyer (2023) reports this position — citing Betz and Stevens, Lynn, and Nye — and rejects it, holding that the theory "faces significant theoretical and empirical challenges" and, more fundamentally, that "military affairs are precisely not where cyber operations have been most relevant."</w:t>
      </w:r>
    </w:p>
    <w:p>
      <w:pPr>
        <w:spacing w:after="140" w:line="300"/>
        <w:jc w:val="both"/>
      </w:pPr>
      <w:r>
        <w:rPr>
          <w:b/>
          <w:bCs/>
        </w:rPr>
        <w:t xml:space="preserve">Comparison.</w:t>
      </w:r>
      <w:r>
        <w:t xml:space="preserve"> Maschmeyer's alternative is that cyber operations are means of subversion, which reverse structural power rather than deliver military effect. Guttieri (2025) does not contest the offence–defence frame explicitly but implicitly resists offence-dominance: her entire argument is that resilience can deny adversaries their objectives. Butt &amp; Ulina (2026) assert offence-dominance flatly, without theory.</w:t>
      </w:r>
    </w:p>
    <w:p>
      <w:pPr>
        <w:spacing w:after="140" w:line="300"/>
        <w:jc w:val="both"/>
      </w:pPr>
      <w:r>
        <w:rPr>
          <w:b/>
          <w:bCs/>
        </w:rPr>
        <w:t xml:space="preserve">Strength of evidence.</w:t>
      </w:r>
      <w:r>
        <w:t xml:space="preserve"> Weak in this corpus. Maschmeyer's rejection is theoretically argued but empirically rests on one plausibility probe. Butt &amp; Ulina's affirmation rests on vendor-sourced trend data (IBM, Verizon, Cybersecurity Ventures) with no discussion of vendor reporting incentives and no limitations section.</w:t>
      </w:r>
    </w:p>
    <w:p>
      <w:pPr>
        <w:spacing w:after="140" w:line="300"/>
        <w:jc w:val="both"/>
      </w:pPr>
      <w:r>
        <w:rPr>
          <w:b/>
          <w:bCs/>
        </w:rPr>
        <w:t xml:space="preserve">A directional claim, and it favours defence.</w:t>
      </w:r>
      <w:r>
        <w:t xml:space="preserve"> Pokorny (2026) reports Lindsay's (2013) position:</w:t>
      </w:r>
    </w:p>
    <w:p>
      <w:pPr>
        <w:pBdr>
          <w:left w:val="single" w:color="7A93AC" w:sz="12" w:space="8"/>
        </w:pBdr>
        <w:spacing w:after="140" w:before="140"/>
        <w:ind w:left="480" w:right="360"/>
      </w:pPr>
      <w:r>
        <w:rPr>
          <w:i/>
          <w:iCs/>
          <w:sz w:val="21"/>
          <w:szCs w:val="21"/>
        </w:rPr>
        <w:t xml:space="preserve">"the more technically sophisticated the target, the more difficult it is to achieve a decisive cyber effect, because sophisticated defenders are better able to detect and mitigate intrusions. This 'offense-defense balance' in cyberspace, Lindsay contends, </w:t>
      </w:r>
      <w:r>
        <w:rPr>
          <w:b/>
          <w:bCs/>
          <w:i/>
          <w:iCs/>
          <w:sz w:val="21"/>
          <w:szCs w:val="21"/>
        </w:rPr>
        <w:t xml:space="preserve">favors defense at the strategic level</w:t>
      </w:r>
      <w:r>
        <w:rPr>
          <w:i/>
          <w:iCs/>
          <w:sz w:val="21"/>
          <w:szCs w:val="21"/>
        </w:rPr>
        <w:t xml:space="preserve">, even if individual tactical attacks may succeed."</w:t>
      </w:r>
    </w:p>
    <w:p>
      <w:pPr>
        <w:spacing w:after="140" w:line="300"/>
        <w:jc w:val="both"/>
      </w:pPr>
      <w:r>
        <w:rPr>
          <w:b/>
          <w:bCs/>
        </w:rPr>
        <w:t xml:space="preserve">This is the only explicit statement in the corpus about which way the balance tilts, and it contradicts the offence-dominance intuition.</w:t>
      </w:r>
      <w:r>
        <w:t xml:space="preserve"> It converges with two other corpus findings: agentic AI is overwhelmingly defence-facing (Yigit et al., 2025), and fully autonomous offence remains "largely theoretical" (Butt &amp; Ulina, 2026).</w:t>
      </w:r>
    </w:p>
    <w:p>
      <w:pPr>
        <w:spacing w:after="140" w:line="300"/>
        <w:jc w:val="both"/>
      </w:pPr>
      <w:r>
        <w:t xml:space="preserve">Two cautions. Lindsay (2013) is </w:t>
      </w:r>
      <w:r>
        <w:rPr>
          <w:b/>
          <w:bCs/>
        </w:rPr>
        <w:t xml:space="preserve">not in the corpus</w:t>
      </w:r>
      <w:r>
        <w:t xml:space="preserve"> — this is Pokorny's characterisation, and it must be verified against the original before it bears weight. And Pokorny's monograph is self-published, built on 16 unclassified sources, and is itself an </w:t>
      </w:r>
      <w:r>
        <w:rPr>
          <w:i/>
          <w:iCs/>
        </w:rPr>
        <w:t xml:space="preserve">offensive targeting</w:t>
      </w:r>
      <w:r>
        <w:t xml:space="preserve"> document, i.e. a primary source expressing a policy position rather than a neutral analysis.</w:t>
      </w:r>
    </w:p>
    <w:p>
      <w:pPr>
        <w:spacing w:after="140" w:line="300"/>
        <w:jc w:val="both"/>
      </w:pPr>
      <w:r>
        <w:rPr>
          <w:b/>
          <w:bCs/>
        </w:rPr>
        <w:t xml:space="preserve">Unresolved.</w:t>
      </w:r>
      <w:r>
        <w:t xml:space="preserve"> The corpus contains </w:t>
      </w:r>
      <w:r>
        <w:rPr>
          <w:b/>
          <w:bCs/>
        </w:rPr>
        <w:t xml:space="preserve">no paper that measures or operationalises the cyber offence–defence balance.</w:t>
      </w:r>
      <w:r>
        <w:t xml:space="preserve"> The canonical treatment (Slayton, 2017, </w:t>
      </w:r>
      <w:r>
        <w:rPr>
          <w:i/>
          <w:iCs/>
        </w:rPr>
        <w:t xml:space="preserve">International Security</w:t>
      </w:r>
      <w:r>
        <w:t xml:space="preserve">) appears only as a citation </w:t>
      </w:r>
      <w:r>
        <w:rPr>
          <w:i/>
          <w:iCs/>
        </w:rPr>
        <w:t xml:space="preserve">within</w:t>
      </w:r>
      <w:r>
        <w:t xml:space="preserve"> Maschmeyer's bibliography. This is a corpus limitation, and it must be declared.</w:t>
      </w:r>
    </w:p>
    <w:p>
      <w:pPr>
        <w:spacing w:after="140" w:line="300"/>
        <w:jc w:val="both"/>
      </w:pPr>
      <w:r>
        <w:rPr>
          <w:b/>
          <w:bCs/>
        </w:rPr>
        <w:t xml:space="preserve">The only wartime empirical judgement, and it favours defence.</w:t>
      </w:r>
      <w:r>
        <w:t xml:space="preserve"> Willett (2022), in </w:t>
      </w:r>
      <w:r>
        <w:rPr>
          <w:i/>
          <w:iCs/>
        </w:rPr>
        <w:t xml:space="preserve">Survival</w:t>
      </w:r>
      <w:r>
        <w:t xml:space="preserve"> — IISS, the corpus's highest-ranked venue — assesses the Russia–Ukraine war:</w:t>
      </w:r>
    </w:p>
    <w:p>
      <w:pPr>
        <w:pBdr>
          <w:left w:val="single" w:color="7A93AC" w:sz="12" w:space="8"/>
        </w:pBdr>
        <w:spacing w:after="140" w:before="140"/>
        <w:ind w:left="480" w:right="360"/>
      </w:pPr>
      <w:r>
        <w:rPr>
          <w:i/>
          <w:iCs/>
          <w:sz w:val="21"/>
          <w:szCs w:val="21"/>
        </w:rPr>
        <w:t xml:space="preserve">"a sustained Russian campaign to hack into and disrupt Ukraine's critical national infrastructure, resulting in </w:t>
      </w:r>
      <w:r>
        <w:rPr>
          <w:b/>
          <w:bCs/>
          <w:i/>
          <w:iCs/>
          <w:sz w:val="21"/>
          <w:szCs w:val="21"/>
        </w:rPr>
        <w:t xml:space="preserve">intense sparring between offence and defence, but with defence dominating most of the time</w:t>
      </w:r>
      <w:r>
        <w:rPr>
          <w:i/>
          <w:iCs/>
          <w:sz w:val="21"/>
          <w:szCs w:val="21"/>
        </w:rPr>
        <w:t xml:space="preserve">, given its access to good intelligence and top-class cyber-security expertise."</w:t>
      </w:r>
    </w:p>
    <w:p>
      <w:pPr>
        <w:spacing w:after="140" w:line="300"/>
        <w:jc w:val="both"/>
      </w:pPr>
      <w:r>
        <w:rPr>
          <w:b/>
          <w:bCs/>
        </w:rPr>
        <w:t xml:space="preserve">And the balance is dyad-conditional, not technology-determined:</w:t>
      </w:r>
    </w:p>
    <w:p>
      <w:pPr>
        <w:pBdr>
          <w:left w:val="single" w:color="7A93AC" w:sz="12" w:space="8"/>
        </w:pBdr>
        <w:spacing w:after="140" w:before="140"/>
        <w:ind w:left="480" w:right="360"/>
      </w:pPr>
      <w:r>
        <w:rPr>
          <w:i/>
          <w:iCs/>
          <w:sz w:val="21"/>
          <w:szCs w:val="21"/>
        </w:rPr>
        <w:t xml:space="preserve">"a cyber conflict between Russia and a state with weaker cyber security than Ukraine, or one between NATO and Russia (or China), would perhaps see </w:t>
      </w:r>
      <w:r>
        <w:rPr>
          <w:b/>
          <w:bCs/>
          <w:i/>
          <w:iCs/>
          <w:sz w:val="21"/>
          <w:szCs w:val="21"/>
        </w:rPr>
        <w:t xml:space="preserve">a different balance between offence and defence</w:t>
      </w:r>
      <w:r>
        <w:rPr>
          <w:i/>
          <w:iCs/>
          <w:sz w:val="21"/>
          <w:szCs w:val="21"/>
        </w:rPr>
        <w:t xml:space="preserve">."</w:t>
      </w:r>
    </w:p>
    <w:p>
      <w:pPr>
        <w:spacing w:after="140" w:line="300"/>
        <w:jc w:val="both"/>
      </w:pPr>
      <w:r>
        <w:rPr>
          <w:b/>
          <w:bCs/>
        </w:rPr>
        <w:t xml:space="preserve">This is the most consequential theoretical point in the corpus.</w:t>
      </w:r>
      <w:r>
        <w:t xml:space="preserve"> The balance is not a property of the technology but of the </w:t>
      </w:r>
      <w:r>
        <w:rPr>
          <w:i/>
          <w:iCs/>
        </w:rPr>
        <w:t xml:space="preserve">pairing</w:t>
      </w:r>
      <w:r>
        <w:t xml:space="preserve"> — specifically of defender capability and the assistance available to it. Ukraine's defence was carried by US and UK agencies and by Microsoft, Google and Cisco; a differently resourced defender yields a different balance with identical offensive technology.</w:t>
      </w:r>
    </w:p>
    <w:p>
      <w:pPr>
        <w:spacing w:after="140" w:line="300"/>
        <w:jc w:val="both"/>
      </w:pPr>
      <w:r>
        <w:rPr>
          <w:b/>
          <w:bCs/>
        </w:rPr>
        <w:t xml:space="preserve">It therefore reframes the research question.</w:t>
      </w:r>
      <w:r>
        <w:t xml:space="preserve"> "Does AI autonomy favour offence or defence?" is malformed. The answerable question is: </w:t>
      </w:r>
      <w:r>
        <w:rPr>
          <w:b/>
          <w:bCs/>
        </w:rPr>
        <w:t xml:space="preserve">which side is better positioned to absorb autonomy, under what conditions?</w:t>
      </w:r>
      <w:r>
        <w:t xml:space="preserve"> On corpus evidence — defence-facing agentic AI (Yigit et al., 2025), offensive autonomy "largely theoretical" (Butt &amp; Ulina, 2026), Lindsay's sophistication paradox (via Pokorny, 2026), and Willett's wartime judgement — the answer currently leans defender, </w:t>
      </w:r>
      <w:r>
        <w:rPr>
          <w:i/>
          <w:iCs/>
        </w:rPr>
        <w:t xml:space="preserve">for well-resourced defenders</w:t>
      </w:r>
      <w:r>
        <w:t xml:space="preserve">. The distributional implication is that autonomy widens the gap between capable and incapable defenders rather than shifting a single global balance.</w:t>
      </w:r>
    </w:p>
    <w:p>
      <w:pPr>
        <w:spacing w:after="140" w:line="300"/>
        <w:jc w:val="both"/>
      </w:pPr>
      <w:r>
        <w:rPr>
          <w:b/>
          <w:bCs/>
        </w:rPr>
        <w:t xml:space="preserve">Synthesis.</w:t>
      </w:r>
      <w:r>
        <w:t xml:space="preserve"> For the RQ, the significance is that the offence–defence frame is contested at its foundation </w:t>
      </w:r>
      <w:r>
        <w:rPr>
          <w:i/>
          <w:iCs/>
        </w:rPr>
        <w:t xml:space="preserve">and</w:t>
      </w:r>
      <w:r>
        <w:t xml:space="preserve"> at its direction. The corpus contains one author rejecting the frame entirely (Maschmeyer, 2023), one asserting offence-dominance without argument (Butt &amp; Ulina, 2026), and one reporting a defence-favouring position (Lindsay, via Pokorny, 2026). </w:t>
      </w:r>
      <w:r>
        <w:rPr>
          <w:b/>
          <w:bCs/>
        </w:rPr>
        <w:t xml:space="preserve">A study asking how AI "shifts the balance" must therefore establish which baseline it is shifting from — and the corpus does not settle that.</w:t>
      </w:r>
      <w:r>
        <w:t xml:space="preserve"> A study asking how AI autonomy </w:t>
      </w:r>
      <w:r>
        <w:rPr>
          <w:i/>
          <w:iCs/>
        </w:rPr>
        <w:t xml:space="preserve">shifts</w:t>
      </w:r>
      <w:r>
        <w:t xml:space="preserve"> the balance must first defend the claim that there is a balance worth measuring — or reframe the dependent variable in terms the corpus better supports, such as the cost and credibility of persistent access.</w:t>
      </w:r>
    </w:p>
    <w:p>
      <w:pPr>
        <w:pStyle w:val="Heading2"/>
        <w:keepNext/>
        <w:spacing w:after="140" w:before="240"/>
      </w:pPr>
      <w:r>
        <w:t xml:space="preserve">Theme 2 — Pre-positioning: espionage, preparation, or signal?</w:t>
      </w:r>
    </w:p>
    <w:p>
      <w:pPr>
        <w:spacing w:after="140" w:line="300"/>
        <w:jc w:val="both"/>
      </w:pPr>
      <w:r>
        <w:rPr>
          <w:b/>
          <w:bCs/>
        </w:rPr>
        <w:t xml:space="preserve">The debate.</w:t>
      </w:r>
      <w:r>
        <w:t xml:space="preserve"> Persistent access to critical infrastructure is observationally ambiguous. The same implant supports intelligence collection, attack preparation, and coercive signalling. Guttieri (2025) makes the ambiguity her subject.</w:t>
      </w:r>
    </w:p>
    <w:p>
      <w:pPr>
        <w:spacing w:after="140" w:line="300"/>
        <w:jc w:val="both"/>
      </w:pPr>
      <w:r>
        <w:rPr>
          <w:b/>
          <w:bCs/>
        </w:rPr>
        <w:t xml:space="preserve">Guttieri's mechanism.</w:t>
      </w:r>
      <w:r>
        <w:t xml:space="preserve"> Pre-positioned actors "maintain a portfolio of future options… escalating the attack, disrupting services, conducting surveillance, or withdrawing." Over time they "accumulate a form of latent power on the network."</w:t>
      </w:r>
    </w:p>
    <w:p>
      <w:pPr>
        <w:spacing w:after="140" w:line="300"/>
        <w:jc w:val="both"/>
      </w:pPr>
      <w:r>
        <w:rPr>
          <w:b/>
          <w:bCs/>
        </w:rPr>
        <w:t xml:space="preserve">Guttieri's decision rule.</w:t>
      </w:r>
      <w:r>
        <w:t xml:space="preserve"> Reporting Nakasone and Lewis, she concludes: "when persistent access offers low intelligence gain but high leverage, it likely reflects preparation for conflict." This is the corpus's clearest analytical criterion for distinguishing espionage from signalling.</w:t>
      </w:r>
    </w:p>
    <w:p>
      <w:pPr>
        <w:spacing w:after="140" w:line="300"/>
        <w:jc w:val="both"/>
      </w:pPr>
      <w:r>
        <w:rPr>
          <w:b/>
          <w:bCs/>
        </w:rPr>
        <w:t xml:space="preserve">Counter-position.</w:t>
      </w:r>
      <w:r>
        <w:t xml:space="preserve"> Singh et al. (2025) record that the PRC denies the campaign entirely, and reciprocally accuses the US. Where attribution is contested, the signal's </w:t>
      </w:r>
      <w:r>
        <w:rPr>
          <w:i/>
          <w:iCs/>
        </w:rPr>
        <w:t xml:space="preserve">receipt</w:t>
      </w:r>
      <w:r>
        <w:t xml:space="preserve"> is contested, which is a condition for signalling failure.</w:t>
      </w:r>
    </w:p>
    <w:p>
      <w:pPr>
        <w:spacing w:after="140" w:line="300"/>
        <w:jc w:val="both"/>
      </w:pPr>
      <w:r>
        <w:rPr>
          <w:b/>
          <w:bCs/>
        </w:rPr>
        <w:t xml:space="preserve">Strength of evidence.</w:t>
      </w:r>
      <w:r>
        <w:t xml:space="preserve"> Guttieri's rule is inferential, resting on the public statements of two US officials — sources with an institutional stake in the interpretation. This is not a weakness she conceals, but it is a weakness.</w:t>
      </w:r>
    </w:p>
    <w:p>
      <w:pPr>
        <w:spacing w:after="140" w:line="300"/>
        <w:jc w:val="both"/>
      </w:pPr>
      <w:r>
        <w:rPr>
          <w:b/>
          <w:bCs/>
        </w:rPr>
        <w:t xml:space="preserve">The negative case.</w:t>
      </w:r>
      <w:r>
        <w:t xml:space="preserve"> Codreanu (2025) supplies the corpus's only instance of pre-positioning followed by non-use, and it is decisive for the theme:</w:t>
      </w:r>
    </w:p>
    <w:p>
      <w:pPr>
        <w:pBdr>
          <w:left w:val="single" w:color="7A93AC" w:sz="12" w:space="8"/>
        </w:pBdr>
        <w:spacing w:after="140" w:before="140"/>
        <w:ind w:left="480" w:right="360"/>
      </w:pPr>
      <w:r>
        <w:rPr>
          <w:i/>
          <w:iCs/>
          <w:sz w:val="21"/>
          <w:szCs w:val="21"/>
        </w:rPr>
        <w:t xml:space="preserve">"In 2018, Washington accused Russia of infiltrating multiple sectors of US critical infrastructure, including nuclear facilities, energy, aviation, and even water supply networks (Lonergan &amp; Poznansky 2025). </w:t>
      </w:r>
      <w:r>
        <w:rPr>
          <w:b/>
          <w:bCs/>
          <w:i/>
          <w:iCs/>
          <w:sz w:val="21"/>
          <w:szCs w:val="21"/>
        </w:rPr>
        <w:t xml:space="preserve">So far, however, Russia has not exploited these footholds to launch direct cyberattacks on the US</w:t>
      </w:r>
      <w:r>
        <w:rPr>
          <w:i/>
          <w:iCs/>
          <w:sz w:val="21"/>
          <w:szCs w:val="21"/>
        </w:rPr>
        <w:t xml:space="preserve">."</w:t>
      </w:r>
    </w:p>
    <w:p>
      <w:pPr>
        <w:spacing w:after="140" w:line="300"/>
        <w:jc w:val="both"/>
      </w:pPr>
      <w:r>
        <w:t xml:space="preserve">Seven-plus years of maintained access without use. This qualifies the Nakasone/Guttieri inference sharply: if persistent access "likely reflects preparation for conflict," preparation can evidently persist indefinitely without conflict. </w:t>
      </w:r>
      <w:r>
        <w:rPr>
          <w:b/>
          <w:bCs/>
        </w:rPr>
        <w:t xml:space="preserve">Pre-positioning is better characterised as option-generation than as commitment</w:t>
      </w:r>
      <w:r>
        <w:t xml:space="preserve"> — consistent with Guttieri's own "portfolio of future options" phrasing, but cutting against the warning-indicator reading her decision rule invites.</w:t>
      </w:r>
    </w:p>
    <w:p>
      <w:pPr>
        <w:spacing w:after="140" w:line="300"/>
        <w:jc w:val="both"/>
      </w:pPr>
      <w:r>
        <w:t xml:space="preserve">Codreanu also independently reproduces the decision rule itself, from a different institutional vantage: "the method of operation and chosen targets did not fit the pattern of a traditional cyber espionage campaign… the goal was not the extraction of data for conventional espionage but rather the pre-positioning… to prepare for possible future acts of sabotage." </w:t>
      </w:r>
      <w:r>
        <w:rPr>
          <w:b/>
          <w:bCs/>
        </w:rPr>
        <w:t xml:space="preserve">Two independent statements of the same criterion strengthen it; the negative case constrains what it licenses.</w:t>
      </w:r>
    </w:p>
    <w:p>
      <w:pPr>
        <w:spacing w:after="140" w:line="300"/>
        <w:jc w:val="both"/>
      </w:pPr>
      <w:r>
        <w:rPr>
          <w:b/>
          <w:bCs/>
        </w:rPr>
        <w:t xml:space="preserve">A rival hypothesis the paper must test, not assume away.</w:t>
      </w:r>
      <w:r>
        <w:t xml:space="preserve"> Braccia (2025) argues grey-zone operations "target strategically significant systems while </w:t>
      </w:r>
      <w:r>
        <w:rPr>
          <w:b/>
          <w:bCs/>
        </w:rPr>
        <w:t xml:space="preserve">carefully calibrating effects to remain below use-of-force thresholds established in international law</w:t>
      </w:r>
      <w:r>
        <w:t xml:space="preserve">. Rather than causing immediate, catastrophic damage that might trigger Article 5-type responses, these operations focus on persistent access, intelligence gathering, and pre-positioning for potential future activation."</w:t>
      </w:r>
    </w:p>
    <w:p>
      <w:pPr>
        <w:spacing w:after="140" w:line="300"/>
        <w:jc w:val="both"/>
      </w:pPr>
      <w:r>
        <w:t xml:space="preserve">If pre-positioning is </w:t>
      </w:r>
      <w:r>
        <w:rPr>
          <w:i/>
          <w:iCs/>
        </w:rPr>
        <w:t xml:space="preserve">designed</w:t>
      </w:r>
      <w:r>
        <w:t xml:space="preserve"> to stay below response thresholds, then avoiding legibility is the objective. The actor is not communicating resolve; it is acquiring options without triggering reaction. Two hypotheses follow:</w:t>
      </w:r>
    </w:p>
    <w:p>
      <w:pPr>
        <w:pStyle w:val="ListParagraph"/>
        <w:numPr>
          <w:ilvl w:val="0"/>
          <w:numId w:val="1"/>
        </w:numPr>
        <w:spacing w:after="60"/>
      </w:pPr>
      <w:r>
        <w:rPr>
          <w:b/>
          <w:bCs/>
        </w:rPr>
        <w:t xml:space="preserve">H1 — signal degradation.</w:t>
      </w:r>
      <w:r>
        <w:t xml:space="preserve"> Pre-positioning once signalled intent; falling</w:t>
      </w:r>
    </w:p>
    <w:p>
      <w:pPr>
        <w:spacing w:after="140" w:line="300"/>
        <w:jc w:val="both"/>
      </w:pPr>
      <w:r>
        <w:t xml:space="preserve">persistence cost erodes the costly-signalling logic that made it legible.</w:t>
      </w:r>
    </w:p>
    <w:p>
      <w:pPr>
        <w:pStyle w:val="ListParagraph"/>
        <w:numPr>
          <w:ilvl w:val="0"/>
          <w:numId w:val="1"/>
        </w:numPr>
        <w:spacing w:after="60"/>
      </w:pPr>
      <w:r>
        <w:rPr>
          <w:b/>
          <w:bCs/>
        </w:rPr>
        <w:t xml:space="preserve">H2 — deliberate non-signal.</w:t>
      </w:r>
      <w:r>
        <w:t xml:space="preserve"> It never signalled. Sub-threshold calibration is the</w:t>
      </w:r>
    </w:p>
    <w:p>
      <w:pPr>
        <w:spacing w:after="140" w:line="300"/>
        <w:jc w:val="both"/>
      </w:pPr>
      <w:r>
        <w:t xml:space="preserve">design goal, and Guttieri's (2025) reading is a target state inferring intent from an act engineered to avoid conveying it.</w:t>
      </w:r>
    </w:p>
    <w:p>
      <w:pPr>
        <w:spacing w:after="140" w:line="300"/>
        <w:jc w:val="both"/>
      </w:pPr>
      <w:r>
        <w:rPr>
          <w:b/>
          <w:bCs/>
        </w:rPr>
        <w:t xml:space="preserve">The corpus contains explicit advocates for both.</w:t>
      </w:r>
      <w:r>
        <w:t xml:space="preserve"> Dimitrov and Andreev (2025) state H1 directly: Volt Typhoon reflects "China's increasing reliance on the </w:t>
      </w:r>
      <w:r>
        <w:rPr>
          <w:b/>
          <w:bCs/>
        </w:rPr>
        <w:t xml:space="preserve">prepositioning of cyber assets in U.S. critical infrastructure as a means of deterrence and coercion</w:t>
      </w:r>
      <w:r>
        <w:t xml:space="preserve">… not merely intelligence gathering missions, but pre-emptive measures designed to embed China's cyber capabilities into critical infrastructure, ensuring its influence in times of crisis."</w:t>
      </w:r>
    </w:p>
    <w:p>
      <w:pPr>
        <w:spacing w:after="140" w:line="300"/>
        <w:jc w:val="both"/>
      </w:pPr>
      <w:r>
        <w:t xml:space="preserve">This is a documented scholarly disagreement, not an analytical construct — which is a stronger position from which to write than an invented gap.</w:t>
      </w:r>
    </w:p>
    <w:p>
      <w:pPr>
        <w:spacing w:after="140" w:line="300"/>
        <w:jc w:val="both"/>
      </w:pPr>
      <w:r>
        <w:t xml:space="preserve">It is worth noting that the H1 case is weaker than its advocates allow. Dimitrov and Andreev concede that at Guam "</w:t>
      </w:r>
      <w:r>
        <w:rPr>
          <w:b/>
          <w:bCs/>
        </w:rPr>
        <w:t xml:space="preserve">forensic investigations did not reveal immediate sabotage</w:t>
      </w:r>
      <w:r>
        <w:t xml:space="preserve">," and that the intrusions "pointed to intelligence gathering and strategic mapping" — evidence consistent with the espionage reading they reject.</w:t>
      </w:r>
    </w:p>
    <w:p>
      <w:pPr>
        <w:spacing w:after="140" w:line="300"/>
        <w:jc w:val="both"/>
      </w:pPr>
      <w:r>
        <w:rPr>
          <w:b/>
          <w:bCs/>
        </w:rPr>
        <w:t xml:space="preserve">The three-case evidence is arguably more consistent with H2</w:t>
      </w:r>
      <w:r>
        <w:t xml:space="preserve">: prolonged non-use, absence of sanctions, and effects calibrated below Article 5. H2 also explains Braccia's observation that "the deliberate obfuscation creates sufficient doubt to avoid immediate consequences."</w:t>
      </w:r>
    </w:p>
    <w:p>
      <w:pPr>
        <w:spacing w:after="140" w:line="300"/>
        <w:jc w:val="both"/>
      </w:pPr>
      <w:r>
        <w:rPr>
          <w:b/>
          <w:bCs/>
        </w:rPr>
        <w:t xml:space="preserve">This is the study's central empirical question, and the honest position is that it is open.</w:t>
      </w:r>
      <w:r>
        <w:t xml:space="preserve"> H1 and H2 make divergent predictions about the effect of autonomy: under H1, autonomy degrades an existing channel; under H2, autonomy simply scales option acquisition, and no signalling channel is lost because none existed. Discriminating between them is what the research design in §8 is for.</w:t>
      </w:r>
    </w:p>
    <w:p>
      <w:pPr>
        <w:spacing w:after="140" w:line="300"/>
        <w:jc w:val="both"/>
      </w:pPr>
      <w:r>
        <w:rPr>
          <w:b/>
          <w:bCs/>
        </w:rPr>
        <w:t xml:space="preserve">Unresolved.</w:t>
      </w:r>
      <w:r>
        <w:t xml:space="preserve"> Whether pre-positioning is </w:t>
      </w:r>
      <w:r>
        <w:rPr>
          <w:i/>
          <w:iCs/>
        </w:rPr>
        <w:t xml:space="preserve">intended</w:t>
      </w:r>
      <w:r>
        <w:t xml:space="preserve"> as a signal, or merely </w:t>
      </w:r>
      <w:r>
        <w:rPr>
          <w:i/>
          <w:iCs/>
        </w:rPr>
        <w:t xml:space="preserve">read</w:t>
      </w:r>
      <w:r>
        <w:t xml:space="preserve"> as one, is not settled by any paper in the corpus. Nor is the question of what happens when the signal is denied by its putative sender — now documented from three independent sources (Singh et al., 2025; Codreanu, 2025, quoting PRC MFA spokesperson Lin Jian dismissing the allegations as "disinformation").</w:t>
      </w:r>
    </w:p>
    <w:p>
      <w:pPr>
        <w:spacing w:after="140" w:line="300"/>
        <w:jc w:val="both"/>
      </w:pPr>
      <w:r>
        <w:rPr>
          <w:b/>
          <w:bCs/>
        </w:rPr>
        <w:t xml:space="preserve">Synthesis.</w:t>
      </w:r>
      <w:r>
        <w:t xml:space="preserve"> Guttieri answers the RQ's second clause more directly than any other corpus paper — but answers it for a world of human-paced operations.</w:t>
      </w:r>
    </w:p>
    <w:p>
      <w:pPr>
        <w:pStyle w:val="Heading2"/>
        <w:keepNext/>
        <w:spacing w:after="140" w:before="240"/>
      </w:pPr>
      <w:r>
        <w:t xml:space="preserve">Theme 3 — AI autonomy: capability without strategy</w:t>
      </w:r>
    </w:p>
    <w:p>
      <w:pPr>
        <w:spacing w:after="140" w:line="300"/>
        <w:jc w:val="both"/>
      </w:pPr>
      <w:r>
        <w:rPr>
          <w:b/>
          <w:bCs/>
        </w:rPr>
        <w:t xml:space="preserve">The debate.</w:t>
      </w:r>
      <w:r>
        <w:t xml:space="preserve"> The corpus contains an enormous body of work on machine learning for cyber defence — approximately 80 of 105 papers, spanning federated learning, explainable anomaly detection, and threat-intelligence pipelines. Collectively these establish that </w:t>
      </w:r>
      <w:r>
        <w:rPr>
          <w:b/>
          <w:bCs/>
        </w:rPr>
        <w:t xml:space="preserve">defensive automation is being built at scale</w:t>
      </w:r>
      <w:r>
        <w:t xml:space="preserve">. What they do not do is theorise its strategic consequences.</w:t>
      </w:r>
    </w:p>
    <w:p>
      <w:pPr>
        <w:spacing w:after="140" w:line="300"/>
        <w:jc w:val="both"/>
      </w:pPr>
      <w:r>
        <w:rPr>
          <w:b/>
          <w:bCs/>
        </w:rPr>
        <w:t xml:space="preserve">The one bridge.</w:t>
      </w:r>
      <w:r>
        <w:t xml:space="preserve"> Butt &amp; Ulina (2026), §7.1, is the only fully-extracted paper connecting autonomy to offensive operations:</w:t>
      </w:r>
    </w:p>
    <w:p>
      <w:pPr>
        <w:pBdr>
          <w:left w:val="single" w:color="7A93AC" w:sz="12" w:space="8"/>
        </w:pBdr>
        <w:spacing w:after="140" w:before="140"/>
        <w:ind w:left="480" w:right="360"/>
      </w:pPr>
      <w:r>
        <w:rPr>
          <w:i/>
          <w:iCs/>
          <w:sz w:val="21"/>
          <w:szCs w:val="21"/>
        </w:rPr>
        <w:t xml:space="preserve">"While fully autonomous offensive cyber weapons are still largely theoretical, AI is being used to aid in reconnaissance, vulnerability discovery, phishing, malware development, and the adaptation of cyber exploits. As these abilities develop, any future system could recognize targets, determine attack routes, and conduct portions of an operation without human participation."</w:t>
      </w:r>
    </w:p>
    <w:p>
      <w:pPr>
        <w:spacing w:after="140" w:line="300"/>
        <w:jc w:val="both"/>
      </w:pPr>
      <w:r>
        <w:rPr>
          <w:b/>
          <w:bCs/>
        </w:rPr>
        <w:t xml:space="preserve">Strength of evidence.</w:t>
      </w:r>
      <w:r>
        <w:t xml:space="preserve"> Weak. The claim is asserted, sourced to OpenAI (2024) and Schneier (2023), in a very new and low-ranked journal. Its value is that it is a </w:t>
      </w:r>
      <w:r>
        <w:rPr>
          <w:i/>
          <w:iCs/>
        </w:rPr>
        <w:t xml:space="preserve">conservative</w:t>
      </w:r>
      <w:r>
        <w:t xml:space="preserve"> estimate from a source with no incentive to be conservative: as of 2026, autonomy operates at the level of sub-task assistance, not end-to-end operation.</w:t>
      </w:r>
    </w:p>
    <w:p>
      <w:pPr>
        <w:spacing w:after="140" w:line="300"/>
        <w:jc w:val="both"/>
      </w:pPr>
      <w:r>
        <w:rPr>
          <w:b/>
          <w:bCs/>
        </w:rPr>
        <w:t xml:space="preserve">Unresolved.</w:t>
      </w:r>
      <w:r>
        <w:t xml:space="preserve"> Everything that matters for the RQ. No corpus paper offers a rate of change, a threshold, or a mechanism linking autonomy to strategic stability.</w:t>
      </w:r>
    </w:p>
    <w:p>
      <w:pPr>
        <w:spacing w:after="140" w:line="300"/>
        <w:jc w:val="both"/>
      </w:pPr>
      <w:r>
        <w:rPr>
          <w:b/>
          <w:bCs/>
        </w:rPr>
        <w:t xml:space="preserve">Synthesis.</w:t>
      </w:r>
      <w:r>
        <w:t xml:space="preserve"> The corpus establishes that autonomy is arriving and that it is not yet autonomous in the strategically decisive sense. It offers no theory of what happens when it is.</w:t>
      </w:r>
    </w:p>
    <w:p>
      <w:pPr>
        <w:pStyle w:val="Heading2"/>
        <w:keepNext/>
        <w:spacing w:after="140" w:before="240"/>
      </w:pPr>
      <w:r>
        <w:t xml:space="preserve">Theme 4 — Deterrence, denial, and the security dilemma</w:t>
      </w:r>
    </w:p>
    <w:p>
      <w:pPr>
        <w:spacing w:after="140" w:line="300"/>
        <w:jc w:val="both"/>
      </w:pPr>
      <w:r>
        <w:t xml:space="preserve">Guttieri (2025) invokes Buchanan's </w:t>
      </w:r>
      <w:r>
        <w:rPr>
          <w:b/>
          <w:bCs/>
        </w:rPr>
        <w:t xml:space="preserve">cybersecurity dilemma</w:t>
      </w:r>
      <w:r>
        <w:t xml:space="preserve">, "an extension of the traditional security dilemma in which a state's efforts to secure itself provoke escalation from others" — the offence–defence mechanism under another name. Her policy conclusion favours denial: "Deterrence by punishment is difficult to execute when adversaries can exploit ambiguity."</w:t>
      </w:r>
    </w:p>
    <w:p>
      <w:pPr>
        <w:spacing w:after="140" w:line="300"/>
        <w:jc w:val="both"/>
      </w:pPr>
      <w:r>
        <w:t xml:space="preserve">She also reports Cunningham (2022) on China's use of cyber as a stand-in for nuclear escalation, "leveraging them for signaling and coercion," and concludes: "Rather than deterring escalation, China's use of cyber operations appears designed to shape conditions for conflict."</w:t>
      </w:r>
    </w:p>
    <w:p>
      <w:pPr>
        <w:spacing w:after="140" w:line="300"/>
        <w:jc w:val="both"/>
      </w:pPr>
      <w:r>
        <w:t xml:space="preserve">Crucially, she identifies a </w:t>
      </w:r>
      <w:r>
        <w:rPr>
          <w:b/>
          <w:bCs/>
        </w:rPr>
        <w:t xml:space="preserve">destabilisation mechanism</w:t>
      </w:r>
      <w:r>
        <w:t xml:space="preserve">: entanglement across cyber, space and nuclear systems "undermines their reliability as controlled instruments of deterrence or coercion," such that "even a limited cyberattack could inadvertently disrupt critical infrastructure and escalate tensions far beyond its intended scope."</w:t>
      </w:r>
    </w:p>
    <w:p>
      <w:pPr>
        <w:spacing w:after="140" w:line="300"/>
        <w:jc w:val="both"/>
      </w:pPr>
      <w:r>
        <w:rPr>
          <w:b/>
          <w:bCs/>
        </w:rPr>
        <w:t xml:space="preserve">Synthesis.</w:t>
      </w:r>
      <w:r>
        <w:t xml:space="preserve"> This supplies the destabiliser half of the RQ — but again, without AI.</w:t>
      </w:r>
    </w:p>
    <w:p>
      <w:pPr>
        <w:pBdr>
          <w:bottom w:val="single" w:color="BBBBBB" w:sz="6" w:space="1"/>
        </w:pBdr>
        <w:spacing w:after="120" w:before="120"/>
      </w:pPr>
      <w:r>
        <w:t xml:space="preserve"/>
      </w:r>
    </w:p>
    <w:p>
      <w:pPr>
        <w:pStyle w:val="Heading1"/>
        <w:keepNext/>
        <w:spacing w:after="140" w:before="360"/>
      </w:pPr>
      <w:r>
        <w:t xml:space="preserve">4. Research Gap</w:t>
      </w:r>
    </w:p>
    <w:p>
      <w:pPr>
        <w:pStyle w:val="Heading2"/>
        <w:keepNext/>
        <w:spacing w:after="140" w:before="240"/>
      </w:pPr>
      <w:r>
        <w:t xml:space="preserve">4.1 The core gap, evidenced — and its correct scope</w:t>
      </w:r>
    </w:p>
    <w:p>
      <w:pPr>
        <w:spacing w:after="140" w:line="300"/>
        <w:jc w:val="both"/>
      </w:pPr>
      <w:r>
        <w:rPr>
          <w:b/>
          <w:bCs/>
        </w:rPr>
        <w:t xml:space="preserve">Statement of the gap.</w:t>
      </w:r>
      <w:r>
        <w:t xml:space="preserve"> </w:t>
      </w:r>
      <w:r>
        <w:rPr>
          <w:i/>
          <w:iCs/>
        </w:rPr>
        <w:t xml:space="preserve">The intersection of AI autonomy and the offence–defence balance has been identified as a research direction within the literature, and remains uninvestigated — including by the author who identified it.</w:t>
      </w:r>
    </w:p>
    <w:p>
      <w:pPr>
        <w:spacing w:after="140" w:line="300"/>
        <w:jc w:val="both"/>
      </w:pPr>
      <w:r>
        <w:t xml:space="preserve">An earlier draft of this paper claimed that </w:t>
      </w:r>
      <w:r>
        <w:rPr>
          <w:b/>
          <w:bCs/>
        </w:rPr>
        <w:t xml:space="preserve">no</w:t>
      </w:r>
      <w:r>
        <w:t xml:space="preserve"> corpus paper connects AI autonomy to the offence–defence balance. </w:t>
      </w:r>
      <w:r>
        <w:rPr>
          <w:b/>
          <w:bCs/>
        </w:rPr>
        <w:t xml:space="preserve">Extraction 09 falsified that claim and it has been withdrawn.</w:t>
      </w:r>
      <w:r>
        <w:t xml:space="preserve"> Melella's doctoral dissertation uses </w:t>
      </w:r>
      <w:r>
        <w:rPr>
          <w:rFonts w:ascii="Consolas" w:cs="Consolas" w:eastAsia="Consolas" w:hAnsi="Consolas"/>
          <w:sz w:val="19"/>
          <w:szCs w:val="19"/>
        </w:rPr>
        <w:t xml:space="preserve">offense-defense</w:t>
      </w:r>
      <w:r>
        <w:t xml:space="preserve">/</w:t>
      </w:r>
      <w:r>
        <w:rPr>
          <w:rFonts w:ascii="Consolas" w:cs="Consolas" w:eastAsia="Consolas" w:hAnsi="Consolas"/>
          <w:sz w:val="19"/>
          <w:szCs w:val="19"/>
        </w:rPr>
        <w:t xml:space="preserve">offence-defence</w:t>
      </w:r>
      <w:r>
        <w:t xml:space="preserve"> 21 times, devotes Chapter I §4 to "Offence-Defence Balance in Cyberspace," engages AI across a dedicated chapter on the NATO Locked Shields exercise, and states directly:</w:t>
      </w:r>
    </w:p>
    <w:p>
      <w:pPr>
        <w:pBdr>
          <w:left w:val="single" w:color="7A93AC" w:sz="12" w:space="8"/>
        </w:pBdr>
        <w:spacing w:after="140" w:before="140"/>
        <w:ind w:left="480" w:right="360"/>
      </w:pPr>
      <w:r>
        <w:rPr>
          <w:i/>
          <w:iCs/>
          <w:sz w:val="21"/>
          <w:szCs w:val="21"/>
        </w:rPr>
        <w:t xml:space="preserve">"</w:t>
      </w:r>
      <w:r>
        <w:rPr>
          <w:b/>
          <w:bCs/>
          <w:i/>
          <w:iCs/>
          <w:sz w:val="21"/>
          <w:szCs w:val="21"/>
        </w:rPr>
        <w:t xml:space="preserve">The advancement of technologies, particularly artificial intelligence, is changing the landscape of cyberspace. Studying how these emerging technologies affect the offensive-defensive balance could reveal new dynamics and challenges.</w:t>
      </w:r>
      <w:r>
        <w:rPr>
          <w:i/>
          <w:iCs/>
          <w:sz w:val="21"/>
          <w:szCs w:val="21"/>
        </w:rPr>
        <w:t xml:space="preserve">"</w:t>
      </w:r>
    </w:p>
    <w:p>
      <w:pPr>
        <w:spacing w:after="140" w:line="300"/>
        <w:jc w:val="both"/>
      </w:pPr>
      <w:r>
        <w:t xml:space="preserve">He adds a second observation that bears directly on this paper's framing:</w:t>
      </w:r>
    </w:p>
    <w:p>
      <w:pPr>
        <w:pBdr>
          <w:left w:val="single" w:color="7A93AC" w:sz="12" w:space="8"/>
        </w:pBdr>
        <w:spacing w:after="140" w:before="140"/>
        <w:ind w:left="480" w:right="360"/>
      </w:pPr>
      <w:r>
        <w:rPr>
          <w:i/>
          <w:iCs/>
          <w:sz w:val="21"/>
          <w:szCs w:val="21"/>
        </w:rPr>
        <w:t xml:space="preserve">"An under-explored area is </w:t>
      </w:r>
      <w:r>
        <w:rPr>
          <w:b/>
          <w:bCs/>
          <w:i/>
          <w:iCs/>
          <w:sz w:val="21"/>
          <w:szCs w:val="21"/>
        </w:rPr>
        <w:t xml:space="preserve">how actors perceive the offensive-defensive balance and how these perceptions influence their policy and strategy decisions.</w:t>
      </w:r>
      <w:r>
        <w:rPr>
          <w:i/>
          <w:iCs/>
          <w:sz w:val="21"/>
          <w:szCs w:val="21"/>
        </w:rPr>
        <w:t xml:space="preserve">"</w:t>
      </w:r>
    </w:p>
    <w:p>
      <w:pPr>
        <w:spacing w:after="140" w:line="300"/>
        <w:jc w:val="both"/>
      </w:pPr>
      <w:r>
        <w:rPr>
          <w:b/>
          <w:bCs/>
        </w:rPr>
        <w:t xml:space="preserve">The gap survives, in a more precise and better-warranted form.</w:t>
      </w:r>
      <w:r>
        <w:t xml:space="preserve"> Melella </w:t>
      </w:r>
      <w:r>
        <w:rPr>
          <w:i/>
          <w:iCs/>
        </w:rPr>
        <w:t xml:space="preserve">names</w:t>
      </w:r>
      <w:r>
        <w:t xml:space="preserve"> the intersection as future research; he does not investigate it. His dependent variable is </w:t>
      </w:r>
      <w:r>
        <w:rPr>
          <w:b/>
          <w:bCs/>
        </w:rPr>
        <w:t xml:space="preserve">coordination</w:t>
      </w:r>
      <w:r>
        <w:t xml:space="preserve">, not the balance. His AI chapter develops an ML-based IDS dataset for an exercise — defensive tooling, not strategic consequence. The offence–defence material is literature review, the AI material is dataset engineering, and the two are never joined analytically.</w:t>
      </w:r>
    </w:p>
    <w:p>
      <w:pPr>
        <w:spacing w:after="140" w:line="300"/>
        <w:jc w:val="both"/>
      </w:pPr>
      <w:r>
        <w:t xml:space="preserve">This is a weaker claim about novelty and a </w:t>
      </w:r>
      <w:r>
        <w:rPr>
          <w:b/>
          <w:bCs/>
        </w:rPr>
        <w:t xml:space="preserve">stronger claim about warrant</w:t>
      </w:r>
      <w:r>
        <w:t xml:space="preserve">: an independent doctoral researcher in security studies, working the same terrain, arrived at the same gap. That is better evidence that the question matters than an absence of mentions could ever be. It also means the paper must be positioned as </w:t>
      </w:r>
      <w:r>
        <w:rPr>
          <w:i/>
          <w:iCs/>
        </w:rPr>
        <w:t xml:space="preserve">answering a recognised open question</w:t>
      </w:r>
      <w:r>
        <w:t xml:space="preserve">, not as discovering an unnoticed one — a distinction reviewers care about.</w:t>
      </w:r>
    </w:p>
    <w:p>
      <w:pPr>
        <w:spacing w:after="140" w:line="300"/>
        <w:jc w:val="both"/>
      </w:pPr>
      <w:r>
        <w:rPr>
          <w:b/>
          <w:bCs/>
        </w:rPr>
        <w:t xml:space="preserve">The remaining eight extractions do sustain the pattern.</w:t>
      </w:r>
      <w:r>
        <w:t xml:space="preserve"> Term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2" w:color="auto" w:val="clear"/>
            <w:tcMar>
              <w:top w:type="dxa" w:w="60"/>
              <w:left w:type="dxa" w:w="100"/>
              <w:bottom w:type="dxa" w:w="60"/>
              <w:right w:type="dxa" w:w="100"/>
            </w:tcMar>
          </w:tcPr>
          <w:p>
            <w:pPr>
              <w:spacing w:after="20" w:before="20"/>
            </w:pPr>
            <w:r>
              <w:rPr>
                <w:b/>
                <w:bCs/>
                <w:sz w:val="19"/>
                <w:szCs w:val="19"/>
              </w:rPr>
              <w:t xml:space="preserve">Paper</w:t>
            </w:r>
          </w:p>
        </w:tc>
        <w:tc>
          <w:tcPr>
            <w:tcW w:type="dxa" w:w="3120"/>
            <w:shd w:fill="E8EDF2" w:color="auto" w:val="clear"/>
            <w:tcMar>
              <w:top w:type="dxa" w:w="60"/>
              <w:left w:type="dxa" w:w="100"/>
              <w:bottom w:type="dxa" w:w="60"/>
              <w:right w:type="dxa" w:w="100"/>
            </w:tcMar>
          </w:tcPr>
          <w:p>
            <w:pPr>
              <w:spacing w:after="20" w:before="20"/>
            </w:pPr>
            <w:r>
              <w:rPr>
                <w:b/>
                <w:bCs/>
                <w:sz w:val="19"/>
                <w:szCs w:val="19"/>
              </w:rPr>
              <w:t xml:space="preserve">Theorises strategy</w:t>
            </w:r>
          </w:p>
        </w:tc>
        <w:tc>
          <w:tcPr>
            <w:tcW w:type="dxa" w:w="3120"/>
            <w:shd w:fill="E8EDF2" w:color="auto" w:val="clear"/>
            <w:tcMar>
              <w:top w:type="dxa" w:w="60"/>
              <w:left w:type="dxa" w:w="100"/>
              <w:bottom w:type="dxa" w:w="60"/>
              <w:right w:type="dxa" w:w="100"/>
            </w:tcMar>
          </w:tcPr>
          <w:p>
            <w:pPr>
              <w:spacing w:after="20" w:before="20"/>
            </w:pPr>
            <w:r>
              <w:rPr>
                <w:b/>
                <w:bCs/>
                <w:sz w:val="19"/>
                <w:szCs w:val="19"/>
              </w:rPr>
              <w:t xml:space="preserve">Engages AI autonomy</w:t>
            </w:r>
          </w:p>
        </w:tc>
      </w:tr>
      <w:tr>
        <w:trPr>
          <w:tblHeader w:val="false"/>
        </w:trPr>
        <w:tc>
          <w:tcPr>
            <w:tcW w:type="dxa" w:w="3120"/>
            <w:tcMar>
              <w:top w:type="dxa" w:w="60"/>
              <w:left w:type="dxa" w:w="100"/>
              <w:bottom w:type="dxa" w:w="60"/>
              <w:right w:type="dxa" w:w="100"/>
            </w:tcMar>
          </w:tcPr>
          <w:p>
            <w:pPr>
              <w:spacing w:after="20" w:before="20"/>
            </w:pPr>
            <w:r>
              <w:rPr>
                <w:sz w:val="19"/>
                <w:szCs w:val="19"/>
              </w:rPr>
              <w:t xml:space="preserve">Maschmeyer (2023)</w:t>
            </w:r>
          </w:p>
        </w:tc>
        <w:tc>
          <w:tcPr>
            <w:tcW w:type="dxa" w:w="3120"/>
            <w:tcMar>
              <w:top w:type="dxa" w:w="60"/>
              <w:left w:type="dxa" w:w="100"/>
              <w:bottom w:type="dxa" w:w="60"/>
              <w:right w:type="dxa" w:w="100"/>
            </w:tcMar>
          </w:tcPr>
          <w:p>
            <w:pPr>
              <w:spacing w:after="20" w:before="20"/>
            </w:pPr>
            <w:r>
              <w:rPr>
                <w:sz w:val="19"/>
                <w:szCs w:val="19"/>
              </w:rPr>
              <w:t xml:space="preserve">✓✓</w:t>
            </w:r>
          </w:p>
        </w:tc>
        <w:tc>
          <w:tcPr>
            <w:tcW w:type="dxa" w:w="3120"/>
            <w:tcMar>
              <w:top w:type="dxa" w:w="60"/>
              <w:left w:type="dxa" w:w="100"/>
              <w:bottom w:type="dxa" w:w="60"/>
              <w:right w:type="dxa" w:w="100"/>
            </w:tcMar>
          </w:tcPr>
          <w:p>
            <w:pPr>
              <w:spacing w:after="20" w:before="20"/>
            </w:pPr>
            <w:r>
              <w:rPr>
                <w:sz w:val="19"/>
                <w:szCs w:val="19"/>
              </w:rPr>
              <w:t xml:space="preserve">0 mentions</w:t>
            </w:r>
          </w:p>
        </w:tc>
      </w:tr>
      <w:tr>
        <w:trPr>
          <w:tblHeader w:val="false"/>
        </w:trPr>
        <w:tc>
          <w:tcPr>
            <w:tcW w:type="dxa" w:w="3120"/>
            <w:tcMar>
              <w:top w:type="dxa" w:w="60"/>
              <w:left w:type="dxa" w:w="100"/>
              <w:bottom w:type="dxa" w:w="60"/>
              <w:right w:type="dxa" w:w="100"/>
            </w:tcMar>
          </w:tcPr>
          <w:p>
            <w:pPr>
              <w:spacing w:after="20" w:before="20"/>
            </w:pPr>
            <w:r>
              <w:rPr>
                <w:sz w:val="19"/>
                <w:szCs w:val="19"/>
              </w:rPr>
              <w:t xml:space="preserve">Singh et al. (2025)</w:t>
            </w:r>
          </w:p>
        </w:tc>
        <w:tc>
          <w:tcPr>
            <w:tcW w:type="dxa" w:w="3120"/>
            <w:tcMar>
              <w:top w:type="dxa" w:w="60"/>
              <w:left w:type="dxa" w:w="100"/>
              <w:bottom w:type="dxa" w:w="60"/>
              <w:right w:type="dxa" w:w="100"/>
            </w:tcMar>
          </w:tcPr>
          <w:p>
            <w:pPr>
              <w:spacing w:after="20" w:before="20"/>
            </w:pPr>
            <w:r>
              <w:rPr>
                <w:sz w:val="19"/>
                <w:szCs w:val="19"/>
              </w:rPr>
              <w:t xml:space="preserve">✓</w:t>
            </w:r>
          </w:p>
        </w:tc>
        <w:tc>
          <w:tcPr>
            <w:tcW w:type="dxa" w:w="3120"/>
            <w:tcMar>
              <w:top w:type="dxa" w:w="60"/>
              <w:left w:type="dxa" w:w="100"/>
              <w:bottom w:type="dxa" w:w="60"/>
              <w:right w:type="dxa" w:w="100"/>
            </w:tcMar>
          </w:tcPr>
          <w:p>
            <w:pPr>
              <w:spacing w:after="20" w:before="20"/>
            </w:pPr>
            <w:r>
              <w:rPr>
                <w:sz w:val="19"/>
                <w:szCs w:val="19"/>
              </w:rPr>
              <w:t xml:space="preserve">0 mentions</w:t>
            </w:r>
          </w:p>
        </w:tc>
      </w:tr>
      <w:tr>
        <w:trPr>
          <w:tblHeader w:val="false"/>
        </w:trPr>
        <w:tc>
          <w:tcPr>
            <w:tcW w:type="dxa" w:w="3120"/>
            <w:tcMar>
              <w:top w:type="dxa" w:w="60"/>
              <w:left w:type="dxa" w:w="100"/>
              <w:bottom w:type="dxa" w:w="60"/>
              <w:right w:type="dxa" w:w="100"/>
            </w:tcMar>
          </w:tcPr>
          <w:p>
            <w:pPr>
              <w:spacing w:after="20" w:before="20"/>
            </w:pPr>
            <w:r>
              <w:rPr>
                <w:sz w:val="19"/>
                <w:szCs w:val="19"/>
              </w:rPr>
              <w:t xml:space="preserve">Guttieri (2025)</w:t>
            </w:r>
          </w:p>
        </w:tc>
        <w:tc>
          <w:tcPr>
            <w:tcW w:type="dxa" w:w="3120"/>
            <w:tcMar>
              <w:top w:type="dxa" w:w="60"/>
              <w:left w:type="dxa" w:w="100"/>
              <w:bottom w:type="dxa" w:w="60"/>
              <w:right w:type="dxa" w:w="100"/>
            </w:tcMar>
          </w:tcPr>
          <w:p>
            <w:pPr>
              <w:spacing w:after="20" w:before="20"/>
            </w:pPr>
            <w:r>
              <w:rPr>
                <w:sz w:val="19"/>
                <w:szCs w:val="19"/>
              </w:rPr>
              <w:t xml:space="preserve">✓✓</w:t>
            </w:r>
          </w:p>
        </w:tc>
        <w:tc>
          <w:tcPr>
            <w:tcW w:type="dxa" w:w="3120"/>
            <w:tcMar>
              <w:top w:type="dxa" w:w="60"/>
              <w:left w:type="dxa" w:w="100"/>
              <w:bottom w:type="dxa" w:w="60"/>
              <w:right w:type="dxa" w:w="100"/>
            </w:tcMar>
          </w:tcPr>
          <w:p>
            <w:pPr>
              <w:spacing w:after="20" w:before="20"/>
            </w:pPr>
            <w:r>
              <w:rPr>
                <w:sz w:val="19"/>
                <w:szCs w:val="19"/>
              </w:rPr>
              <w:t xml:space="preserve">0 mentions</w:t>
            </w:r>
          </w:p>
        </w:tc>
      </w:tr>
      <w:tr>
        <w:trPr>
          <w:tblHeader w:val="false"/>
        </w:trPr>
        <w:tc>
          <w:tcPr>
            <w:tcW w:type="dxa" w:w="3120"/>
            <w:tcMar>
              <w:top w:type="dxa" w:w="60"/>
              <w:left w:type="dxa" w:w="100"/>
              <w:bottom w:type="dxa" w:w="60"/>
              <w:right w:type="dxa" w:w="100"/>
            </w:tcMar>
          </w:tcPr>
          <w:p>
            <w:pPr>
              <w:spacing w:after="20" w:before="20"/>
            </w:pPr>
            <w:r>
              <w:rPr>
                <w:sz w:val="19"/>
                <w:szCs w:val="19"/>
              </w:rPr>
              <w:t xml:space="preserve">Butt &amp; Ulina (2026)</w:t>
            </w:r>
          </w:p>
        </w:tc>
        <w:tc>
          <w:tcPr>
            <w:tcW w:type="dxa" w:w="3120"/>
            <w:tcMar>
              <w:top w:type="dxa" w:w="60"/>
              <w:left w:type="dxa" w:w="100"/>
              <w:bottom w:type="dxa" w:w="60"/>
              <w:right w:type="dxa" w:w="100"/>
            </w:tcMar>
          </w:tcPr>
          <w:p>
            <w:pPr>
              <w:spacing w:after="20" w:before="20"/>
            </w:pPr>
            <w:r>
              <w:rPr>
                <w:sz w:val="19"/>
                <w:szCs w:val="19"/>
              </w:rPr>
              <w:t xml:space="preserve">✗</w:t>
            </w:r>
          </w:p>
        </w:tc>
        <w:tc>
          <w:tcPr>
            <w:tcW w:type="dxa" w:w="3120"/>
            <w:tcMar>
              <w:top w:type="dxa" w:w="60"/>
              <w:left w:type="dxa" w:w="100"/>
              <w:bottom w:type="dxa" w:w="60"/>
              <w:right w:type="dxa" w:w="100"/>
            </w:tcMar>
          </w:tcPr>
          <w:p>
            <w:pPr>
              <w:spacing w:after="20" w:before="20"/>
            </w:pPr>
            <w:r>
              <w:rPr>
                <w:sz w:val="19"/>
                <w:szCs w:val="19"/>
              </w:rPr>
              <w:t xml:space="preserve">✓</w:t>
            </w:r>
          </w:p>
        </w:tc>
      </w:tr>
    </w:tbl>
    <w:p>
      <w:pPr>
        <w:spacing w:after="160"/>
      </w:pPr>
      <w:r>
        <w:t xml:space="preserve"/>
      </w:r>
    </w:p>
    <w:p>
      <w:pPr>
        <w:spacing w:after="140" w:line="300"/>
        <w:jc w:val="both"/>
      </w:pPr>
      <w:r>
        <w:rPr>
          <w:b/>
          <w:bCs/>
        </w:rPr>
        <w:t xml:space="preserve">Among these, the papers that theorise cyber strategy do not engage AI, and the papers that engage AI do not theorise.</w:t>
      </w:r>
      <w:r>
        <w:t xml:space="preserve"> The pattern holds bilaterally: Yigit et al. (2025) — the corpus's substantive agentic-AI paper, 25 mentions, from an established research group — contains </w:t>
      </w:r>
      <w:r>
        <w:rPr>
          <w:b/>
          <w:bCs/>
        </w:rPr>
        <w:t xml:space="preserve">zero</w:t>
      </w:r>
      <w:r>
        <w:t xml:space="preserve"> occurrences of </w:t>
      </w:r>
      <w:r>
        <w:rPr>
          <w:rFonts w:ascii="Consolas" w:cs="Consolas" w:eastAsia="Consolas" w:hAnsi="Consolas"/>
          <w:sz w:val="19"/>
          <w:szCs w:val="19"/>
        </w:rPr>
        <w:t xml:space="preserve">Volt Typhoon</w:t>
      </w:r>
      <w:r>
        <w:t xml:space="preserve">, </w:t>
      </w:r>
      <w:r>
        <w:rPr>
          <w:rFonts w:ascii="Consolas" w:cs="Consolas" w:eastAsia="Consolas" w:hAnsi="Consolas"/>
          <w:sz w:val="19"/>
          <w:szCs w:val="19"/>
        </w:rPr>
        <w:t xml:space="preserve">offense-defense</w:t>
      </w:r>
      <w:r>
        <w:t xml:space="preserve">, or </w:t>
      </w:r>
      <w:r>
        <w:rPr>
          <w:rFonts w:ascii="Consolas" w:cs="Consolas" w:eastAsia="Consolas" w:hAnsi="Consolas"/>
          <w:sz w:val="19"/>
          <w:szCs w:val="19"/>
        </w:rPr>
        <w:t xml:space="preserve">deterrence</w:t>
      </w:r>
      <w:r>
        <w:t xml:space="preserve">. Kabir et al. (2026), the only corpus item returned by both the </w:t>
      </w:r>
      <w:r>
        <w:rPr>
          <w:rFonts w:ascii="Consolas" w:cs="Consolas" w:eastAsia="Consolas" w:hAnsi="Consolas"/>
          <w:sz w:val="19"/>
          <w:szCs w:val="19"/>
        </w:rPr>
        <w:t xml:space="preserve">Volt Typhoon</w:t>
      </w:r>
      <w:r>
        <w:t xml:space="preserve"> and </w:t>
      </w:r>
      <w:r>
        <w:rPr>
          <w:rFonts w:ascii="Consolas" w:cs="Consolas" w:eastAsia="Consolas" w:hAnsi="Consolas"/>
          <w:sz w:val="19"/>
          <w:szCs w:val="19"/>
        </w:rPr>
        <w:t xml:space="preserve">agentic</w:t>
      </w:r>
      <w:r>
        <w:t xml:space="preserve"> searches, mentions </w:t>
      </w:r>
      <w:r>
        <w:rPr>
          <w:rFonts w:ascii="Consolas" w:cs="Consolas" w:eastAsia="Consolas" w:hAnsi="Consolas"/>
          <w:sz w:val="19"/>
          <w:szCs w:val="19"/>
        </w:rPr>
        <w:t xml:space="preserve">agentic</w:t>
      </w:r>
      <w:r>
        <w:t xml:space="preserve"> once, in a bibliography entry.</w:t>
      </w:r>
    </w:p>
    <w:p>
      <w:pPr>
        <w:spacing w:after="140" w:line="300"/>
        <w:jc w:val="both"/>
      </w:pPr>
      <w:r>
        <w:t xml:space="preserve">Corpus-wide triage: of 105 papers, only 5 contain </w:t>
      </w:r>
      <w:r>
        <w:rPr>
          <w:rFonts w:ascii="Consolas" w:cs="Consolas" w:eastAsia="Consolas" w:hAnsi="Consolas"/>
          <w:sz w:val="19"/>
          <w:szCs w:val="19"/>
        </w:rPr>
        <w:t xml:space="preserve">agentic</w:t>
      </w:r>
      <w:r>
        <w:t xml:space="preserve"> and 5 return on </w:t>
      </w:r>
      <w:r>
        <w:rPr>
          <w:rFonts w:ascii="Consolas" w:cs="Consolas" w:eastAsia="Consolas" w:hAnsi="Consolas"/>
          <w:sz w:val="19"/>
          <w:szCs w:val="19"/>
        </w:rPr>
        <w:t xml:space="preserve">offense-defense balance</w:t>
      </w:r>
      <w:r>
        <w:t xml:space="preserve"> — of which verification showed at least one false positive (Singh et al., 2025, contains zero occurrences).</w:t>
      </w:r>
    </w:p>
    <w:p>
      <w:pPr>
        <w:pStyle w:val="Heading2"/>
        <w:keepNext/>
        <w:spacing w:after="140" w:before="240"/>
      </w:pPr>
      <w:r>
        <w:t xml:space="preserve">4.2 Conceptual gap</w:t>
      </w:r>
    </w:p>
    <w:p>
      <w:pPr>
        <w:spacing w:after="140" w:line="300"/>
        <w:jc w:val="both"/>
      </w:pPr>
      <w:r>
        <w:t xml:space="preserve">No corpus paper defines the </w:t>
      </w:r>
      <w:r>
        <w:rPr>
          <w:i/>
          <w:iCs/>
        </w:rPr>
        <w:t xml:space="preserve">unit</w:t>
      </w:r>
      <w:r>
        <w:t xml:space="preserve"> in which an offence–defence shift would be measured for cyber. Maschmeyer (2023) argues the concept may not travel to cyber at all. Without a defined dependent variable, "shift in the balance" is not yet a researchable proposition.</w:t>
      </w:r>
    </w:p>
    <w:p>
      <w:pPr>
        <w:pStyle w:val="Heading2"/>
        <w:keepNext/>
        <w:spacing w:after="140" w:before="240"/>
      </w:pPr>
      <w:r>
        <w:t xml:space="preserve">4.3 Theoretical gap — REVISED after extractions 05 and 06</w:t>
      </w:r>
    </w:p>
    <w:p>
      <w:pPr>
        <w:spacing w:after="140" w:line="300"/>
        <w:jc w:val="both"/>
      </w:pPr>
      <w:r>
        <w:t xml:space="preserve">The first draft of this paper argued that Guttieri's (2025) reading of pre-positioning rests on an unexamined costly-signalling premise — persistence requires "technical competence and </w:t>
      </w:r>
      <w:r>
        <w:rPr>
          <w:b/>
          <w:bCs/>
        </w:rPr>
        <w:t xml:space="preserve">strategic patience</w:t>
      </w:r>
      <w:r>
        <w:t xml:space="preserve">" — and that AI autonomy would erode it.</w:t>
      </w:r>
    </w:p>
    <w:p>
      <w:pPr>
        <w:spacing w:after="140" w:line="300"/>
        <w:jc w:val="both"/>
      </w:pPr>
      <w:r>
        <w:rPr>
          <w:b/>
          <w:bCs/>
        </w:rPr>
        <w:t xml:space="preserve">Two subsequent extractions require that claim to be restated, and strengthen it.</w:t>
      </w:r>
    </w:p>
    <w:p>
      <w:pPr>
        <w:spacing w:after="140" w:line="300"/>
        <w:jc w:val="both"/>
      </w:pPr>
      <w:r>
        <w:rPr>
          <w:b/>
          <w:bCs/>
        </w:rPr>
        <w:t xml:space="preserve">First, a cost tension inside the corpus.</w:t>
      </w:r>
      <w:r>
        <w:t xml:space="preserve"> Sullivan (2025), writing in the </w:t>
      </w:r>
      <w:r>
        <w:rPr>
          <w:i/>
          <w:iCs/>
        </w:rPr>
        <w:t xml:space="preserve">same issue of the same journal</w:t>
      </w:r>
      <w:r>
        <w:t xml:space="preserve"> as Guttieri, asserts the opposite baseline: cyber operations are conducted "inexpensively," most do "not" require significant investment, and "the low cost of cyber operations extends far beyond the financial realm." Two Army Cyber Institute authors, one issue, incompatible cost premises.</w:t>
      </w:r>
    </w:p>
    <w:p>
      <w:pPr>
        <w:spacing w:after="140" w:line="300"/>
        <w:jc w:val="both"/>
      </w:pPr>
      <w:r>
        <w:t xml:space="preserve">The tension resolves by disaggregating cost. Sullivan addresses the </w:t>
      </w:r>
      <w:r>
        <w:rPr>
          <w:b/>
          <w:bCs/>
        </w:rPr>
        <w:t xml:space="preserve">cost of entry</w:t>
      </w:r>
      <w:r>
        <w:t xml:space="preserve">; Guttieri addresses the </w:t>
      </w:r>
      <w:r>
        <w:rPr>
          <w:b/>
          <w:bCs/>
        </w:rPr>
        <w:t xml:space="preserve">cost of undetected multi-year persistence in hardened infrastructure</w:t>
      </w:r>
      <w:r>
        <w:t xml:space="preserve">. The signalling inference rests on the second. Pre-positioning signals intent not because intrusion is hard, but because </w:t>
      </w:r>
      <w:r>
        <w:rPr>
          <w:i/>
          <w:iCs/>
        </w:rPr>
        <w:t xml:space="preserve">staying</w:t>
      </w:r>
      <w:r>
        <w:t xml:space="preserve"> is. The variable AI autonomy threatens is therefore the cost of </w:t>
      </w:r>
      <w:r>
        <w:rPr>
          <w:i/>
          <w:iCs/>
        </w:rPr>
        <w:t xml:space="preserve">sustained, undetected presence at scale</w:t>
      </w:r>
      <w:r>
        <w:t xml:space="preserve"> — a narrower and more defensible claim than the first draft made.</w:t>
      </w:r>
    </w:p>
    <w:p>
      <w:pPr>
        <w:spacing w:after="140" w:line="300"/>
        <w:jc w:val="both"/>
      </w:pPr>
      <w:r>
        <w:rPr>
          <w:b/>
          <w:bCs/>
        </w:rPr>
        <w:t xml:space="preserve">Second, and more consequentially: the signalling function is already failing.</w:t>
      </w:r>
      <w:r>
        <w:t xml:space="preserve"> Baram (2026) codes Volt Typhoon as a </w:t>
      </w:r>
      <w:r>
        <w:rPr>
          <w:b/>
          <w:bCs/>
        </w:rPr>
        <w:t xml:space="preserve">Type 3</w:t>
      </w:r>
      <w:r>
        <w:t xml:space="preserve"> event — "a shared advisory with pooled IoCs and defensive guidance… </w:t>
      </w:r>
      <w:r>
        <w:rPr>
          <w:b/>
          <w:bCs/>
        </w:rPr>
        <w:t xml:space="preserve">No alliance-led endorsement or sanctions package followed</w:t>
      </w:r>
      <w:r>
        <w:t xml:space="preserve">." The paradigmatic pre-positioning case drew the weakest available form of collective response. Baram identifies the mechanism: joint technical advisories cluster in "China-related cases focused on stealthy access and pre-positioning," and their "primary audience here is </w:t>
      </w:r>
      <w:r>
        <w:rPr>
          <w:b/>
          <w:bCs/>
        </w:rPr>
        <w:t xml:space="preserve">network defenders, not only state elites</w:t>
      </w:r>
      <w:r>
        <w:t xml:space="preserve">."</w:t>
      </w:r>
    </w:p>
    <w:p>
      <w:pPr>
        <w:spacing w:after="140" w:line="300"/>
        <w:jc w:val="both"/>
      </w:pPr>
      <w:r>
        <w:t xml:space="preserve">A coercive signal must reach political decision-makers to function. Pre-positioning is being routed to system administrators.</w:t>
      </w:r>
    </w:p>
    <w:p>
      <w:pPr>
        <w:spacing w:after="140" w:line="300"/>
        <w:jc w:val="both"/>
      </w:pPr>
      <w:r>
        <w:rPr>
          <w:b/>
          <w:bCs/>
        </w:rPr>
        <w:t xml:space="preserve">The response asymmetry.</w:t>
      </w:r>
      <w:r>
        <w:t xml:space="preserve"> Salt Typhoon — espionage against telecom metadata and law-enforcement surveillance systems — drew "sanctions imposed by the U.S. Treasury on PRC-linked cyber entities" (Urbanczyk et al., 2025; Treasury press release JY2792). Volt Typhoon — pre-positioning for disruption of water, energy, communications and transport — drew a technical advisory and, in Baram's (2026) words, "no alliance-led endorsement or sanctions package."</w:t>
      </w:r>
    </w:p>
    <w:p>
      <w:pPr>
        <w:spacing w:after="140" w:line="300"/>
        <w:jc w:val="both"/>
      </w:pPr>
      <w:r>
        <w:t xml:space="preserve">Same adversary, same period, same target state. </w:t>
      </w:r>
      <w:r>
        <w:rPr>
          <w:b/>
          <w:bCs/>
        </w:rPr>
        <w:t xml:space="preserve">The campaign that stole data was punished; the campaign pre-positioned for sabotage was not.</w:t>
      </w:r>
      <w:r>
        <w:t xml:space="preserve"> On any strategic reading the severity ordering is inverted. State response tracks </w:t>
      </w:r>
      <w:r>
        <w:rPr>
          <w:b/>
          <w:bCs/>
        </w:rPr>
        <w:t xml:space="preserve">legibility and precedent</w:t>
      </w:r>
      <w:r>
        <w:t xml:space="preserve">, not gravity — which is exactly what a degraded signalling channel would predict.</w:t>
      </w:r>
    </w:p>
    <w:p>
      <w:pPr>
        <w:spacing w:after="140" w:line="300"/>
        <w:jc w:val="both"/>
      </w:pPr>
      <w:r>
        <w:rPr>
          <w:b/>
          <w:bCs/>
        </w:rPr>
        <w:t xml:space="preserve">The corpus therefore documents three independent failure modes:</w:t>
      </w:r>
    </w:p>
    <w:p>
      <w:pPr>
        <w:pStyle w:val="ListParagraph"/>
        <w:numPr>
          <w:ilvl w:val="0"/>
          <w:numId w:val="2"/>
        </w:numPr>
        <w:spacing w:after="60"/>
      </w:pPr>
      <w:r>
        <w:rPr>
          <w:b/>
          <w:bCs/>
        </w:rPr>
        <w:t xml:space="preserve">Non-reception</w:t>
      </w:r>
      <w:r>
        <w:t xml:space="preserve"> — operations "lack sufficient political salience to activate</w:t>
      </w:r>
    </w:p>
    <w:p>
      <w:pPr>
        <w:spacing w:after="140" w:line="300"/>
        <w:jc w:val="both"/>
      </w:pPr>
      <w:r>
        <w:t xml:space="preserve">political institutions" (Sullivan, 2025).</w:t>
      </w:r>
    </w:p>
    <w:p>
      <w:pPr>
        <w:pStyle w:val="ListParagraph"/>
        <w:numPr>
          <w:ilvl w:val="0"/>
          <w:numId w:val="2"/>
        </w:numPr>
        <w:spacing w:after="60"/>
      </w:pPr>
      <w:r>
        <w:rPr>
          <w:b/>
          <w:bCs/>
        </w:rPr>
        <w:t xml:space="preserve">Denial</w:t>
      </w:r>
      <w:r>
        <w:t xml:space="preserve"> — the putative sender disowns the signal; the PRC calls Volt Typhoon a US</w:t>
      </w:r>
    </w:p>
    <w:p>
      <w:pPr>
        <w:spacing w:after="140" w:line="300"/>
        <w:jc w:val="both"/>
      </w:pPr>
      <w:r>
        <w:t xml:space="preserve">fabrication and counter-accuses over the MARBLE toolkit (Singh et al., 2025).</w:t>
      </w:r>
    </w:p>
    <w:p>
      <w:pPr>
        <w:pStyle w:val="ListParagraph"/>
        <w:numPr>
          <w:ilvl w:val="0"/>
          <w:numId w:val="2"/>
        </w:numPr>
        <w:spacing w:after="60"/>
      </w:pPr>
      <w:r>
        <w:rPr>
          <w:b/>
          <w:bCs/>
        </w:rPr>
        <w:t xml:space="preserve">Misrouting</w:t>
      </w:r>
      <w:r>
        <w:t xml:space="preserve"> — response is technical, not diplomatic (Baram, 2026, </w:t>
      </w:r>
      <w:r>
        <w:rPr>
          <w:i/>
          <w:iCs/>
        </w:rPr>
        <w:t xml:space="preserve">with data</w:t>
      </w:r>
      <w:r>
        <w:t xml:space="preserve">).</w:t>
      </w:r>
    </w:p>
    <w:p>
      <w:pPr>
        <w:spacing w:after="140" w:line="300"/>
        <w:jc w:val="both"/>
      </w:pPr>
      <w:r>
        <w:rPr>
          <w:b/>
          <w:bCs/>
        </w:rPr>
        <w:t xml:space="preserve">The gap, restated.</w:t>
      </w:r>
      <w:r>
        <w:t xml:space="preserve"> The literature contains a sharp interpretive claim about what pre-positioning </w:t>
      </w:r>
      <w:r>
        <w:rPr>
          <w:i/>
          <w:iCs/>
        </w:rPr>
        <w:t xml:space="preserve">means</w:t>
      </w:r>
      <w:r>
        <w:t xml:space="preserve"> (Guttieri, 2025) and empirical evidence about how states actually </w:t>
      </w:r>
      <w:r>
        <w:rPr>
          <w:i/>
          <w:iCs/>
        </w:rPr>
        <w:t xml:space="preserve">respond</w:t>
      </w:r>
      <w:r>
        <w:t xml:space="preserve"> to it (Baram, 2026) — and these do not match. </w:t>
      </w:r>
      <w:r>
        <w:rPr>
          <w:b/>
          <w:bCs/>
        </w:rPr>
        <w:t xml:space="preserve">No paper reconciles them, and none asks what AI autonomy does to a signalling mechanism that is already failing.</w:t>
      </w:r>
    </w:p>
    <w:p>
      <w:pPr>
        <w:pStyle w:val="Heading2"/>
        <w:keepNext/>
        <w:spacing w:after="140" w:before="240"/>
      </w:pPr>
      <w:r>
        <w:t xml:space="preserve">4.4 Empirical gap</w:t>
      </w:r>
    </w:p>
    <w:p>
      <w:pPr>
        <w:spacing w:after="140" w:line="300"/>
        <w:jc w:val="both"/>
      </w:pPr>
      <w:r>
        <w:t xml:space="preserve">The corpus contains no dataset on autonomy in operational cyber campaigns, no measured time-series of dwell time or persistence cost, and no coding of pre-positioning incidents by intelligence yield versus operational leverage — despite Guttieri supplying exactly the criterion such a coding would require.</w:t>
      </w:r>
    </w:p>
    <w:p>
      <w:pPr>
        <w:pStyle w:val="Heading2"/>
        <w:keepNext/>
        <w:spacing w:after="140" w:before="240"/>
      </w:pPr>
      <w:r>
        <w:t xml:space="preserve">4.5 Methodological gap</w:t>
      </w:r>
    </w:p>
    <w:p>
      <w:pPr>
        <w:spacing w:after="140" w:line="300"/>
        <w:jc w:val="both"/>
      </w:pPr>
      <w:r>
        <w:t xml:space="preserve">No fully-extracted paper tests a hypothesis against variation. Two are self-described reviews; two are theory-building exercises with illustrative cases. Maschmeyer labels his own empirics a "plausibility probe."</w:t>
      </w:r>
    </w:p>
    <w:p>
      <w:pPr>
        <w:pStyle w:val="Heading2"/>
        <w:keepNext/>
        <w:spacing w:after="140" w:before="240"/>
      </w:pPr>
      <w:r>
        <w:t xml:space="preserve">4.6 Geographic gap</w:t>
      </w:r>
    </w:p>
    <w:p>
      <w:pPr>
        <w:spacing w:after="140" w:line="300"/>
        <w:jc w:val="both"/>
      </w:pPr>
      <w:r>
        <w:t xml:space="preserve">The corpus is overwhelmingly US-facing, with China as object rather than subject. Singh et al. (2025) is the partial exception, and notably it is the only paper to record the PRC's own position. No corpus paper engages Chinese-language doctrinal sources.</w:t>
      </w:r>
    </w:p>
    <w:p>
      <w:pPr>
        <w:pStyle w:val="Heading2"/>
        <w:keepNext/>
        <w:spacing w:after="140" w:before="240"/>
      </w:pPr>
      <w:r>
        <w:t xml:space="preserve">4.7 Temporal gap</w:t>
      </w:r>
    </w:p>
    <w:p>
      <w:pPr>
        <w:spacing w:after="140" w:line="300"/>
        <w:jc w:val="both"/>
      </w:pPr>
      <w:r>
        <w:t xml:space="preserve">Butt &amp; Ulina (2026) claim fully autonomous offensive operations are "still largely theoretical." The corpus contains nothing on the </w:t>
      </w:r>
      <w:r>
        <w:rPr>
          <w:i/>
          <w:iCs/>
        </w:rPr>
        <w:t xml:space="preserve">rate</w:t>
      </w:r>
      <w:r>
        <w:t xml:space="preserve"> at which that changes — no projections, no thresholds, no indicators.</w:t>
      </w:r>
    </w:p>
    <w:p>
      <w:pPr>
        <w:pStyle w:val="Heading2"/>
        <w:keepNext/>
        <w:spacing w:after="140" w:before="240"/>
      </w:pPr>
      <w:r>
        <w:t xml:space="preserve">4.8 Policy gap</w:t>
      </w:r>
    </w:p>
    <w:p>
      <w:pPr>
        <w:spacing w:after="140" w:line="300"/>
        <w:jc w:val="both"/>
      </w:pPr>
      <w:r>
        <w:t xml:space="preserve">Guttieri (2025) argues for deterrence by denial. Butt &amp; Ulina (2026) offer a recommendations table. Neither addresses how attribution, signalling, or escalation management function when operations are machine-paced.</w:t>
      </w:r>
    </w:p>
    <w:p>
      <w:pPr>
        <w:pBdr>
          <w:bottom w:val="single" w:color="BBBBBB" w:sz="6" w:space="1"/>
        </w:pBdr>
        <w:spacing w:after="120" w:before="120"/>
      </w:pPr>
      <w:r>
        <w:t xml:space="preserve"/>
      </w:r>
    </w:p>
    <w:p>
      <w:pPr>
        <w:pStyle w:val="Heading1"/>
        <w:keepNext/>
        <w:spacing w:after="140" w:before="360"/>
      </w:pPr>
      <w:r>
        <w:t xml:space="preserve">5. Introduction (draft)</w:t>
      </w:r>
    </w:p>
    <w:p>
      <w:pPr>
        <w:spacing w:after="140" w:line="300"/>
        <w:jc w:val="both"/>
      </w:pPr>
      <w:r>
        <w:rPr>
          <w:b/>
          <w:bCs/>
        </w:rPr>
        <w:t xml:space="preserve">Strategic background.</w:t>
      </w:r>
      <w:r>
        <w:t xml:space="preserve"> In May 2023, US authorities attributed to Chinese state-sponsored actors a campaign, designated Volt Typhoon, that had established persistent access in American critical infrastructure using living-off-the-land techniques (Guttieri, 2025; Butt &amp; Ulina, 2026; Singh, Jash &amp; Nanjappa, 2025). What distinguished the campaign was not its technical sophistication but its apparent purposelessness by the standards of espionage. As General Paul Nakasone observed, there is "absolutely no intelligence to be gathered by putting malicious code in [critical infrastructure] networks" (quoted in Guttieri, 2025).</w:t>
      </w:r>
    </w:p>
    <w:p>
      <w:pPr>
        <w:spacing w:after="140" w:line="300"/>
        <w:jc w:val="both"/>
      </w:pPr>
      <w:r>
        <w:rPr>
          <w:b/>
          <w:bCs/>
        </w:rPr>
        <w:t xml:space="preserve">Problem statement.</w:t>
      </w:r>
      <w:r>
        <w:t xml:space="preserve"> Pre-positioning is observationally ambiguous: the same implant serves collection, preparation, and coercion. Guttieri (2025) offers a resolution — persistent access that yields little intelligence but much leverage "likely reflects preparation for conflict." This inference works because persistence is costly: it requires, in her words, "technical competence and strategic patience."</w:t>
      </w:r>
    </w:p>
    <w:p>
      <w:pPr>
        <w:spacing w:after="140" w:line="300"/>
        <w:jc w:val="both"/>
      </w:pPr>
      <w:r>
        <w:t xml:space="preserve">Concurrently, AI systems are acquiring the capacity to conduct portions of cyber operations without human participation. Butt &amp; Ulina (2026) place present capability at sub-task assistance — reconnaissance, vulnerability discovery, exploit adaptation — while noting that "fully autonomous offensive cyber weapons are still largely theoretical."</w:t>
      </w:r>
    </w:p>
    <w:p>
      <w:pPr>
        <w:spacing w:after="140" w:line="300"/>
        <w:jc w:val="both"/>
      </w:pPr>
      <w:r>
        <w:t xml:space="preserve">Yet states do not appear to </w:t>
      </w:r>
      <w:r>
        <w:rPr>
          <w:i/>
          <w:iCs/>
        </w:rPr>
        <w:t xml:space="preserve">act</w:t>
      </w:r>
      <w:r>
        <w:t xml:space="preserve"> as though pre-positioning carries this meaning. Baram (2026), coding twenty joint public attribution cases from the European Repository of Cyber Incidents, finds that Volt Typhoon drew only a joint technical advisory: "No alliance-led endorsement or sanctions package followed." Such advisories cluster in cases of "stealthy access and pre-positioning," and their "primary audience here is network defenders, not only state elites." Sullivan (2025) supplies the reason: operations of this kind "lurk in the shadows," lacking "sufficient political salience to activate political institutions." Singh, Jash and Nanjappa (2025) record a third obstacle — the PRC denies the campaign outright and counter-accuses.</w:t>
      </w:r>
    </w:p>
    <w:p>
      <w:pPr>
        <w:spacing w:after="140" w:line="300"/>
        <w:jc w:val="both"/>
      </w:pPr>
      <w:r>
        <w:rPr>
          <w:b/>
          <w:bCs/>
        </w:rPr>
        <w:t xml:space="preserve">There is thus a gap between what pre-positioning is held to mean and how states respond to it.</w:t>
      </w:r>
      <w:r>
        <w:t xml:space="preserve"> Guttieri establishes the interpretation; Baram shows the response does not follow. This paper argues that the discrepancy is explained by the erosion of the costly-signalling logic on which the interpretation depends — and that AI autonomy, by lowering the cost of sustained undetected presence, will widen it further. The same observable act will convey progressively less about intent, precisely as the volume of such observations rises. This is not a technical problem but a problem of strategic interpretation.</w:t>
      </w:r>
    </w:p>
    <w:p>
      <w:pPr>
        <w:spacing w:after="140" w:line="300"/>
        <w:jc w:val="both"/>
      </w:pPr>
      <w:r>
        <w:rPr>
          <w:b/>
          <w:bCs/>
        </w:rPr>
        <w:t xml:space="preserve">Research question.</w:t>
      </w:r>
      <w:r>
        <w:t xml:space="preserve"> </w:t>
      </w:r>
      <w:r>
        <w:rPr>
          <w:i/>
          <w:iCs/>
        </w:rPr>
        <w:t xml:space="preserve">How fast and how far will AI/agentic autonomy shift the offence–defence balance, and when does pre-positioning itself constitute a strategic signal or a destabiliser?</w:t>
      </w:r>
    </w:p>
    <w:p>
      <w:pPr>
        <w:spacing w:after="140" w:line="300"/>
        <w:jc w:val="both"/>
      </w:pPr>
      <w:r>
        <w:rPr>
          <w:b/>
          <w:bCs/>
        </w:rPr>
        <w:t xml:space="preserve">Objectives.</w:t>
      </w:r>
    </w:p>
    <w:p>
      <w:pPr>
        <w:pStyle w:val="ListParagraph"/>
        <w:numPr>
          <w:ilvl w:val="0"/>
          <w:numId w:val="2"/>
        </w:numPr>
        <w:spacing w:after="60"/>
      </w:pPr>
      <w:r>
        <w:t xml:space="preserve">Establish how the literature currently distinguishes pre-positioning-as-espionage</w:t>
      </w:r>
    </w:p>
    <w:p>
      <w:pPr>
        <w:spacing w:after="140" w:line="300"/>
        <w:jc w:val="both"/>
      </w:pPr>
      <w:r>
        <w:t xml:space="preserve">from pre-positioning-as-signal.</w:t>
      </w:r>
    </w:p>
    <w:p>
      <w:pPr>
        <w:pStyle w:val="ListParagraph"/>
        <w:numPr>
          <w:ilvl w:val="0"/>
          <w:numId w:val="2"/>
        </w:numPr>
        <w:spacing w:after="60"/>
      </w:pPr>
      <w:r>
        <w:t xml:space="preserve">Identify the cost assumptions on which that distinction depends.</w:t>
      </w:r>
    </w:p>
    <w:p>
      <w:pPr>
        <w:pStyle w:val="ListParagraph"/>
        <w:numPr>
          <w:ilvl w:val="0"/>
          <w:numId w:val="2"/>
        </w:numPr>
        <w:spacing w:after="60"/>
      </w:pPr>
      <w:r>
        <w:t xml:space="preserve">Assess the present state and trajectory of operational cyber autonomy.</w:t>
      </w:r>
    </w:p>
    <w:p>
      <w:pPr>
        <w:pStyle w:val="ListParagraph"/>
        <w:numPr>
          <w:ilvl w:val="0"/>
          <w:numId w:val="2"/>
        </w:numPr>
        <w:spacing w:after="60"/>
      </w:pPr>
      <w:r>
        <w:t xml:space="preserve">Theorise the consequences for signalling, escalation, and stability when</w:t>
      </w:r>
    </w:p>
    <w:p>
      <w:pPr>
        <w:spacing w:after="140" w:line="300"/>
        <w:jc w:val="both"/>
      </w:pPr>
      <w:r>
        <w:t xml:space="preserve">persistence cost falls.</w:t>
      </w:r>
    </w:p>
    <w:p>
      <w:pPr>
        <w:pStyle w:val="ListParagraph"/>
        <w:numPr>
          <w:ilvl w:val="0"/>
          <w:numId w:val="2"/>
        </w:numPr>
        <w:spacing w:after="60"/>
      </w:pPr>
      <w:r>
        <w:t xml:space="preserve">Derive indicators allowing analysts to detect the transition.</w:t>
      </w:r>
    </w:p>
    <w:p>
      <w:pPr>
        <w:spacing w:after="140" w:line="300"/>
        <w:jc w:val="both"/>
      </w:pPr>
      <w:r>
        <w:rPr>
          <w:b/>
          <w:bCs/>
        </w:rPr>
        <w:t xml:space="preserve">Significance.</w:t>
      </w:r>
      <w:r>
        <w:t xml:space="preserve"> Academically, the study connects two literatures that the corpus demonstrates are unconnected. For policy, it bears on whether pre-positioning should be read as warning — a judgement that, on current doctrine, could trigger escalatory response to what may be automated background activity.</w:t>
      </w:r>
    </w:p>
    <w:p>
      <w:pPr>
        <w:spacing w:after="140" w:line="300"/>
        <w:jc w:val="both"/>
      </w:pPr>
      <w:r>
        <w:rPr>
          <w:b/>
          <w:bCs/>
        </w:rPr>
        <w:t xml:space="preserve">Scope and delimitations.</w:t>
      </w:r>
      <w:r>
        <w:t xml:space="preserve"> The study addresses state and state-sponsored operations against critical infrastructure. It does not address cybercrime, information operations, or lethal autonomous weapons except where they bear on the argument. It treats the 2023–2026 period as its empirical focus.</w:t>
      </w:r>
    </w:p>
    <w:p>
      <w:pPr>
        <w:spacing w:after="140" w:line="300"/>
        <w:jc w:val="both"/>
      </w:pPr>
      <w:r>
        <w:rPr>
          <w:b/>
          <w:bCs/>
        </w:rPr>
        <w:t xml:space="preserve">Structure.</w:t>
      </w:r>
      <w:r>
        <w:t xml:space="preserve"> [Standard.]</w:t>
      </w:r>
    </w:p>
    <w:p>
      <w:pPr>
        <w:pBdr>
          <w:bottom w:val="single" w:color="BBBBBB" w:sz="6" w:space="1"/>
        </w:pBdr>
        <w:spacing w:after="120" w:before="120"/>
      </w:pPr>
      <w:r>
        <w:t xml:space="preserve"/>
      </w:r>
    </w:p>
    <w:p>
      <w:pPr>
        <w:pStyle w:val="Heading1"/>
        <w:keepNext/>
        <w:spacing w:after="140" w:before="360"/>
      </w:pPr>
      <w:r>
        <w:t xml:space="preserve">6. Findings Synthesis</w:t>
      </w:r>
    </w:p>
    <w:p>
      <w:pPr>
        <w:spacing w:after="140" w:line="300"/>
        <w:jc w:val="both"/>
      </w:pPr>
      <w:r>
        <w:rPr>
          <w:b/>
          <w:bCs/>
        </w:rPr>
        <w:t xml:space="preserve">Established.</w:t>
      </w:r>
      <w:r>
        <w:t xml:space="preserve"> Cyber competition is continuous, not episodic (Guttieri, 2025; Singh et al., 2025). Critical infrastructure is the contested object. Pre-positioning in US infrastructure occurred and was officially attributed (all three post-2023 papers). Defensive automation is being built at scale (~80 technical corpus papers).</w:t>
      </w:r>
    </w:p>
    <w:p>
      <w:pPr>
        <w:spacing w:after="140" w:line="300"/>
        <w:jc w:val="both"/>
      </w:pPr>
      <w:r>
        <w:rPr>
          <w:b/>
          <w:bCs/>
        </w:rPr>
        <w:t xml:space="preserve">Contested.</w:t>
      </w:r>
      <w:r>
        <w:t xml:space="preserve"> Whether offence–defence theory applies to cyber (Maschmeyer, 2023, against; Butt &amp; Ulina, 2026, implicitly for). What Volt Typhoon signifies (Guttieri, 2025, versus the PRC position reported by Singh et al., 2025). Whether offence currently dominates.</w:t>
      </w:r>
    </w:p>
    <w:p>
      <w:pPr>
        <w:spacing w:after="140" w:line="300"/>
        <w:jc w:val="both"/>
      </w:pPr>
      <w:r>
        <w:rPr>
          <w:b/>
          <w:bCs/>
        </w:rPr>
        <w:t xml:space="preserve">Emerging.</w:t>
      </w:r>
      <w:r>
        <w:t xml:space="preserve"> AI-assisted offensive tooling (Butt &amp; Ulina, 2026). Resilience reframed as operational capability rather than IT function (Guttieri, 2025). Attribution as a signalling instrument in its own right.</w:t>
      </w:r>
    </w:p>
    <w:p>
      <w:pPr>
        <w:spacing w:after="140" w:line="300"/>
        <w:jc w:val="both"/>
      </w:pPr>
      <w:r>
        <w:rPr>
          <w:b/>
          <w:bCs/>
        </w:rPr>
        <w:t xml:space="preserve">Insufficient evidence.</w:t>
      </w:r>
      <w:r>
        <w:t xml:space="preserve"> The rate of autonomy diffusion. Any measurement of the offence–defence balance. The cost structure of persistent access. Adversary intent behind pre-positioning. Chinese doctrinal reasoning.</w:t>
      </w:r>
    </w:p>
    <w:p>
      <w:pPr>
        <w:spacing w:after="140" w:line="300"/>
        <w:jc w:val="both"/>
      </w:pPr>
      <w:r>
        <w:rPr>
          <w:b/>
          <w:bCs/>
        </w:rPr>
        <w:t xml:space="preserve">A finding that constrains the whole argument.</w:t>
      </w:r>
      <w:r>
        <w:t xml:space="preserve"> Pre-positioning has twice been followed by prolonged non-use — Russia since 2018, China since 2023 (Codreanu, 2025). The corpus contains </w:t>
      </w:r>
      <w:r>
        <w:rPr>
          <w:b/>
          <w:bCs/>
        </w:rPr>
        <w:t xml:space="preserve">no case of pre-positioning followed by attack.</w:t>
      </w:r>
      <w:r>
        <w:t xml:space="preserve"> Every inference in the literature about what pre-positioning portends therefore rests on zero positive instances. This should be stated plainly in the paper: it is the single largest evidentiary weakness in the field, and acknowledging it is more defensible than writing around it.</w:t>
      </w:r>
    </w:p>
    <w:p>
      <w:pPr>
        <w:spacing w:after="140" w:line="300"/>
        <w:jc w:val="both"/>
      </w:pPr>
      <w:r>
        <w:rPr>
          <w:b/>
          <w:bCs/>
        </w:rPr>
        <w:t xml:space="preserve">Implications.</w:t>
      </w:r>
      <w:r>
        <w:t xml:space="preserve"> Two risks, running in opposite directions, and the corpus supports both.</w:t>
      </w:r>
    </w:p>
    <w:p>
      <w:pPr>
        <w:spacing w:after="140" w:line="300"/>
        <w:jc w:val="both"/>
      </w:pPr>
      <w:r>
        <w:rPr>
          <w:i/>
          <w:iCs/>
        </w:rPr>
        <w:t xml:space="preserve">Over-reading.</w:t>
      </w:r>
      <w:r>
        <w:t xml:space="preserve"> If Guttieri's (2025) decision rule is doctrine's operative heuristic and autonomy erodes its cost premise, the risk is </w:t>
      </w:r>
      <w:r>
        <w:rPr>
          <w:b/>
          <w:bCs/>
        </w:rPr>
        <w:t xml:space="preserve">misattributed intent at scale</w:t>
      </w:r>
      <w:r>
        <w:t xml:space="preserve"> — reading automated persistence as deliberate strategic warning. Given Guttieri's own entanglement argument, that misreading is escalatory.</w:t>
      </w:r>
    </w:p>
    <w:p>
      <w:pPr>
        <w:spacing w:after="140" w:line="300"/>
        <w:jc w:val="both"/>
      </w:pPr>
      <w:r>
        <w:rPr>
          <w:i/>
          <w:iCs/>
        </w:rPr>
        <w:t xml:space="preserve">Under-reading.</w:t>
      </w:r>
      <w:r>
        <w:t xml:space="preserve"> Baram's (2026) data shows the current response pattern is already the opposite: Volt Typhoon drew a technical advisory and nothing more. If genuine strategic preparation is routinely processed as a network-defence matter, the failure is not escalation but </w:t>
      </w:r>
      <w:r>
        <w:rPr>
          <w:b/>
          <w:bCs/>
        </w:rPr>
        <w:t xml:space="preserve">warning failure</w:t>
      </w:r>
      <w:r>
        <w:t xml:space="preserve">.</w:t>
      </w:r>
    </w:p>
    <w:p>
      <w:pPr>
        <w:spacing w:after="140" w:line="300"/>
        <w:jc w:val="both"/>
      </w:pPr>
      <w:r>
        <w:t xml:space="preserve">These are not alternatives to choose between; they are the two ways a degraded signal fails. </w:t>
      </w:r>
      <w:r>
        <w:rPr>
          <w:b/>
          <w:bCs/>
        </w:rPr>
        <w:t xml:space="preserve">Signal degradation, not offence-dominance, is the mechanism by which AI autonomy destabilises</w:t>
      </w:r>
      <w:r>
        <w:t xml:space="preserve"> — and this reframing is what the corpus can actually support.</w:t>
      </w:r>
    </w:p>
    <w:p>
      <w:pPr>
        <w:pBdr>
          <w:bottom w:val="single" w:color="BBBBBB" w:sz="6" w:space="1"/>
        </w:pBdr>
        <w:spacing w:after="120" w:before="120"/>
      </w:pPr>
      <w:r>
        <w:t xml:space="preserve"/>
      </w:r>
    </w:p>
    <w:p>
      <w:pPr>
        <w:pStyle w:val="Heading1"/>
        <w:keepNext/>
        <w:spacing w:after="140" w:before="360"/>
      </w:pPr>
      <w:r>
        <w:t xml:space="preserve">7. Theoretical Framework (recommended)</w:t>
      </w:r>
    </w:p>
    <w:p>
      <w:pPr>
        <w:spacing w:after="140" w:line="300"/>
        <w:jc w:val="both"/>
      </w:pPr>
      <w:r>
        <w:rPr>
          <w:b/>
          <w:bCs/>
        </w:rPr>
        <w:t xml:space="preserve">Primary: costly signalling within a security-dilemma frame.</w:t>
      </w:r>
      <w:r>
        <w:t xml:space="preserve"> The corpus supports this through Guttieri's (2025) invocation of Buchanan's cybersecurity dilemma and her patience-based reading of pre-positioning. Costly signalling supplies the analytical leverage the RQ needs: it makes </w:t>
      </w:r>
      <w:r>
        <w:rPr>
          <w:i/>
          <w:iCs/>
        </w:rPr>
        <w:t xml:space="preserve">cost</w:t>
      </w:r>
      <w:r>
        <w:t xml:space="preserve"> the independent variable and </w:t>
      </w:r>
      <w:r>
        <w:rPr>
          <w:i/>
          <w:iCs/>
        </w:rPr>
        <w:t xml:space="preserve">signal credibility</w:t>
      </w:r>
      <w:r>
        <w:t xml:space="preserve"> the dependent one, converting a vague question about "the balance" into a tractable one.</w:t>
      </w:r>
    </w:p>
    <w:p>
      <w:pPr>
        <w:spacing w:after="140" w:line="300"/>
        <w:jc w:val="both"/>
      </w:pPr>
      <w:r>
        <w:rPr>
          <w:b/>
          <w:bCs/>
        </w:rPr>
        <w:t xml:space="preserve">Secondary: Cyber Persistence Theory</w:t>
      </w:r>
      <w:r>
        <w:t xml:space="preserve"> (Fischerkeller, Goldman &amp; Harknett), reported in Guttieri (2025). It supplies the "constant contact" baseline against which pre-positioning is not anomalous but structural — and therefore explains why signal extraction is hard.</w:t>
      </w:r>
    </w:p>
    <w:p>
      <w:pPr>
        <w:spacing w:after="140" w:line="300"/>
        <w:jc w:val="both"/>
      </w:pPr>
      <w:r>
        <w:rPr>
          <w:b/>
          <w:bCs/>
        </w:rPr>
        <w:t xml:space="preserve">Rival to be tested, not assumed: Maschmeyer's (2023) subversion framework.</w:t>
      </w:r>
      <w:r>
        <w:t xml:space="preserve"> If cyber operations are subversion rather than warfare, offence–defence framing is category error, and the RQ must be reformulated. </w:t>
      </w:r>
      <w:r>
        <w:rPr>
          <w:b/>
          <w:bCs/>
        </w:rPr>
        <w:t xml:space="preserve">This rival should be engaged directly in the paper</w:t>
      </w:r>
      <w:r>
        <w:t xml:space="preserve">; treating it as settled would be the most likely ground for reviewer objection.</w:t>
      </w:r>
    </w:p>
    <w:p>
      <w:pPr>
        <w:spacing w:after="140" w:line="300"/>
        <w:jc w:val="both"/>
      </w:pPr>
      <w:r>
        <w:rPr>
          <w:b/>
          <w:bCs/>
        </w:rPr>
        <w:t xml:space="preserve">Explicitly not recommended:</w:t>
      </w:r>
      <w:r>
        <w:t xml:space="preserve"> offence–defence theory as the primary frame. The corpus's strongest theoretical voice rejects it, and no corpus paper operationalises it.</w:t>
      </w:r>
    </w:p>
    <w:p>
      <w:pPr>
        <w:pBdr>
          <w:bottom w:val="single" w:color="BBBBBB" w:sz="6" w:space="1"/>
        </w:pBdr>
        <w:spacing w:after="120" w:before="120"/>
      </w:pPr>
      <w:r>
        <w:t xml:space="preserve"/>
      </w:r>
    </w:p>
    <w:p>
      <w:pPr>
        <w:pStyle w:val="Heading1"/>
        <w:keepNext/>
        <w:spacing w:after="140" w:before="360"/>
      </w:pPr>
      <w:r>
        <w:t xml:space="preserve">8. Methodology (recommended)</w:t>
      </w:r>
    </w:p>
    <w:p>
      <w:pPr>
        <w:spacing w:after="140" w:line="300"/>
        <w:jc w:val="both"/>
      </w:pPr>
      <w:r>
        <w:rPr>
          <w:b/>
          <w:bCs/>
        </w:rPr>
        <w:t xml:space="preserve">Design.</w:t>
      </w:r>
      <w:r>
        <w:t xml:space="preserve"> Theory-guided structured comparison of pre-positioning campaigns, with process tracing on the interpretation of each campaign by target-state officials. The dependent variable is </w:t>
      </w:r>
      <w:r>
        <w:rPr>
          <w:i/>
          <w:iCs/>
        </w:rPr>
        <w:t xml:space="preserve">signal credibility</w:t>
      </w:r>
      <w:r>
        <w:t xml:space="preserve">, not "the balance."</w:t>
      </w:r>
    </w:p>
    <w:p>
      <w:pPr>
        <w:spacing w:after="140" w:line="300"/>
        <w:jc w:val="both"/>
      </w:pPr>
      <w:r>
        <w:rPr>
          <w:b/>
          <w:bCs/>
        </w:rPr>
        <w:t xml:space="preserve">Case selection.</w:t>
      </w:r>
      <w:r>
        <w:t xml:space="preserve"> A three-case design with variation on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8EDF2" w:color="auto" w:val="clear"/>
            <w:tcMar>
              <w:top w:type="dxa" w:w="60"/>
              <w:left w:type="dxa" w:w="100"/>
              <w:bottom w:type="dxa" w:w="60"/>
              <w:right w:type="dxa" w:w="100"/>
            </w:tcMar>
          </w:tcPr>
          <w:p>
            <w:pPr>
              <w:spacing w:after="20" w:before="20"/>
            </w:pPr>
            <w:r>
              <w:rPr>
                <w:b/>
                <w:bCs/>
                <w:sz w:val="19"/>
                <w:szCs w:val="19"/>
              </w:rPr>
              <w:t xml:space="preserve">Case</w:t>
            </w:r>
          </w:p>
        </w:tc>
        <w:tc>
          <w:tcPr>
            <w:tcW w:type="dxa" w:w="2340"/>
            <w:shd w:fill="E8EDF2" w:color="auto" w:val="clear"/>
            <w:tcMar>
              <w:top w:type="dxa" w:w="60"/>
              <w:left w:type="dxa" w:w="100"/>
              <w:bottom w:type="dxa" w:w="60"/>
              <w:right w:type="dxa" w:w="100"/>
            </w:tcMar>
          </w:tcPr>
          <w:p>
            <w:pPr>
              <w:spacing w:after="20" w:before="20"/>
            </w:pPr>
            <w:r>
              <w:rPr>
                <w:b/>
                <w:bCs/>
                <w:sz w:val="19"/>
                <w:szCs w:val="19"/>
              </w:rPr>
              <w:t xml:space="preserve">Pre-positioned</w:t>
            </w:r>
          </w:p>
        </w:tc>
        <w:tc>
          <w:tcPr>
            <w:tcW w:type="dxa" w:w="2340"/>
            <w:shd w:fill="E8EDF2" w:color="auto" w:val="clear"/>
            <w:tcMar>
              <w:top w:type="dxa" w:w="60"/>
              <w:left w:type="dxa" w:w="100"/>
              <w:bottom w:type="dxa" w:w="60"/>
              <w:right w:type="dxa" w:w="100"/>
            </w:tcMar>
          </w:tcPr>
          <w:p>
            <w:pPr>
              <w:spacing w:after="20" w:before="20"/>
            </w:pPr>
            <w:r>
              <w:rPr>
                <w:b/>
                <w:bCs/>
                <w:sz w:val="19"/>
                <w:szCs w:val="19"/>
              </w:rPr>
              <w:t xml:space="preserve">Used</w:t>
            </w:r>
          </w:p>
        </w:tc>
        <w:tc>
          <w:tcPr>
            <w:tcW w:type="dxa" w:w="2340"/>
            <w:shd w:fill="E8EDF2" w:color="auto" w:val="clear"/>
            <w:tcMar>
              <w:top w:type="dxa" w:w="60"/>
              <w:left w:type="dxa" w:w="100"/>
              <w:bottom w:type="dxa" w:w="60"/>
              <w:right w:type="dxa" w:w="100"/>
            </w:tcMar>
          </w:tcPr>
          <w:p>
            <w:pPr>
              <w:spacing w:after="20" w:before="20"/>
            </w:pPr>
            <w:r>
              <w:rPr>
                <w:b/>
                <w:bCs/>
                <w:sz w:val="19"/>
                <w:szCs w:val="19"/>
              </w:rPr>
              <w:t xml:space="preserve">Outcome / response</w:t>
            </w:r>
          </w:p>
        </w:tc>
      </w:tr>
      <w:tr>
        <w:trPr>
          <w:tblHeader w:val="false"/>
        </w:trPr>
        <w:tc>
          <w:tcPr>
            <w:tcW w:type="dxa" w:w="2340"/>
            <w:tcMar>
              <w:top w:type="dxa" w:w="60"/>
              <w:left w:type="dxa" w:w="100"/>
              <w:bottom w:type="dxa" w:w="60"/>
              <w:right w:type="dxa" w:w="100"/>
            </w:tcMar>
          </w:tcPr>
          <w:p>
            <w:pPr>
              <w:spacing w:after="20" w:before="20"/>
            </w:pPr>
            <w:r>
              <w:rPr>
                <w:b/>
                <w:bCs/>
                <w:sz w:val="19"/>
                <w:szCs w:val="19"/>
              </w:rPr>
              <w:t xml:space="preserve">Russia → US critical infrastructure (2018– )</w:t>
            </w:r>
          </w:p>
        </w:tc>
        <w:tc>
          <w:tcPr>
            <w:tcW w:type="dxa" w:w="2340"/>
            <w:tcMar>
              <w:top w:type="dxa" w:w="60"/>
              <w:left w:type="dxa" w:w="100"/>
              <w:bottom w:type="dxa" w:w="60"/>
              <w:right w:type="dxa" w:w="100"/>
            </w:tcMar>
          </w:tcPr>
          <w:p>
            <w:pPr>
              <w:spacing w:after="20" w:before="20"/>
            </w:pPr>
            <w:r>
              <w:rPr>
                <w:sz w:val="19"/>
                <w:szCs w:val="19"/>
              </w:rPr>
              <w:t xml:space="preserve">Yes</w:t>
            </w:r>
          </w:p>
        </w:tc>
        <w:tc>
          <w:tcPr>
            <w:tcW w:type="dxa" w:w="2340"/>
            <w:tcMar>
              <w:top w:type="dxa" w:w="60"/>
              <w:left w:type="dxa" w:w="100"/>
              <w:bottom w:type="dxa" w:w="60"/>
              <w:right w:type="dxa" w:w="100"/>
            </w:tcMar>
          </w:tcPr>
          <w:p>
            <w:pPr>
              <w:spacing w:after="20" w:before="20"/>
            </w:pPr>
            <w:r>
              <w:rPr>
                <w:b/>
                <w:bCs/>
                <w:sz w:val="19"/>
                <w:szCs w:val="19"/>
              </w:rPr>
              <w:t xml:space="preserve">No, 7+ years</w:t>
            </w:r>
          </w:p>
        </w:tc>
        <w:tc>
          <w:tcPr>
            <w:tcW w:type="dxa" w:w="2340"/>
            <w:tcMar>
              <w:top w:type="dxa" w:w="60"/>
              <w:left w:type="dxa" w:w="100"/>
              <w:bottom w:type="dxa" w:w="60"/>
              <w:right w:type="dxa" w:w="100"/>
            </w:tcMar>
          </w:tcPr>
          <w:p>
            <w:pPr>
              <w:spacing w:after="20" w:before="20"/>
            </w:pPr>
            <w:r>
              <w:rPr>
                <w:sz w:val="19"/>
                <w:szCs w:val="19"/>
              </w:rPr>
              <w:t xml:space="preserve">No response recorded</w:t>
            </w:r>
          </w:p>
        </w:tc>
      </w:tr>
      <w:tr>
        <w:trPr>
          <w:tblHeader w:val="false"/>
        </w:trPr>
        <w:tc>
          <w:tcPr>
            <w:tcW w:type="dxa" w:w="2340"/>
            <w:tcMar>
              <w:top w:type="dxa" w:w="60"/>
              <w:left w:type="dxa" w:w="100"/>
              <w:bottom w:type="dxa" w:w="60"/>
              <w:right w:type="dxa" w:w="100"/>
            </w:tcMar>
          </w:tcPr>
          <w:p>
            <w:pPr>
              <w:spacing w:after="20" w:before="20"/>
            </w:pPr>
            <w:r>
              <w:rPr>
                <w:b/>
                <w:bCs/>
                <w:sz w:val="19"/>
                <w:szCs w:val="19"/>
              </w:rPr>
              <w:t xml:space="preserve">Volt Typhoon (2023– )</w:t>
            </w:r>
          </w:p>
        </w:tc>
        <w:tc>
          <w:tcPr>
            <w:tcW w:type="dxa" w:w="2340"/>
            <w:tcMar>
              <w:top w:type="dxa" w:w="60"/>
              <w:left w:type="dxa" w:w="100"/>
              <w:bottom w:type="dxa" w:w="60"/>
              <w:right w:type="dxa" w:w="100"/>
            </w:tcMar>
          </w:tcPr>
          <w:p>
            <w:pPr>
              <w:spacing w:after="20" w:before="20"/>
            </w:pPr>
            <w:r>
              <w:rPr>
                <w:sz w:val="19"/>
                <w:szCs w:val="19"/>
              </w:rPr>
              <w:t xml:space="preserve">Yes</w:t>
            </w:r>
          </w:p>
        </w:tc>
        <w:tc>
          <w:tcPr>
            <w:tcW w:type="dxa" w:w="2340"/>
            <w:tcMar>
              <w:top w:type="dxa" w:w="60"/>
              <w:left w:type="dxa" w:w="100"/>
              <w:bottom w:type="dxa" w:w="60"/>
              <w:right w:type="dxa" w:w="100"/>
            </w:tcMar>
          </w:tcPr>
          <w:p>
            <w:pPr>
              <w:spacing w:after="20" w:before="20"/>
            </w:pPr>
            <w:r>
              <w:rPr>
                <w:sz w:val="19"/>
                <w:szCs w:val="19"/>
              </w:rPr>
              <w:t xml:space="preserve">No to date</w:t>
            </w:r>
          </w:p>
        </w:tc>
        <w:tc>
          <w:tcPr>
            <w:tcW w:type="dxa" w:w="2340"/>
            <w:tcMar>
              <w:top w:type="dxa" w:w="60"/>
              <w:left w:type="dxa" w:w="100"/>
              <w:bottom w:type="dxa" w:w="60"/>
              <w:right w:type="dxa" w:w="100"/>
            </w:tcMar>
          </w:tcPr>
          <w:p>
            <w:pPr>
              <w:spacing w:after="20" w:before="20"/>
            </w:pPr>
            <w:r>
              <w:rPr>
                <w:sz w:val="19"/>
                <w:szCs w:val="19"/>
              </w:rPr>
              <w:t xml:space="preserve">Type 3 advisory, no sanctions (Baram, 2026)</w:t>
            </w:r>
          </w:p>
        </w:tc>
      </w:tr>
      <w:tr>
        <w:trPr>
          <w:tblHeader w:val="false"/>
        </w:trPr>
        <w:tc>
          <w:tcPr>
            <w:tcW w:type="dxa" w:w="2340"/>
            <w:tcMar>
              <w:top w:type="dxa" w:w="60"/>
              <w:left w:type="dxa" w:w="100"/>
              <w:bottom w:type="dxa" w:w="60"/>
              <w:right w:type="dxa" w:w="100"/>
            </w:tcMar>
          </w:tcPr>
          <w:p>
            <w:pPr>
              <w:spacing w:after="20" w:before="20"/>
            </w:pPr>
            <w:r>
              <w:rPr>
                <w:b/>
                <w:bCs/>
                <w:sz w:val="19"/>
                <w:szCs w:val="19"/>
              </w:rPr>
              <w:t xml:space="preserve">Russia → Ukraine (2021–22)</w:t>
            </w:r>
          </w:p>
        </w:tc>
        <w:tc>
          <w:tcPr>
            <w:tcW w:type="dxa" w:w="2340"/>
            <w:tcMar>
              <w:top w:type="dxa" w:w="60"/>
              <w:left w:type="dxa" w:w="100"/>
              <w:bottom w:type="dxa" w:w="60"/>
              <w:right w:type="dxa" w:w="100"/>
            </w:tcMar>
          </w:tcPr>
          <w:p>
            <w:pPr>
              <w:spacing w:after="20" w:before="20"/>
            </w:pPr>
            <w:r>
              <w:rPr>
                <w:sz w:val="19"/>
                <w:szCs w:val="19"/>
              </w:rPr>
              <w:t xml:space="preserve">Yes</w:t>
            </w:r>
          </w:p>
        </w:tc>
        <w:tc>
          <w:tcPr>
            <w:tcW w:type="dxa" w:w="2340"/>
            <w:tcMar>
              <w:top w:type="dxa" w:w="60"/>
              <w:left w:type="dxa" w:w="100"/>
              <w:bottom w:type="dxa" w:w="60"/>
              <w:right w:type="dxa" w:w="100"/>
            </w:tcMar>
          </w:tcPr>
          <w:p>
            <w:pPr>
              <w:spacing w:after="20" w:before="20"/>
            </w:pPr>
            <w:r>
              <w:rPr>
                <w:b/>
                <w:bCs/>
                <w:sz w:val="19"/>
                <w:szCs w:val="19"/>
              </w:rPr>
              <w:t xml:space="preserve">Yes (Industroyer2, Apr 2022)</w:t>
            </w:r>
          </w:p>
        </w:tc>
        <w:tc>
          <w:tcPr>
            <w:tcW w:type="dxa" w:w="2340"/>
            <w:tcMar>
              <w:top w:type="dxa" w:w="60"/>
              <w:left w:type="dxa" w:w="100"/>
              <w:bottom w:type="dxa" w:w="60"/>
              <w:right w:type="dxa" w:w="100"/>
            </w:tcMar>
          </w:tcPr>
          <w:p>
            <w:pPr>
              <w:spacing w:after="20" w:before="20"/>
            </w:pPr>
            <w:r>
              <w:rPr>
                <w:b/>
                <w:bCs/>
                <w:sz w:val="19"/>
                <w:szCs w:val="19"/>
              </w:rPr>
              <w:t xml:space="preserve">Attempt defeated by defence</w:t>
            </w:r>
            <w:r>
              <w:rPr>
                <w:sz w:val="19"/>
                <w:szCs w:val="19"/>
              </w:rPr>
              <w:t xml:space="preserve"> (Willett, 2022)</w:t>
            </w:r>
          </w:p>
        </w:tc>
      </w:tr>
    </w:tbl>
    <w:p>
      <w:pPr>
        <w:spacing w:after="160"/>
      </w:pPr>
      <w:r>
        <w:t xml:space="preserve"/>
      </w:r>
    </w:p>
    <w:p>
      <w:pPr>
        <w:spacing w:after="140" w:line="300"/>
        <w:jc w:val="both"/>
      </w:pPr>
      <w:r>
        <w:t xml:space="preserve">Three pre-positioning cases; one attempted use; </w:t>
      </w:r>
      <w:r>
        <w:rPr>
          <w:b/>
          <w:bCs/>
        </w:rPr>
        <w:t xml:space="preserve">zero successful strategic effects.</w:t>
      </w:r>
      <w:r>
        <w:t xml:space="preserve"> The Ukrainian case is indispensable — it is the only instance in the corpus where pre-positioning was converted to attack, and the conversion failed: the malware "would have shut off power for two million people had the attack succeeded," but "no power outages in fact occurred" (Willett, 2022).</w:t>
      </w:r>
    </w:p>
    <w:p>
      <w:pPr>
        <w:spacing w:after="140" w:line="300"/>
        <w:jc w:val="both"/>
      </w:pPr>
      <w:r>
        <w:t xml:space="preserve">A fourth, control case is available: </w:t>
      </w:r>
      <w:r>
        <w:rPr>
          <w:b/>
          <w:bCs/>
        </w:rPr>
        <w:t xml:space="preserve">Estonia 2007</w:t>
      </w:r>
      <w:r>
        <w:t xml:space="preserve">, which Willett reads as threshold discovery — Russia "probably learned what sorts of cyber attacks on a NATO state the Alliance would not consider close to its threshold for triggering an Article 5 collective response." This is signalling by </w:t>
      </w:r>
      <w:r>
        <w:rPr>
          <w:i/>
          <w:iCs/>
        </w:rPr>
        <w:t xml:space="preserve">probing</w:t>
      </w:r>
      <w:r>
        <w:t xml:space="preserve"> rather than by presence.</w:t>
      </w:r>
    </w:p>
    <w:p>
      <w:pPr>
        <w:spacing w:after="140" w:line="300"/>
        <w:jc w:val="both"/>
      </w:pPr>
      <w:r>
        <w:t xml:space="preserve">The Russian 2018 case (Codreanu, 2025, via Lonergan &amp; Poznansky, 2025) is essential: it is the corpus's only negative case and supplies the variation absent from every fully-extracted paper. Within-family comparisons: Flax, Salt and Silk Typhoon (Singh et al., 2025). Out-of-family contrast: Russian operations in Ukraine (Guttieri, 2025).</w:t>
      </w:r>
    </w:p>
    <w:p>
      <w:pPr>
        <w:spacing w:after="140" w:line="300"/>
        <w:jc w:val="both"/>
      </w:pPr>
      <w:r>
        <w:rPr>
          <w:b/>
          <w:bCs/>
        </w:rPr>
        <w:t xml:space="preserve">Data.</w:t>
      </w:r>
      <w:r>
        <w:t xml:space="preserve"> The </w:t>
      </w:r>
      <w:r>
        <w:rPr>
          <w:b/>
          <w:bCs/>
        </w:rPr>
        <w:t xml:space="preserve">European Repository of Cyber Incidents (EuRepoC)</w:t>
      </w:r>
      <w:r>
        <w:t xml:space="preserve">, used by Baram (2026) and citable via Zettl-Schabath et al. (2025), supplies a structured incident base and removes the need to build one. Supplemented by official attribution statements and advisories, and by vendor threat reports </w:t>
      </w:r>
      <w:r>
        <w:rPr>
          <w:b/>
          <w:bCs/>
        </w:rPr>
        <w:t xml:space="preserve">treated as interested evidence, not neutral fact</w:t>
      </w:r>
      <w:r>
        <w:t xml:space="preserve"> — a caution the corpus itself warrants, given Butt &amp; Ulina's (2026) uncritical use of vendor trend data.</w:t>
      </w:r>
    </w:p>
    <w:p>
      <w:pPr>
        <w:spacing w:after="140" w:line="300"/>
        <w:jc w:val="both"/>
      </w:pPr>
      <w:r>
        <w:rPr>
          <w:b/>
          <w:bCs/>
        </w:rPr>
        <w:t xml:space="preserve">Analytical framework.</w:t>
      </w:r>
      <w:r>
        <w:t xml:space="preserve"> A two-level coding scheme, following Baram's (2026) typology-then-coding design:</w:t>
      </w:r>
    </w:p>
    <w:p>
      <w:pPr>
        <w:spacing w:after="140" w:line="300"/>
        <w:jc w:val="both"/>
      </w:pPr>
      <w:r>
        <w:rPr>
          <w:i/>
          <w:iCs/>
        </w:rPr>
        <w:t xml:space="preserve">Level 1 — the act.</w:t>
      </w:r>
      <w:r>
        <w:t xml:space="preserve"> Code each campaign on Guttieri's (2025) two dimensions, </w:t>
      </w:r>
      <w:r>
        <w:rPr>
          <w:b/>
          <w:bCs/>
        </w:rPr>
        <w:t xml:space="preserve">intelligence yield</w:t>
      </w:r>
      <w:r>
        <w:t xml:space="preserve"> and </w:t>
      </w:r>
      <w:r>
        <w:rPr>
          <w:b/>
          <w:bCs/>
        </w:rPr>
        <w:t xml:space="preserve">operational leverage</w:t>
      </w:r>
      <w:r>
        <w:t xml:space="preserve">; a third, </w:t>
      </w:r>
      <w:r>
        <w:rPr>
          <w:b/>
          <w:bCs/>
        </w:rPr>
        <w:t xml:space="preserve">estimated persistence cost</w:t>
      </w:r>
      <w:r>
        <w:t xml:space="preserve"> (proxied by dwell time, tradecraft sophistication, and degree of automation); and a fourth, </w:t>
      </w:r>
      <w:r>
        <w:rPr>
          <w:b/>
          <w:bCs/>
        </w:rPr>
        <w:t xml:space="preserve">target contingency-specificity</w:t>
      </w:r>
      <w:r>
        <w:t xml:space="preserve"> — whether the compromised node's value is tied to a named contingency (as with Guam and a Taiwan scenario; Dimitrov &amp; Andreev, 2025) or is generic infrastructure. Contingency-specific targeting is stronger evidence of intent than intelligence yield alone.</w:t>
      </w:r>
    </w:p>
    <w:p>
      <w:pPr>
        <w:spacing w:after="140" w:line="300"/>
        <w:jc w:val="both"/>
      </w:pPr>
      <w:r>
        <w:rPr>
          <w:i/>
          <w:iCs/>
        </w:rPr>
        <w:t xml:space="preserve">Level 2 — the response.</w:t>
      </w:r>
      <w:r>
        <w:t xml:space="preserve"> Code the target state's reaction using Baram's (2026) four modes of jointness, which distinguishes technical from diplomatic responses.</w:t>
      </w:r>
    </w:p>
    <w:p>
      <w:pPr>
        <w:spacing w:after="140" w:line="300"/>
        <w:jc w:val="both"/>
      </w:pPr>
      <w:r>
        <w:rPr>
          <w:b/>
          <w:bCs/>
        </w:rPr>
        <w:t xml:space="preserve">Discriminating H1 from H2.</w:t>
      </w:r>
      <w:r>
        <w:t xml:space="preserve"> H1 predicts that the interpretation–response gap widens over time as persistence cost falls. H2 predicts the gap is </w:t>
      </w:r>
      <w:r>
        <w:rPr>
          <w:i/>
          <w:iCs/>
        </w:rPr>
        <w:t xml:space="preserve">constant</w:t>
      </w:r>
      <w:r>
        <w:t xml:space="preserve"> and tracks threshold calibration rather than cost. Coding response mode against estimated persistence cost across the case set distinguishes them.</w:t>
      </w:r>
    </w:p>
    <w:p>
      <w:pPr>
        <w:spacing w:after="140" w:line="300"/>
        <w:jc w:val="both"/>
      </w:pPr>
      <w:r>
        <w:rPr>
          <w:b/>
          <w:bCs/>
        </w:rPr>
        <w:t xml:space="preserve">The dependent variable is the gap between levels</w:t>
      </w:r>
      <w:r>
        <w:t xml:space="preserve"> — whether an act coded as high-leverage/low-intelligence (i.e. reading as strategic signal) draws a correspondingly political response, or is routed to network defenders. The theoretical prediction: as persistence cost falls, that gap widens.</w:t>
      </w:r>
    </w:p>
    <w:p>
      <w:pPr>
        <w:spacing w:after="140" w:line="300"/>
        <w:jc w:val="both"/>
      </w:pPr>
      <w:r>
        <w:rPr>
          <w:b/>
          <w:bCs/>
        </w:rPr>
        <w:t xml:space="preserve">Methods.</w:t>
      </w:r>
      <w:r>
        <w:t xml:space="preserve"> Qualitative content analysis of attribution statements; structured comparison; process tracing of interpretation.</w:t>
      </w:r>
    </w:p>
    <w:p>
      <w:pPr>
        <w:spacing w:after="140" w:line="300"/>
        <w:jc w:val="both"/>
      </w:pPr>
      <w:r>
        <w:rPr>
          <w:b/>
          <w:bCs/>
        </w:rPr>
        <w:t xml:space="preserve">Limitations.</w:t>
      </w:r>
      <w:r>
        <w:t xml:space="preserve"> Persistence cost is not directly observable and must be proxied. Adversary intent is inaccessible. The corpus is US-centric and contains no Chinese-language sources. Autonomy claims rest on a single weak corpus source and will require supplementary literature.</w:t>
      </w:r>
    </w:p>
    <w:p>
      <w:pPr>
        <w:pBdr>
          <w:bottom w:val="single" w:color="BBBBBB" w:sz="6" w:space="1"/>
        </w:pBdr>
        <w:spacing w:after="120" w:before="120"/>
      </w:pPr>
      <w:r>
        <w:t xml:space="preserve"/>
      </w:r>
    </w:p>
    <w:p>
      <w:pPr>
        <w:pStyle w:val="Heading1"/>
        <w:keepNext/>
        <w:spacing w:after="140" w:before="360"/>
      </w:pPr>
      <w:r>
        <w:t xml:space="preserve">9. Research Contribution</w:t>
      </w:r>
    </w:p>
    <w:p>
      <w:pPr>
        <w:spacing w:after="140" w:line="300"/>
        <w:jc w:val="both"/>
      </w:pPr>
      <w:r>
        <w:rPr>
          <w:b/>
          <w:bCs/>
        </w:rPr>
        <w:t xml:space="preserve">To scholarship.</w:t>
      </w:r>
      <w:r>
        <w:t xml:space="preserve"> Three contributions.</w:t>
      </w:r>
    </w:p>
    <w:p>
      <w:pPr>
        <w:spacing w:after="140" w:line="300"/>
        <w:jc w:val="both"/>
      </w:pPr>
      <w:r>
        <w:rPr>
          <w:i/>
          <w:iCs/>
        </w:rPr>
        <w:t xml:space="preserve">First</w:t>
      </w:r>
      <w:r>
        <w:t xml:space="preserve">, it investigates an intersection that the literature has </w:t>
      </w:r>
      <w:r>
        <w:rPr>
          <w:b/>
          <w:bCs/>
        </w:rPr>
        <w:t xml:space="preserve">named but not studied</w:t>
      </w:r>
      <w:r>
        <w:t xml:space="preserve">. Melella's dissertation proposes that "studying how these emerging technologies affect the offensive-defensive balance could reveal new dynamics and challenges," then studies coordination instead. Eight of the nine fully-extracted papers sustain the disconnect bilaterally — strategists (Maschmeyer, Guttieri, Sullivan, Baram) do not mention AI; AI researchers (Yigit et al., Kabir et al.) do not mention deterrence, signalling, or the balance.</w:t>
      </w:r>
    </w:p>
    <w:p>
      <w:pPr>
        <w:spacing w:after="140" w:line="300"/>
        <w:jc w:val="both"/>
      </w:pPr>
      <w:r>
        <w:rPr>
          <w:i/>
          <w:iCs/>
        </w:rPr>
        <w:t xml:space="preserve">Second</w:t>
      </w:r>
      <w:r>
        <w:t xml:space="preserve">, it identifies and interrogates the </w:t>
      </w:r>
      <w:r>
        <w:rPr>
          <w:b/>
          <w:bCs/>
        </w:rPr>
        <w:t xml:space="preserve">cost premise</w:t>
      </w:r>
      <w:r>
        <w:t xml:space="preserve"> in the leading account of pre-positioning-as-signal, a premise Guttieri (2025) states but does not examine, and which Sullivan (2025) implicitly contradicts from within the same journal issue.</w:t>
      </w:r>
    </w:p>
    <w:p>
      <w:pPr>
        <w:spacing w:after="140" w:line="300"/>
        <w:jc w:val="both"/>
      </w:pPr>
      <w:r>
        <w:rPr>
          <w:i/>
          <w:iCs/>
        </w:rPr>
        <w:t xml:space="preserve">Third, and most importantly</w:t>
      </w:r>
      <w:r>
        <w:t xml:space="preserve">, it reconciles an unnoticed </w:t>
      </w:r>
      <w:r>
        <w:rPr>
          <w:b/>
          <w:bCs/>
        </w:rPr>
        <w:t xml:space="preserve">discrepancy between interpretation and response</w:t>
      </w:r>
      <w:r>
        <w:t xml:space="preserve">: Guttieri (2025) establishes that pre-positioning reads as preparation for conflict, while Baram (2026) demonstrates empirically that states do not respond as though it does. No existing work joins these findings.</w:t>
      </w:r>
    </w:p>
    <w:p>
      <w:pPr>
        <w:spacing w:after="140" w:line="300"/>
        <w:jc w:val="both"/>
      </w:pPr>
      <w:r>
        <w:rPr>
          <w:b/>
          <w:bCs/>
        </w:rPr>
        <w:t xml:space="preserve">Why it matters academically.</w:t>
      </w:r>
      <w:r>
        <w:t xml:space="preserve"> It reframes the offence–defence question in terms the literature can actually sustain. Rather than asking whether AI favours attack or defence — which the corpus offers no means of measuring — it asks what AI does to the </w:t>
      </w:r>
      <w:r>
        <w:rPr>
          <w:i/>
          <w:iCs/>
        </w:rPr>
        <w:t xml:space="preserve">informational content of observable acts</w:t>
      </w:r>
      <w:r>
        <w:t xml:space="preserve">. That is answerable.</w:t>
      </w:r>
    </w:p>
    <w:p>
      <w:pPr>
        <w:spacing w:after="140" w:line="300"/>
        <w:jc w:val="both"/>
      </w:pPr>
      <w:r>
        <w:rPr>
          <w:b/>
          <w:bCs/>
        </w:rPr>
        <w:t xml:space="preserve">Why it matters for policy.</w:t>
      </w:r>
      <w:r>
        <w:t xml:space="preserve"> Doctrine currently treats infrastructure pre-positioning as strategic warning. If that inference rests on cost, and cost is falling, then the warning function degrades precisely as the volume of detections rises. Combined with Guttieri's entanglement argument — that limited cyber effects can "escalate tensions far beyond intended scope" — the policy risk is escalation on a misread signal.</w:t>
      </w:r>
    </w:p>
    <w:p>
      <w:pPr>
        <w:pBdr>
          <w:bottom w:val="single" w:color="BBBBBB" w:sz="6" w:space="1"/>
        </w:pBdr>
        <w:spacing w:after="120" w:before="120"/>
      </w:pPr>
      <w:r>
        <w:t xml:space="preserve"/>
      </w:r>
    </w:p>
    <w:p>
      <w:pPr>
        <w:pStyle w:val="Heading1"/>
        <w:keepNext/>
        <w:spacing w:after="140" w:before="360"/>
      </w:pPr>
      <w:r>
        <w:t xml:space="preserve">10. References (corpus papers cited)</w:t>
      </w:r>
    </w:p>
    <w:p>
      <w:pPr>
        <w:spacing w:after="140" w:line="300"/>
        <w:jc w:val="both"/>
      </w:pPr>
      <w:r>
        <w:t xml:space="preserve">Pokorny, L. (2026). </w:t>
      </w:r>
      <w:r>
        <w:rPr>
          <w:i/>
          <w:iCs/>
        </w:rPr>
        <w:t xml:space="preserve">Offensive cyber and information warfare strategies targeting People's Republic of China military C4ISR systems: A qualitative analysis</w:t>
      </w:r>
      <w:r>
        <w:t xml:space="preserve">. ICL Institute. https://doi.org/10.5281/zenodo.19234589</w:t>
      </w:r>
    </w:p>
    <w:p>
      <w:pPr>
        <w:spacing w:after="140" w:line="300"/>
        <w:jc w:val="both"/>
      </w:pPr>
      <w:r>
        <w:t xml:space="preserve">Dimitrov, D., &amp; Andreev, E. (2025). China's strategic competition in cyberspace: Volt Typhoon and Salt Typhoon as a projection of power, a more aggressive posture and a future beyond espionage. In </w:t>
      </w:r>
      <w:r>
        <w:rPr>
          <w:i/>
          <w:iCs/>
        </w:rPr>
        <w:t xml:space="preserve">Environment. Technology. Resources</w:t>
      </w:r>
      <w:r>
        <w:t xml:space="preserve"> (Vol. 2, pp. 115–122). RTU Press. https://doi.org/10.17770/etr2025vol2.8618</w:t>
      </w:r>
    </w:p>
    <w:p>
      <w:pPr>
        <w:spacing w:after="140" w:line="300"/>
        <w:jc w:val="both"/>
      </w:pPr>
      <w:r>
        <w:t xml:space="preserve">Braccia, C. (2025). </w:t>
      </w:r>
      <w:r>
        <w:rPr>
          <w:i/>
          <w:iCs/>
        </w:rPr>
        <w:t xml:space="preserve">From Vietnam to Volt Typhoon: How the PRC refined grey zone cyber tactics before targeting the West</w:t>
      </w:r>
      <w:r>
        <w:t xml:space="preserve"> [Preprint]. Authorea. https://doi.org/10.22541/au.175390612.20874865/v1</w:t>
      </w:r>
    </w:p>
    <w:p>
      <w:pPr>
        <w:spacing w:after="140" w:line="300"/>
        <w:jc w:val="both"/>
      </w:pPr>
      <w:r>
        <w:t xml:space="preserve">Willett, M. (2022). The cyber dimension of the Russia–Ukraine war. </w:t>
      </w:r>
      <w:r>
        <w:rPr>
          <w:i/>
          <w:iCs/>
        </w:rPr>
        <w:t xml:space="preserve">Survival, 64</w:t>
      </w:r>
      <w:r>
        <w:t xml:space="preserve">(5), 7–26. https://doi.org/10.1080/00396338.2022.2126193</w:t>
      </w:r>
    </w:p>
    <w:p>
      <w:pPr>
        <w:spacing w:after="140" w:line="300"/>
        <w:jc w:val="both"/>
      </w:pPr>
      <w:r>
        <w:t xml:space="preserve">Codreanu, C. (2025). </w:t>
      </w:r>
      <w:r>
        <w:rPr>
          <w:i/>
          <w:iCs/>
        </w:rPr>
        <w:t xml:space="preserve">Typhoons, bears, and pandas: Latest major cyber espionage campaigns</w:t>
      </w:r>
      <w:r>
        <w:t xml:space="preserve"> (Policy Paper No. 43). Romanian Diplomatic Institute.</w:t>
      </w:r>
    </w:p>
    <w:p>
      <w:pPr>
        <w:spacing w:after="140" w:line="300"/>
        <w:jc w:val="both"/>
      </w:pPr>
      <w:r>
        <w:t xml:space="preserve">Butt, M. S., &amp; Ulina, N. S. (2026). Cyber warfare in the AI era: Emerging attack trends, defensive strategies and policy challenges, 2022–2026. </w:t>
      </w:r>
      <w:r>
        <w:rPr>
          <w:i/>
          <w:iCs/>
        </w:rPr>
        <w:t xml:space="preserve">The Critical Review of Social Sciences Studies, 4</w:t>
      </w:r>
      <w:r>
        <w:t xml:space="preserve">(1), 6176–6192.</w:t>
      </w:r>
    </w:p>
    <w:p>
      <w:pPr>
        <w:spacing w:after="140" w:line="300"/>
        <w:jc w:val="both"/>
      </w:pPr>
      <w:r>
        <w:t xml:space="preserve">Guttieri, K. (2025). Fighting through disruption: Reframing cyber resilience for power projection and strategic credibility. </w:t>
      </w:r>
      <w:r>
        <w:rPr>
          <w:i/>
          <w:iCs/>
        </w:rPr>
        <w:t xml:space="preserve">The Cyber Defense Review, 10</w:t>
      </w:r>
      <w:r>
        <w:t xml:space="preserve">(1), 93–114. https://doi.org/10.55682/cdr/egvf-mkys</w:t>
      </w:r>
    </w:p>
    <w:p>
      <w:pPr>
        <w:spacing w:after="140" w:line="300"/>
        <w:jc w:val="both"/>
      </w:pPr>
      <w:r>
        <w:t xml:space="preserve">Baram, G. (2026). Re-ordering accountability: The significance of joint public attribution in a fragmented cyberspace. </w:t>
      </w:r>
      <w:r>
        <w:rPr>
          <w:i/>
          <w:iCs/>
        </w:rPr>
        <w:t xml:space="preserve">Contemporary Security Policy</w:t>
      </w:r>
      <w:r>
        <w:t xml:space="preserve">. Advance online publication. https://doi.org/10.1080/13523260.2026.2662220</w:t>
      </w:r>
    </w:p>
    <w:p>
      <w:pPr>
        <w:spacing w:after="140" w:line="300"/>
        <w:jc w:val="both"/>
      </w:pPr>
      <w:r>
        <w:t xml:space="preserve">Melella, C. (n.d.). </w:t>
      </w:r>
      <w:r>
        <w:rPr>
          <w:i/>
          <w:iCs/>
        </w:rPr>
        <w:t xml:space="preserve">Coordination in offensive and defensive cyberoperations: Dissecting China, Russia, and NATO's approaches in cyberspace</w:t>
      </w:r>
      <w:r>
        <w:t xml:space="preserve"> [Doctoral dissertation, Università degli Studi di Genova]. </w:t>
      </w:r>
      <w:r>
        <w:rPr>
          <w:i/>
          <w:iCs/>
        </w:rPr>
        <w:t xml:space="preserve">Year requires confirmation.</w:t>
      </w:r>
    </w:p>
    <w:p>
      <w:pPr>
        <w:spacing w:after="140" w:line="300"/>
        <w:jc w:val="both"/>
      </w:pPr>
      <w:r>
        <w:t xml:space="preserve">Yigit, Y., Ferrag, M. A., Ghanem, M. C., Sarker, I. H., Maglaras, L. A., Chrysoulas, C., Moradpoor, N., Tihanyi, N., &amp; Janicke, H. (2025). Generative AI and LLMs for critical infrastructure protection: Evaluation benchmarks, agentic AI, challenges, and opportunities. </w:t>
      </w:r>
      <w:r>
        <w:rPr>
          <w:i/>
          <w:iCs/>
        </w:rPr>
        <w:t xml:space="preserve">Sensors, 25</w:t>
      </w:r>
      <w:r>
        <w:t xml:space="preserve">(6), 1666. https://doi.org/10.3390/s25061666</w:t>
      </w:r>
    </w:p>
    <w:p>
      <w:pPr>
        <w:spacing w:after="140" w:line="300"/>
        <w:jc w:val="both"/>
      </w:pPr>
      <w:r>
        <w:t xml:space="preserve">Kabir, M. H., Siddike, M. A. M., Razib, M. D., &amp; Uddin, M. R. (2026). A national-scale AI-driven cyber defense framework for protecting U.S. critical infrastructure against nation-state attacks. </w:t>
      </w:r>
      <w:r>
        <w:rPr>
          <w:i/>
          <w:iCs/>
        </w:rPr>
        <w:t xml:space="preserve">Journal of Computer Science and Technology Studies, 8</w:t>
      </w:r>
      <w:r>
        <w:t xml:space="preserve">(6), 94–107.</w:t>
      </w:r>
    </w:p>
    <w:p>
      <w:pPr>
        <w:spacing w:after="140" w:line="300"/>
        <w:jc w:val="both"/>
      </w:pPr>
      <w:r>
        <w:t xml:space="preserve">Maschmeyer, L. (2023). Subversion, cyber operations, and reverse structural power in world politics. </w:t>
      </w:r>
      <w:r>
        <w:rPr>
          <w:i/>
          <w:iCs/>
        </w:rPr>
        <w:t xml:space="preserve">European Journal of International Relations, 29</w:t>
      </w:r>
      <w:r>
        <w:t xml:space="preserve">(1), 79–103. https://doi.org/10.1177/13540661221117051</w:t>
      </w:r>
    </w:p>
    <w:p>
      <w:pPr>
        <w:spacing w:after="140" w:line="300"/>
        <w:jc w:val="both"/>
      </w:pPr>
      <w:r>
        <w:t xml:space="preserve">Singh, N. K., Jash, A., &amp; Nanjappa, Y. (2025). Navigating the nexus: Geopolitical, international relations and technical dimensions of US-China cyber strategic competition. </w:t>
      </w:r>
      <w:r>
        <w:rPr>
          <w:i/>
          <w:iCs/>
        </w:rPr>
        <w:t xml:space="preserve">Cogent Social Sciences, 11</w:t>
      </w:r>
      <w:r>
        <w:t xml:space="preserve">(1), 2499171. https://doi.org/10.1080/23311886.2025.2499171</w:t>
      </w:r>
    </w:p>
    <w:p>
      <w:pPr>
        <w:spacing w:after="140" w:line="300"/>
        <w:jc w:val="both"/>
      </w:pPr>
      <w:r>
        <w:t xml:space="preserve">Sullivan, S. (2025). Toward clarity in cyber's "fog of law". </w:t>
      </w:r>
      <w:r>
        <w:rPr>
          <w:i/>
          <w:iCs/>
        </w:rPr>
        <w:t xml:space="preserve">The Cyber Defense Review, 10</w:t>
      </w:r>
      <w:r>
        <w:t xml:space="preserve">(1), 59–71. https://doi.org/10.55682/cdr/v8z4-sxne</w:t>
      </w:r>
    </w:p>
    <w:p>
      <w:pPr>
        <w:pStyle w:val="Heading2"/>
        <w:keepNext/>
        <w:spacing w:after="140" w:before="240"/>
      </w:pPr>
      <w:r>
        <w:t xml:space="preserve">Works cited </w:t>
      </w:r>
      <w:r>
        <w:rPr>
          <w:i/>
          <w:iCs/>
        </w:rPr>
        <w:t xml:space="preserve">within</w:t>
      </w:r>
      <w:r>
        <w:t xml:space="preserve"> corpus papers but NOT in the corpus (supplementary — must be obtained)</w:t>
      </w:r>
    </w:p>
    <w:p>
      <w:pPr>
        <w:spacing w:after="140" w:line="300"/>
        <w:jc w:val="both"/>
      </w:pPr>
      <w:r>
        <w:t xml:space="preserve">Buchanan, B. </w:t>
      </w:r>
      <w:r>
        <w:rPr>
          <w:i/>
          <w:iCs/>
        </w:rPr>
        <w:t xml:space="preserve">The Cybersecurity Dilemma</w:t>
      </w:r>
      <w:r>
        <w:t xml:space="preserve">. — via Guttieri (2025) Cunningham, F. (2022). — via Guttieri (2025) Fischerkeller, M., Goldman, E., &amp; Harknett, R. </w:t>
      </w:r>
      <w:r>
        <w:rPr>
          <w:i/>
          <w:iCs/>
        </w:rPr>
        <w:t xml:space="preserve">Cyber Persistence Theory</w:t>
      </w:r>
      <w:r>
        <w:t xml:space="preserve">. — via Guttieri (2025) Gartzke, E., &amp; Lindsay, J. (2015). — via Maschmeyer (2023) Iasiello, E. (2023). Cyber attribution. </w:t>
      </w:r>
      <w:r>
        <w:rPr>
          <w:i/>
          <w:iCs/>
        </w:rPr>
        <w:t xml:space="preserve">IEEE Security &amp; Privacy, 21</w:t>
      </w:r>
      <w:r>
        <w:t xml:space="preserve">(2). — via Butt &amp; Ulina (2026) Libicki, M. (2009). </w:t>
      </w:r>
      <w:r>
        <w:rPr>
          <w:i/>
          <w:iCs/>
        </w:rPr>
        <w:t xml:space="preserve">Cyberdeterrence and Cyberwar</w:t>
      </w:r>
      <w:r>
        <w:t xml:space="preserve">. — via Maschmeyer (2023) Schneider, J. (2019). — via Maschmeyer (2023) </w:t>
      </w:r>
      <w:r>
        <w:rPr>
          <w:b/>
          <w:bCs/>
        </w:rPr>
        <w:t xml:space="preserve">Slayton, R. (2017). What is the cyber offense-defense balance? </w:t>
      </w:r>
      <w:r>
        <w:rPr>
          <w:b/>
          <w:bCs/>
          <w:i/>
          <w:iCs/>
        </w:rPr>
        <w:t xml:space="preserve">International Security, 41</w:t>
      </w:r>
      <w:r>
        <w:rPr>
          <w:b/>
          <w:bCs/>
        </w:rPr>
        <w:t xml:space="preserve">(3), 72–109.</w:t>
      </w:r>
      <w:r>
        <w:t xml:space="preserve"> — via Maschmeyer (2023). </w:t>
      </w:r>
      <w:r>
        <w:rPr>
          <w:i/>
          <w:iCs/>
        </w:rPr>
        <w:t xml:space="preserve">Highest priority acquisition.</w:t>
      </w:r>
      <w:r>
        <w:t xml:space="preserve"> </w:t>
      </w:r>
      <w:r>
        <w:rPr>
          <w:b/>
          <w:bCs/>
        </w:rPr>
        <w:t xml:space="preserve">Lindsay, J. R. (2013).</w:t>
      </w:r>
      <w:r>
        <w:t xml:space="preserve"> on cyber power and conventional military power — via Pokorny (2026). </w:t>
      </w:r>
      <w:r>
        <w:rPr>
          <w:i/>
          <w:iCs/>
        </w:rPr>
        <w:t xml:space="preserve">Second priority: currently the corpus's only directional claim, and unverified.</w:t>
      </w:r>
      <w:r>
        <w:t xml:space="preserve"> Healey, J. (2019). on forward operations and miscalculation — via Pokorny (2026) </w:t>
      </w:r>
      <w:r>
        <w:rPr>
          <w:b/>
          <w:bCs/>
        </w:rPr>
        <w:t xml:space="preserve">Lonergan, S., &amp; Poznansky, M. (2025).</w:t>
      </w:r>
      <w:r>
        <w:t xml:space="preserve"> on Russian pre-positioning and non-use — via Codreanu (2025). </w:t>
      </w:r>
      <w:r>
        <w:rPr>
          <w:i/>
          <w:iCs/>
        </w:rPr>
        <w:t xml:space="preserve">Supports the negative case; verify in original.</w:t>
      </w:r>
      <w:r>
        <w:t xml:space="preserve"> Smeets, M. (2022). </w:t>
      </w:r>
      <w:r>
        <w:rPr>
          <w:i/>
          <w:iCs/>
        </w:rPr>
        <w:t xml:space="preserve">No Shortcuts</w:t>
      </w:r>
      <w:r>
        <w:t xml:space="preserve">. Hurst. — via Maschmeyer (2023), Singh et al. (2025)</w:t>
      </w:r>
    </w:p>
    <w:p>
      <w:pPr>
        <w:pBdr>
          <w:bottom w:val="single" w:color="BBBBBB" w:sz="6" w:space="1"/>
        </w:pBdr>
        <w:spacing w:after="120" w:before="120"/>
      </w:pPr>
      <w:r>
        <w:t xml:space="preserve"/>
      </w:r>
    </w:p>
    <w:p>
      <w:pPr>
        <w:pStyle w:val="Heading1"/>
        <w:keepNext/>
        <w:spacing w:after="140" w:before="360"/>
      </w:pPr>
      <w:r>
        <w:t xml:space="preserve">Status and next steps</w:t>
      </w:r>
    </w:p>
    <w:p>
      <w:pPr>
        <w:spacing w:after="140" w:line="300"/>
        <w:jc w:val="both"/>
      </w:pPr>
      <w:r>
        <w:rPr>
          <w:b/>
          <w:bCs/>
        </w:rPr>
        <w:t xml:space="preserve">Completed:</w:t>
      </w:r>
      <w:r>
        <w:t xml:space="preserve"> 16 of 105 papers extracted (14 deep, 2 condensed); 105 triaged.</w:t>
      </w:r>
    </w:p>
    <w:p>
      <w:pPr>
        <w:spacing w:after="140" w:line="300"/>
        <w:jc w:val="both"/>
      </w:pPr>
      <w:r>
        <w:rPr>
          <w:b/>
          <w:bCs/>
        </w:rPr>
        <w:t xml:space="preserve">Outstanding:</w:t>
      </w:r>
      <w:r>
        <w:t xml:space="preserve"> Two low-yield Tier A items (a student term paper applying the Diamond Model; </w:t>
      </w:r>
      <w:r>
        <w:rPr>
          <w:i/>
          <w:iCs/>
        </w:rPr>
        <w:t xml:space="preserve">Law, Conflict and Hybrid Warfare</w:t>
      </w:r>
      <w:r>
        <w:t xml:space="preserve">) and the </w:t>
      </w:r>
      <w:r>
        <w:rPr>
          <w:i/>
          <w:iCs/>
        </w:rPr>
        <w:t xml:space="preserve">CDR</w:t>
      </w:r>
      <w:r>
        <w:t xml:space="preserve"> volume container, whose two relevant articles (Guttieri, Sullivan) are already extracted and the 4 Tier B autonomy papers, plus bloc characterisation of the ~80 technical papers.</w:t>
      </w:r>
    </w:p>
    <w:p>
      <w:pPr>
        <w:spacing w:after="140" w:line="300"/>
        <w:jc w:val="both"/>
      </w:pPr>
      <w:r>
        <w:rPr>
          <w:b/>
          <w:bCs/>
        </w:rPr>
        <w:t xml:space="preserve">Principal risk to publication:</w:t>
      </w:r>
      <w:r>
        <w:t xml:space="preserve"> the corpus lacks the canonical offence–defence cyber literature, above all Slayton (2017). Section 7 mitigates this by declining to adopt offence–defence theory as the primary frame — but a reviewer will still expect the paper to demonstrate awareness of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355"/>
      <w:sz w:val="30"/>
      <w:szCs w:val="30"/>
    </w:rPr>
  </w:style>
  <w:style w:type="paragraph" w:styleId="Heading2">
    <w:name w:val="Heading 2"/>
    <w:basedOn w:val="Normal"/>
    <w:next w:val="Normal"/>
    <w:qFormat/>
    <w:rPr>
      <w:rFonts w:ascii="Calibri" w:cs="Calibri" w:eastAsia="Calibri" w:hAnsi="Calibri"/>
      <w:b/>
      <w:bCs/>
      <w:color w:val="2E4B72"/>
      <w:sz w:val="25"/>
      <w:szCs w:val="25"/>
    </w:rPr>
  </w:style>
  <w:style w:type="paragraph" w:styleId="Heading3">
    <w:name w:val="Heading 3"/>
    <w:basedOn w:val="Normal"/>
    <w:next w:val="Normal"/>
    <w:qFormat/>
    <w:rPr>
      <w:rFonts w:ascii="Calibri" w:cs="Calibri" w:eastAsia="Calibri" w:hAnsi="Calibri"/>
      <w:b/>
      <w:bCs/>
      <w:color w:val="3A5A8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Patience</dc:title>
  <dc:creator>Strategic Studies research</dc:creator>
  <dc:description>AI autonomy, costly signalling, and the strategic meaning of cyber pre-positioning</dc:description>
  <cp:lastModifiedBy>Un-named</cp:lastModifiedBy>
  <cp:revision>1</cp:revision>
  <dcterms:created xsi:type="dcterms:W3CDTF">2026-08-02T21:17:00.715Z</dcterms:created>
  <dcterms:modified xsi:type="dcterms:W3CDTF">2026-08-02T21:17:00.716Z</dcterms:modified>
</cp:coreProperties>
</file>

<file path=docProps/custom.xml><?xml version="1.0" encoding="utf-8"?>
<Properties xmlns="http://schemas.openxmlformats.org/officeDocument/2006/custom-properties" xmlns:vt="http://schemas.openxmlformats.org/officeDocument/2006/docPropsVTypes"/>
</file>