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Speaking Script</w:t>
      </w:r>
    </w:p>
    <w:p>
      <w:pPr>
        <w:spacing w:after="480"/>
        <w:jc w:val="center"/>
      </w:pPr>
      <w:r>
        <w:rPr>
          <w:i/>
          <w:iCs/>
          <w:sz w:val="22"/>
          <w:szCs w:val="22"/>
        </w:rPr>
        <w:t xml:space="preserve">Future of Cyber Operations: Vulnerabilities of Critical National Infrastructure</w:t>
      </w:r>
    </w:p>
    <w:p>
      <w:pPr>
        <w:spacing w:after="120"/>
        <w:jc w:val="center"/>
      </w:pPr>
      <w:r>
        <w:rPr>
          <w:sz w:val="18"/>
          <w:szCs w:val="18"/>
        </w:rPr>
        <w:t xml:space="preserve">Ten to twelve minute talk, with the source for every claim</w:t>
      </w:r>
    </w:p>
    <w:p>
      <w:pPr>
        <w:jc w:val="center"/>
      </w:pPr>
      <w:r>
        <w:rPr>
          <w:color w:val="555555"/>
          <w:sz w:val="16"/>
          <w:szCs w:val="16"/>
        </w:rPr>
        <w:t xml:space="preserve">Slide by slide: what to say, and the evidence behind it</w:t>
      </w:r>
    </w:p>
    <w:p>
      <w:r>
        <w:br w:type="page"/>
      </w:r>
    </w:p>
    <w:p>
      <w:pPr>
        <w:pStyle w:val="Heading1"/>
        <w:spacing w:after="200"/>
      </w:pPr>
      <w:r>
        <w:rPr>
          <w:b/>
          <w:bCs/>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40" w:line="300"/>
        <w:jc w:val="both"/>
      </w:pPr>
      <w:r>
        <w:rPr>
          <w:b/>
          <w:bCs/>
        </w:rPr>
        <w:t xml:space="preserve">Future of Cyber Operations: Vulnerabilities of Critical National Infrastructure</w:t>
      </w:r>
    </w:p>
    <w:p>
      <w:pPr>
        <w:spacing w:after="140" w:line="300"/>
        <w:jc w:val="both"/>
      </w:pPr>
      <w:r>
        <w:t xml:space="preserve">For a ten to twelve minute talk. Each section gives the paragraph to say, followed by the evidence behind it. Every quotation and figure below appears in the paper.</w:t>
      </w:r>
    </w:p>
    <w:p>
      <w:pPr>
        <w:pBdr>
          <w:bottom w:val="single" w:color="BBBBBB" w:sz="6" w:space="1"/>
        </w:pBdr>
        <w:spacing w:after="120" w:before="120"/>
      </w:pPr>
      <w:r>
        <w:t xml:space="preserve"/>
      </w:r>
    </w:p>
    <w:p>
      <w:pPr>
        <w:pStyle w:val="Heading1"/>
        <w:keepNext/>
        <w:spacing w:after="140" w:before="360"/>
      </w:pPr>
      <w:r>
        <w:t xml:space="preserve">Slide 1. Hook and title</w:t>
      </w:r>
    </w:p>
    <w:p>
      <w:pPr>
        <w:spacing w:after="140" w:line="300"/>
        <w:jc w:val="both"/>
      </w:pPr>
      <w:r>
        <w:rPr>
          <w:b/>
          <w:bCs/>
        </w:rPr>
        <w:t xml:space="preserve">What to say</w:t>
      </w:r>
    </w:p>
    <w:p>
      <w:pPr>
        <w:spacing w:after="140" w:line="300"/>
        <w:jc w:val="both"/>
      </w:pPr>
      <w:r>
        <w:t xml:space="preserve">Right now, as we sit here, foreign code is sitting inside American power and water networks. It has been there for years. Nobody has used it. And we call it a warning of coming war. Today I want to ask a simple question about that. Is it actually a warning? My paper is called The Price of Patience, and it is built on sixteen studies of cyber conflict published between 2018 and 2026.</w:t>
      </w:r>
    </w:p>
    <w:p>
      <w:pPr>
        <w:spacing w:after="140" w:line="300"/>
        <w:jc w:val="both"/>
      </w:pPr>
      <w:r>
        <w:rPr>
          <w:b/>
          <w:bCs/>
        </w:rPr>
        <w:t xml:space="preserve">Proof</w:t>
      </w:r>
    </w:p>
    <w:p>
      <w:pPr>
        <w:spacing w:after="140" w:line="300"/>
        <w:jc w:val="both"/>
      </w:pPr>
      <w:r>
        <w:t xml:space="preserve">In May 2023 the United States and its Five Eyes partners attributed to Chinese state-sponsored actors a campaign called Volt Typhoon, which had established persistent access in American critical infrastructure. Reported in Guttieri, "Fighting through Disruption"; Codreanu, </w:t>
      </w:r>
      <w:r>
        <w:rPr>
          <w:i/>
          <w:iCs/>
        </w:rPr>
        <w:t xml:space="preserve">Typhoons, Bears, and Pandas</w:t>
      </w:r>
      <w:r>
        <w:t xml:space="preserve">; and Singh, Jash, and Nanjappa, "Navigating the Nexus."</w:t>
      </w:r>
    </w:p>
    <w:p>
      <w:pPr>
        <w:spacing w:after="140" w:line="300"/>
        <w:jc w:val="both"/>
      </w:pPr>
      <w:r>
        <w:t xml:space="preserve">That the access has not been used is documented for the Russian case. Codreanu, drawing on Lonergan and Poznansky, records that in 2018 the United States accused Russia of infiltrating nuclear, energy, aviation and water systems, and that "so far, however, Russia has not exploited these footholds to launch direct cyberattacks on the US."</w:t>
      </w:r>
    </w:p>
    <w:p>
      <w:pPr>
        <w:pBdr>
          <w:bottom w:val="single" w:color="BBBBBB" w:sz="6" w:space="1"/>
        </w:pBdr>
        <w:spacing w:after="120" w:before="120"/>
      </w:pPr>
      <w:r>
        <w:t xml:space="preserve"/>
      </w:r>
    </w:p>
    <w:p>
      <w:pPr>
        <w:pStyle w:val="Heading1"/>
        <w:keepNext/>
        <w:spacing w:after="140" w:before="360"/>
      </w:pPr>
      <w:r>
        <w:t xml:space="preserve">Slide 2. Research question</w:t>
      </w:r>
    </w:p>
    <w:p>
      <w:pPr>
        <w:spacing w:after="140" w:line="300"/>
        <w:jc w:val="both"/>
      </w:pPr>
      <w:r>
        <w:rPr>
          <w:b/>
          <w:bCs/>
        </w:rPr>
        <w:t xml:space="preserve">What to say</w:t>
      </w:r>
    </w:p>
    <w:p>
      <w:pPr>
        <w:spacing w:after="140" w:line="300"/>
        <w:jc w:val="both"/>
      </w:pPr>
      <w:r>
        <w:t xml:space="preserve">The question the study asks is this. How fast and how far will AI and machine autonomy shift the balance between attack and defence, and when does pre-positioning count as a strategic signal or as a cause of instability? Put more plainly: when a state leaves code inside another country's infrastructure, is that a message? And does artificial intelligence change what the message means? The study has five objectives, which you can see on the slide. In short, it works out how the field tells spying apart from signalling, finds the assumptions that distinction rests on, checks where machine autonomy actually stands, and asks what happens if staying hidden becomes cheap.</w:t>
      </w:r>
    </w:p>
    <w:p>
      <w:pPr>
        <w:spacing w:after="140" w:line="300"/>
        <w:jc w:val="both"/>
      </w:pPr>
      <w:r>
        <w:rPr>
          <w:b/>
          <w:bCs/>
        </w:rPr>
        <w:t xml:space="preserve">Proof</w:t>
      </w:r>
    </w:p>
    <w:p>
      <w:pPr>
        <w:spacing w:after="140" w:line="300"/>
        <w:jc w:val="both"/>
      </w:pPr>
      <w:r>
        <w:t xml:space="preserve">The research question and the five objectives are quoted directly from sections 1.3 and 1.4 of the paper. Nothing has been reworded.</w:t>
      </w:r>
    </w:p>
    <w:p>
      <w:pPr>
        <w:pBdr>
          <w:bottom w:val="single" w:color="BBBBBB" w:sz="6" w:space="1"/>
        </w:pBdr>
        <w:spacing w:after="120" w:before="120"/>
      </w:pPr>
      <w:r>
        <w:t xml:space="preserve"/>
      </w:r>
    </w:p>
    <w:p>
      <w:pPr>
        <w:pStyle w:val="Heading1"/>
        <w:keepNext/>
        <w:spacing w:after="140" w:before="360"/>
      </w:pPr>
      <w:r>
        <w:t xml:space="preserve">Slide 3. The case that raises the question</w:t>
      </w:r>
    </w:p>
    <w:p>
      <w:pPr>
        <w:spacing w:after="140" w:line="300"/>
        <w:jc w:val="both"/>
      </w:pPr>
      <w:r>
        <w:rPr>
          <w:b/>
          <w:bCs/>
        </w:rPr>
        <w:t xml:space="preserve">What to say</w:t>
      </w:r>
    </w:p>
    <w:p>
      <w:pPr>
        <w:spacing w:after="140" w:line="300"/>
        <w:jc w:val="both"/>
      </w:pPr>
      <w:r>
        <w:t xml:space="preserve">In May 2023 the United States and its Five Eyes partners named China as the source of a campaign they called Volt Typhoon. Chinese operators had been living inside American energy, water, communications and transport networks, and inside systems supporting military operations on Guam. The striking thing is not how sophisticated it was. It is what did not happen. They took almost nothing. A spy steals and leaves. These operators arrived, settled in, and waited. General Paul Nakasone, then head of US Cyber Command, put it bluntly: there is, he said, absolutely no intelligence to be gathered by putting malicious code in critical infrastructure networks. American officials said the campaign did not fit the pattern of a traditional cyber espionage campaign. And note the choice of target. Guam is the logistics hub for any Pacific crisis. A target tied to one specific scenario tells you more about intent than a target chosen at random.</w:t>
      </w:r>
    </w:p>
    <w:p>
      <w:pPr>
        <w:spacing w:after="140" w:line="300"/>
        <w:jc w:val="both"/>
      </w:pPr>
      <w:r>
        <w:rPr>
          <w:b/>
          <w:bCs/>
        </w:rPr>
        <w:t xml:space="preserve">Proof</w:t>
      </w:r>
    </w:p>
    <w:p>
      <w:pPr>
        <w:spacing w:after="140" w:line="300"/>
        <w:jc w:val="both"/>
      </w:pPr>
      <w:r>
        <w:t xml:space="preserve">The Nakasone quotation is reported in Guttieri, "Fighting through Disruption."</w:t>
      </w:r>
    </w:p>
    <w:p>
      <w:pPr>
        <w:spacing w:after="140" w:line="300"/>
        <w:jc w:val="both"/>
      </w:pPr>
      <w:r>
        <w:t xml:space="preserve">The judgement that the campaign "did not fit the pattern of a traditional cyber espionage campaign" is recorded in Codreanu, </w:t>
      </w:r>
      <w:r>
        <w:rPr>
          <w:i/>
          <w:iCs/>
        </w:rPr>
        <w:t xml:space="preserve">Typhoons, Bears, and Pandas</w:t>
      </w:r>
      <w:r>
        <w:t xml:space="preserve">.</w:t>
      </w:r>
    </w:p>
    <w:p>
      <w:pPr>
        <w:spacing w:after="140" w:line="300"/>
        <w:jc w:val="both"/>
      </w:pPr>
      <w:r>
        <w:t xml:space="preserve">The Guam intrusion, and its significance as the Indo-Pacific logistics hub in a Taiwan scenario, is set out in Dimitrov and Andreev, "China's Strategic Competition in Cyberspace."</w:t>
      </w:r>
    </w:p>
    <w:p>
      <w:pPr>
        <w:pBdr>
          <w:bottom w:val="single" w:color="BBBBBB" w:sz="6" w:space="1"/>
        </w:pBdr>
        <w:spacing w:after="120" w:before="120"/>
      </w:pPr>
      <w:r>
        <w:t xml:space="preserve"/>
      </w:r>
    </w:p>
    <w:p>
      <w:pPr>
        <w:pStyle w:val="Heading1"/>
        <w:keepNext/>
        <w:spacing w:after="140" w:before="360"/>
      </w:pPr>
      <w:r>
        <w:t xml:space="preserve">Slide 4. Why the field reads this as a warning</w:t>
      </w:r>
    </w:p>
    <w:p>
      <w:pPr>
        <w:spacing w:after="140" w:line="300"/>
        <w:jc w:val="both"/>
      </w:pPr>
      <w:r>
        <w:rPr>
          <w:b/>
          <w:bCs/>
        </w:rPr>
        <w:t xml:space="preserve">What to say</w:t>
      </w:r>
    </w:p>
    <w:p>
      <w:pPr>
        <w:spacing w:after="140" w:line="300"/>
        <w:jc w:val="both"/>
      </w:pPr>
      <w:r>
        <w:t xml:space="preserve">So how do analysts read it? There is a rule, and it runs like this. If access gives you little to read but great power in a crisis, then the reason for being there is the crisis. The reasoning has three steps. First, staying hidden is hard. Years inside a defended network takes skill and patience, and it is not cheap. Second, because it is expensive, the act carries meaning. People do not pay a high price for nothing, so the effort itself is the message. Third, therefore, the intrusion is read as preparation, as a state getting ready for a fight it expects to have. Notice what the whole argument rests on. One word. Expensive. Take that away and the reasoning has nothing left to stand on. That assumption is what this study tests.</w:t>
      </w:r>
    </w:p>
    <w:p>
      <w:pPr>
        <w:spacing w:after="140" w:line="300"/>
        <w:jc w:val="both"/>
      </w:pPr>
      <w:r>
        <w:rPr>
          <w:b/>
          <w:bCs/>
        </w:rPr>
        <w:t xml:space="preserve">Proof</w:t>
      </w:r>
    </w:p>
    <w:p>
      <w:pPr>
        <w:spacing w:after="140" w:line="300"/>
        <w:jc w:val="both"/>
      </w:pPr>
      <w:r>
        <w:t xml:space="preserve">The rule is Guttieri's. She writes that where persistent access "offers low intelligence gain but high leverage, it likely reflects preparation for conflict," and grounds the inference in what she calls "technical competence and strategic patience." Both phrases are from Guttieri, "Fighting through Disruption."</w:t>
      </w:r>
    </w:p>
    <w:p>
      <w:pPr>
        <w:pBdr>
          <w:bottom w:val="single" w:color="BBBBBB" w:sz="6" w:space="1"/>
        </w:pBdr>
        <w:spacing w:after="120" w:before="120"/>
      </w:pPr>
      <w:r>
        <w:t xml:space="preserve"/>
      </w:r>
    </w:p>
    <w:p>
      <w:pPr>
        <w:pStyle w:val="Heading1"/>
        <w:keepNext/>
        <w:spacing w:after="140" w:before="360"/>
      </w:pPr>
      <w:r>
        <w:t xml:space="preserve">Slide 5. Finding one: governments do not act as if they believe it</w:t>
      </w:r>
    </w:p>
    <w:p>
      <w:pPr>
        <w:spacing w:after="140" w:line="300"/>
        <w:jc w:val="both"/>
      </w:pPr>
      <w:r>
        <w:rPr>
          <w:b/>
          <w:bCs/>
        </w:rPr>
        <w:t xml:space="preserve">What to say</w:t>
      </w:r>
    </w:p>
    <w:p>
      <w:pPr>
        <w:spacing w:after="140" w:line="300"/>
        <w:jc w:val="both"/>
      </w:pPr>
      <w:r>
        <w:t xml:space="preserve">Here is the first finding, and it is the heart of the talk. Compare two campaigns. Volt Typhoon left code inside power, water, communications and transport systems. The United States answered it with a joint technical advisory. No sanctions. No allied statement. Guidance written for network engineers. Now compare Salt Typhoon, a Chinese campaign in the same period that spied on phone companies, call records and law enforcement surveillance systems. That one drew sanctions from the US Treasury. Named entities, real financial penalties, a political response. Same country. Same period. Same victim. The lesser act was punished and the graver one was not. On any strategic reading that ordering is backwards, because implants in the water supply are worse than stolen call records. What this suggests is that governments respond to what is easy to explain and what fits past practice, rather than to what is actually dangerous.</w:t>
      </w:r>
    </w:p>
    <w:p>
      <w:pPr>
        <w:spacing w:after="140" w:line="300"/>
        <w:jc w:val="both"/>
      </w:pPr>
      <w:r>
        <w:rPr>
          <w:b/>
          <w:bCs/>
        </w:rPr>
        <w:t xml:space="preserve">Proof</w:t>
      </w:r>
    </w:p>
    <w:p>
      <w:pPr>
        <w:spacing w:after="140" w:line="300"/>
        <w:jc w:val="both"/>
      </w:pPr>
      <w:r>
        <w:t xml:space="preserve">Baram coded twenty joint public attribution cases from the European Repository of Cyber Incidents. On Volt Typhoon she records a shared advisory with pooled indicators and defensive guidance, and states that "no alliance-led endorsement or sanctions package followed." She adds that for advisories of this type the "primary audience here is network defenders, not only state elites." Both from Baram, "Re-ordering Accountability."</w:t>
      </w:r>
    </w:p>
    <w:p>
      <w:pPr>
        <w:spacing w:after="140" w:line="300"/>
        <w:jc w:val="both"/>
      </w:pPr>
      <w:r>
        <w:t xml:space="preserve">The Salt Typhoon response is recorded in Urbanczyk and colleagues, "State-Sponsored Intrusions and Critical Infrastructure," which notes "sanctions imposed by the U.S. Treasury on PRC-linked cyber entities."</w:t>
      </w:r>
    </w:p>
    <w:p>
      <w:pPr>
        <w:pBdr>
          <w:bottom w:val="single" w:color="BBBBBB" w:sz="6" w:space="1"/>
        </w:pBdr>
        <w:spacing w:after="120" w:before="120"/>
      </w:pPr>
      <w:r>
        <w:t xml:space="preserve"/>
      </w:r>
    </w:p>
    <w:p>
      <w:pPr>
        <w:pStyle w:val="Heading1"/>
        <w:keepNext/>
        <w:spacing w:after="140" w:before="360"/>
      </w:pPr>
      <w:r>
        <w:t xml:space="preserve">Slide 6. Three reasons the warning never lands</w:t>
      </w:r>
    </w:p>
    <w:p>
      <w:pPr>
        <w:spacing w:after="140" w:line="300"/>
        <w:jc w:val="both"/>
      </w:pPr>
      <w:r>
        <w:rPr>
          <w:b/>
          <w:bCs/>
        </w:rPr>
        <w:t xml:space="preserve">What to say</w:t>
      </w:r>
    </w:p>
    <w:p>
      <w:pPr>
        <w:spacing w:after="140" w:line="300"/>
        <w:jc w:val="both"/>
      </w:pPr>
      <w:r>
        <w:t xml:space="preserve">Why does the message fail? Three reasons, and each is documented separately. First, nobody notices. These operations leave no wreckage and no photographs. There is no burning building, so there is no public pressure and no political demand for a response. Second, the sender denies it. China calls the accusation disinformation and makes counter-accusations of its own. A warning that nobody admits sending is very hard to receive. Third, it reaches the wrong desk. The response is a technical advisory, and its audience is network defenders, not the ministers and commanders who decide on war and peace. Put those together and the conclusion is hard to avoid. A threat only works if it is seen, believed, and read by the right people. This one fails all three tests.</w:t>
      </w:r>
    </w:p>
    <w:p>
      <w:pPr>
        <w:spacing w:after="140" w:line="300"/>
        <w:jc w:val="both"/>
      </w:pPr>
      <w:r>
        <w:rPr>
          <w:b/>
          <w:bCs/>
        </w:rPr>
        <w:t xml:space="preserve">Proof</w:t>
      </w:r>
    </w:p>
    <w:p>
      <w:pPr>
        <w:spacing w:after="140" w:line="300"/>
        <w:jc w:val="both"/>
      </w:pPr>
      <w:r>
        <w:t xml:space="preserve">On salience, Sullivan writes that cyber operations "rarely possess sufficient political salience to activate political institutions to punish the perpetrator in any way that might provoke meaningful blowback," and that campaigns such as Volt Typhoon and Salt Typhoon "lurk in the shadows, compromising entire populations while leaving little trace." From Sullivan, "Toward Clarity in Cyber's 'Fog of Law.'"</w:t>
      </w:r>
    </w:p>
    <w:p>
      <w:pPr>
        <w:spacing w:after="140" w:line="300"/>
        <w:jc w:val="both"/>
      </w:pPr>
      <w:r>
        <w:t xml:space="preserve">On denial, Singh, Jash, and Nanjappa record that China's National Computer Virus Emergency Response Centre answered the attribution with a counter-accusation, and that the Chinese foreign ministry issued remarks on the "hyping up" of Volt Typhoon. Codreanu records the ministry spokesman dismissing the allegations as disinformation.</w:t>
      </w:r>
    </w:p>
    <w:p>
      <w:pPr>
        <w:spacing w:after="140" w:line="300"/>
        <w:jc w:val="both"/>
      </w:pPr>
      <w:r>
        <w:t xml:space="preserve">On audience, see Baram, "Re-ordering Accountability," quoted above.</w:t>
      </w:r>
    </w:p>
    <w:p>
      <w:pPr>
        <w:pBdr>
          <w:bottom w:val="single" w:color="BBBBBB" w:sz="6" w:space="1"/>
        </w:pBdr>
        <w:spacing w:after="120" w:before="120"/>
      </w:pPr>
      <w:r>
        <w:t xml:space="preserve"/>
      </w:r>
    </w:p>
    <w:p>
      <w:pPr>
        <w:pStyle w:val="Heading1"/>
        <w:keepNext/>
        <w:spacing w:after="140" w:before="360"/>
      </w:pPr>
      <w:r>
        <w:t xml:space="preserve">Slide 7. Finding two: it has never actually led anywhere</w:t>
      </w:r>
    </w:p>
    <w:p>
      <w:pPr>
        <w:spacing w:after="140" w:line="300"/>
        <w:jc w:val="both"/>
      </w:pPr>
      <w:r>
        <w:rPr>
          <w:b/>
          <w:bCs/>
        </w:rPr>
        <w:t xml:space="preserve">What to say</w:t>
      </w:r>
    </w:p>
    <w:p>
      <w:pPr>
        <w:spacing w:after="140" w:line="300"/>
        <w:jc w:val="both"/>
      </w:pPr>
      <w:r>
        <w:t xml:space="preserve">The second finding is about the record, and the record is very thin. There are three cases. Russia has been inside American nuclear, energy, aviation and water systems since</w:t>
      </w:r>
    </w:p>
    <w:p>
      <w:pPr>
        <w:pStyle w:val="ListParagraph"/>
        <w:numPr>
          <w:ilvl w:val="0"/>
          <w:numId w:val="2"/>
        </w:numPr>
        <w:spacing w:after="60"/>
      </w:pPr>
      <w:r>
        <w:t xml:space="preserve">Seven years, still there, never used. Volt Typhoon has been inside four</w:t>
      </w:r>
    </w:p>
    <w:p>
      <w:pPr>
        <w:spacing w:after="140" w:line="300"/>
        <w:jc w:val="both"/>
      </w:pPr>
      <w:r>
        <w:t xml:space="preserve">infrastructure sectors since 2023. Still there, never used. And Russia was inside Ukrainian energy networks from 2021, and did use that access in April 2022. The malware would have cut power to two million people. Ukrainian defenders stopped it, and no outages occurred. So: three cases, one attempt, and no successful strategic effect. That matters more than it sounds. Everything the field says about what this activity means rests on no successful examples.</w:t>
      </w:r>
    </w:p>
    <w:p>
      <w:pPr>
        <w:spacing w:after="140" w:line="300"/>
        <w:jc w:val="both"/>
      </w:pPr>
      <w:r>
        <w:rPr>
          <w:b/>
          <w:bCs/>
        </w:rPr>
        <w:t xml:space="preserve">Proof</w:t>
      </w:r>
    </w:p>
    <w:p>
      <w:pPr>
        <w:spacing w:after="140" w:line="300"/>
        <w:jc w:val="both"/>
      </w:pPr>
      <w:r>
        <w:t xml:space="preserve">The Russian access since 2018, and the fact that it has not been used, comes from Codreanu, </w:t>
      </w:r>
      <w:r>
        <w:rPr>
          <w:i/>
          <w:iCs/>
        </w:rPr>
        <w:t xml:space="preserve">Typhoons, Bears, and Pandas</w:t>
      </w:r>
      <w:r>
        <w:t xml:space="preserve">, drawing on Lonergan and Poznansky.</w:t>
      </w:r>
    </w:p>
    <w:p>
      <w:pPr>
        <w:spacing w:after="140" w:line="300"/>
        <w:jc w:val="both"/>
      </w:pPr>
      <w:r>
        <w:t xml:space="preserve">The Ukrainian case is from Willett, "The Cyber Dimension of the Russia-Ukraine War." Willett records that Russia had been "conducting reconnaissance of, and pre-positioning cyber capabilities on, certain Ukrainian energy and communications networks from at least March 2021," that "Ukrainian cyber security neutralised it," that the malware "would have shut off power for two million people had the attack succeeded," and that "no power outages in fact occurred."</w:t>
      </w:r>
    </w:p>
    <w:p>
      <w:pPr>
        <w:pBdr>
          <w:bottom w:val="single" w:color="BBBBBB" w:sz="6" w:space="1"/>
        </w:pBdr>
        <w:spacing w:after="120" w:before="120"/>
      </w:pPr>
      <w:r>
        <w:t xml:space="preserve"/>
      </w:r>
    </w:p>
    <w:p>
      <w:pPr>
        <w:pStyle w:val="Heading1"/>
        <w:keepNext/>
        <w:spacing w:after="140" w:before="360"/>
      </w:pPr>
      <w:r>
        <w:t xml:space="preserve">Slide 8. Finding three: AI does not favour the attacker, at least not yet</w:t>
      </w:r>
    </w:p>
    <w:p>
      <w:pPr>
        <w:spacing w:after="140" w:line="300"/>
        <w:jc w:val="both"/>
      </w:pPr>
      <w:r>
        <w:rPr>
          <w:b/>
          <w:bCs/>
        </w:rPr>
        <w:t xml:space="preserve">What to say</w:t>
      </w:r>
    </w:p>
    <w:p>
      <w:pPr>
        <w:spacing w:after="140" w:line="300"/>
        <w:jc w:val="both"/>
      </w:pPr>
      <w:r>
        <w:t xml:space="preserve">The third finding pushes back on an instinct most of us share, which is that AI must be helping attackers. On the evidence it is not, at least not yet. Three points. First, attack tools are assisted, not automatic. AI helps with scouting targets, finding weaknesses and adapting tools, but fully automatic attack systems remain, in the words of the literature itself, largely theoretical. Second, almost all the published AI work is defensive. The research is overwhelmingly about spotting intruders faster, not about replacing them. Third, and this is the one people miss, defenders currently cannot see. Intrusions go unnoticed for 197 days on average, and roughly three quarters are spotted by someone other than the victim. Intruders survive partly because detection is poor. So better automatic detection makes hiding harder, not easier. One qualification. In the one real war we can study, defence held most of the time. But Ukraine was backed by Western agencies and by Microsoft, Google and Cisco. A poorer defender would give a different answer. Which means the useful question is not whether AI helps attackers. It is which side can absorb it better.</w:t>
      </w:r>
    </w:p>
    <w:p>
      <w:pPr>
        <w:spacing w:after="140" w:line="300"/>
        <w:jc w:val="both"/>
      </w:pPr>
      <w:r>
        <w:rPr>
          <w:b/>
          <w:bCs/>
        </w:rPr>
        <w:t xml:space="preserve">Proof</w:t>
      </w:r>
    </w:p>
    <w:p>
      <w:pPr>
        <w:spacing w:after="140" w:line="300"/>
        <w:jc w:val="both"/>
      </w:pPr>
      <w:r>
        <w:t xml:space="preserve">Butt and Ulina write that "while fully autonomous offensive cyber weapons are still largely theoretical, AI is being used to aid in reconnaissance, vulnerability discovery, phishing, malware development, and the adaptation of cyber exploits." From Butt and Ulina, "Cyber Warfare in the AI Era."</w:t>
      </w:r>
    </w:p>
    <w:p>
      <w:pPr>
        <w:spacing w:after="140" w:line="300"/>
        <w:jc w:val="both"/>
      </w:pPr>
      <w:r>
        <w:t xml:space="preserve">Yigit and colleagues describe agentic systems as enabling "proactive defence and resilience in real time by autonomously learning, adapting, and orchestrating multi-step mitigation strategies." From Yigit et al., "Generative AI and LLMs for Critical Infrastructure Protection."</w:t>
      </w:r>
    </w:p>
    <w:p>
      <w:pPr>
        <w:spacing w:after="140" w:line="300"/>
        <w:jc w:val="both"/>
      </w:pPr>
      <w:r>
        <w:t xml:space="preserve">The dwell time of 197 days, and the finding that "73.6% of events were first discovered by entities other than the victim organisation's security teams," are from Kabir et al., "A National-Scale AI-Driven Cyber Defense Framework." Note that this study's incident totals do not reconcile with each other, so those totals are not used anywhere in the paper or in this talk.</w:t>
      </w:r>
    </w:p>
    <w:p>
      <w:pPr>
        <w:spacing w:after="140" w:line="300"/>
        <w:jc w:val="both"/>
      </w:pPr>
      <w:r>
        <w:t xml:space="preserve">Willett describes "intense sparring between offence and defence, but with defence dominating most of the time," and adds that a conflict "between Russia and a state with weaker cyber security than Ukraine, or one between NATO and Russia (or China), would perhaps see a different balance between offence and defence."</w:t>
      </w:r>
    </w:p>
    <w:p>
      <w:pPr>
        <w:pBdr>
          <w:bottom w:val="single" w:color="BBBBBB" w:sz="6" w:space="1"/>
        </w:pBdr>
        <w:spacing w:after="120" w:before="120"/>
      </w:pPr>
      <w:r>
        <w:t xml:space="preserve"/>
      </w:r>
    </w:p>
    <w:p>
      <w:pPr>
        <w:pStyle w:val="Heading1"/>
        <w:keepNext/>
        <w:spacing w:after="140" w:before="360"/>
      </w:pPr>
      <w:r>
        <w:t xml:space="preserve">Slide 9. So which is it?</w:t>
      </w:r>
    </w:p>
    <w:p>
      <w:pPr>
        <w:spacing w:after="140" w:line="300"/>
        <w:jc w:val="both"/>
      </w:pPr>
      <w:r>
        <w:rPr>
          <w:b/>
          <w:bCs/>
        </w:rPr>
        <w:t xml:space="preserve">What to say</w:t>
      </w:r>
    </w:p>
    <w:p>
      <w:pPr>
        <w:spacing w:after="140" w:line="300"/>
        <w:jc w:val="both"/>
      </w:pPr>
      <w:r>
        <w:t xml:space="preserve">That leaves two explanations, and the literature contains supporters of both. The first says the warning is fading. It did mean something once, because staying hidden was genuinely expensive, but as AI takes over the work it gets cheaper and the meaning drains out of the act. If that is right, the gap between what we say and what we do should keep widening as automation spreads. The second says there never was a warning. It was never meant to say anything at all. Staying quiet, and keeping effects below the level that triggers a response, was always the whole point. If that is right, the gap stays roughly constant, because it was never about cost in the first place. Now here is the uncomfortable part. The evidence so far fits the second at least as well as the first. Years of sitting still, no punishment, effects kept carefully small. Yet our doctrine assumes the first. This study does not settle which is right. What it does is show that the question is answerable and that nobody has asked it.</w:t>
      </w:r>
    </w:p>
    <w:p>
      <w:pPr>
        <w:spacing w:after="140" w:line="300"/>
        <w:jc w:val="both"/>
      </w:pPr>
      <w:r>
        <w:rPr>
          <w:b/>
          <w:bCs/>
        </w:rPr>
        <w:t xml:space="preserve">Proof</w:t>
      </w:r>
    </w:p>
    <w:p>
      <w:pPr>
        <w:spacing w:after="140" w:line="300"/>
        <w:jc w:val="both"/>
      </w:pPr>
      <w:r>
        <w:t xml:space="preserve">The first position is held by Dimitrov and Andreev, who describe "the prepositioning of cyber assets in U.S. critical infrastructure as a means of deterrence and coercion."</w:t>
      </w:r>
    </w:p>
    <w:p>
      <w:pPr>
        <w:spacing w:after="140" w:line="300"/>
        <w:jc w:val="both"/>
      </w:pPr>
      <w:r>
        <w:t xml:space="preserve">The second is held by Braccia, who writes that grey zone operations "target strategically significant systems while carefully calibrating effects to remain below use-of-force thresholds established in international law." Note that this is an unreviewed preprint, so it is used for the concept rather than for any factual claim.</w:t>
      </w:r>
    </w:p>
    <w:p>
      <w:pPr>
        <w:pBdr>
          <w:bottom w:val="single" w:color="BBBBBB" w:sz="6" w:space="1"/>
        </w:pBdr>
        <w:spacing w:after="120" w:before="120"/>
      </w:pPr>
      <w:r>
        <w:t xml:space="preserve"/>
      </w:r>
    </w:p>
    <w:p>
      <w:pPr>
        <w:pStyle w:val="Heading1"/>
        <w:keepNext/>
        <w:spacing w:after="140" w:before="360"/>
      </w:pPr>
      <w:r>
        <w:t xml:space="preserve">Slide 10. Answering the question</w:t>
      </w:r>
    </w:p>
    <w:p>
      <w:pPr>
        <w:spacing w:after="140" w:line="300"/>
        <w:jc w:val="both"/>
      </w:pPr>
      <w:r>
        <w:rPr>
          <w:b/>
          <w:bCs/>
        </w:rPr>
        <w:t xml:space="preserve">What to say</w:t>
      </w:r>
    </w:p>
    <w:p>
      <w:pPr>
        <w:spacing w:after="140" w:line="300"/>
        <w:jc w:val="both"/>
      </w:pPr>
      <w:r>
        <w:t xml:space="preserve">So let me answer the question I opened with. Is it a signal? On the evidence, it does not function as one. It is not noticed, it is denied by its sender, and it draws a technical answer rather than a political one. Does AI shift the balance? Not yet in the attacker's favour. Automatic attack tools are still theoretical, and the AI being built is mostly defensive. When is it destabilising? Not when it is used, but when it is misread. Over-read it and we escalate over nothing. Under-read it and we file real preparation as a maintenance job. And what is left to do? Test which of the two explanations holds, by tracking whether the gap between interpretation and response widens as automation spreads. I will leave you with one line. We have been reading a message that may never have been sent. Thank you.</w:t>
      </w:r>
    </w:p>
    <w:p>
      <w:pPr>
        <w:spacing w:after="140" w:line="300"/>
        <w:jc w:val="both"/>
      </w:pPr>
      <w:r>
        <w:rPr>
          <w:b/>
          <w:bCs/>
        </w:rPr>
        <w:t xml:space="preserve">Proof</w:t>
      </w:r>
    </w:p>
    <w:p>
      <w:pPr>
        <w:spacing w:after="140" w:line="300"/>
        <w:jc w:val="both"/>
      </w:pPr>
      <w:r>
        <w:t xml:space="preserve">That the intersection of machine autonomy and this balance has been named but not studied is shown by Melella, who writes that "studying how these emerging technologies affect the offensive-defensive balance could reveal new dynamics and challenges," and then examines coordination instead. From Melella, "Coordination in Offensive and Defensive Cyberoperations."</w:t>
      </w:r>
    </w:p>
    <w:p>
      <w:pPr>
        <w:spacing w:after="140" w:line="300"/>
        <w:jc w:val="both"/>
      </w:pPr>
      <w:r>
        <w:t xml:space="preserve">The two policy risks are set out in section 6.5 of the paper.</w:t>
      </w:r>
    </w:p>
    <w:p>
      <w:pPr>
        <w:pBdr>
          <w:bottom w:val="single" w:color="BBBBBB" w:sz="6" w:space="1"/>
        </w:pBdr>
        <w:spacing w:after="120" w:before="120"/>
      </w:pPr>
      <w:r>
        <w:t xml:space="preserve"/>
      </w:r>
    </w:p>
    <w:p>
      <w:pPr>
        <w:pStyle w:val="Heading1"/>
        <w:keepNext/>
        <w:spacing w:after="140" w:before="360"/>
      </w:pPr>
      <w:r>
        <w:t xml:space="preserve">Sources used in this talk</w:t>
      </w:r>
    </w:p>
    <w:p>
      <w:pPr>
        <w:spacing w:after="140" w:line="300"/>
        <w:jc w:val="both"/>
      </w:pPr>
      <w:r>
        <w:t xml:space="preserve">Baram, Gil. "Re-ordering Accountability: The Significance of Joint Public Attribution in a Fragmented Cyberspace." </w:t>
      </w:r>
      <w:r>
        <w:rPr>
          <w:i/>
          <w:iCs/>
        </w:rPr>
        <w:t xml:space="preserve">Contemporary Security Policy</w:t>
      </w:r>
      <w:r>
        <w:t xml:space="preserve">, 2026. https://doi.org/10.1080/13523260.2026.2662220.</w:t>
      </w:r>
    </w:p>
    <w:p>
      <w:pPr>
        <w:spacing w:after="140" w:line="300"/>
        <w:jc w:val="both"/>
      </w:pPr>
      <w:r>
        <w:t xml:space="preserve">Braccia, Christopher. "From Vietnam to Volt Typhoon." Preprint, Authorea, 2025. https://doi.org/10.22541/au.175390612.20874865/v1.</w:t>
      </w:r>
    </w:p>
    <w:p>
      <w:pPr>
        <w:spacing w:after="140" w:line="300"/>
        <w:jc w:val="both"/>
      </w:pPr>
      <w:r>
        <w:t xml:space="preserve">Butt, Muhammad Saqib, and Ninta Sri Ulina. "Cyber Warfare in the AI Era." </w:t>
      </w:r>
      <w:r>
        <w:rPr>
          <w:i/>
          <w:iCs/>
        </w:rPr>
        <w:t xml:space="preserve">The Critical Review of Social Sciences Studies</w:t>
      </w:r>
      <w:r>
        <w:t xml:space="preserve"> 4, no. 1 (2026): 6176-92.</w:t>
      </w:r>
    </w:p>
    <w:p>
      <w:pPr>
        <w:spacing w:after="140" w:line="300"/>
        <w:jc w:val="both"/>
      </w:pPr>
      <w:r>
        <w:t xml:space="preserve">Codreanu, Claudiu. </w:t>
      </w:r>
      <w:r>
        <w:rPr>
          <w:i/>
          <w:iCs/>
        </w:rPr>
        <w:t xml:space="preserve">Typhoons, Bears, and Pandas</w:t>
      </w:r>
      <w:r>
        <w:t xml:space="preserve">. Policy Paper 43. Romanian Diplomatic Institute, 2025.</w:t>
      </w:r>
    </w:p>
    <w:p>
      <w:pPr>
        <w:spacing w:after="140" w:line="300"/>
        <w:jc w:val="both"/>
      </w:pPr>
      <w:r>
        <w:t xml:space="preserve">Dimitrov, Dimitar, and Evgeni Andreev. "China's Strategic Competition in Cyberspace." In </w:t>
      </w:r>
      <w:r>
        <w:rPr>
          <w:i/>
          <w:iCs/>
        </w:rPr>
        <w:t xml:space="preserve">Environment. Technology. Resources</w:t>
      </w:r>
      <w:r>
        <w:t xml:space="preserve">, 2:115-22. RTU Press, 2025. https://doi.org/10.17770/etr2025vol2.8618.</w:t>
      </w:r>
    </w:p>
    <w:p>
      <w:pPr>
        <w:spacing w:after="140" w:line="300"/>
        <w:jc w:val="both"/>
      </w:pPr>
      <w:r>
        <w:t xml:space="preserve">Guttieri, Karen. "Fighting through Disruption." </w:t>
      </w:r>
      <w:r>
        <w:rPr>
          <w:i/>
          <w:iCs/>
        </w:rPr>
        <w:t xml:space="preserve">The Cyber Defense Review</w:t>
      </w:r>
      <w:r>
        <w:t xml:space="preserve"> 10, no. 1 (2025): 93-114. https://doi.org/10.55682/cdr/egvf-mkys.</w:t>
      </w:r>
    </w:p>
    <w:p>
      <w:pPr>
        <w:spacing w:after="140" w:line="300"/>
        <w:jc w:val="both"/>
      </w:pPr>
      <w:r>
        <w:t xml:space="preserve">Kabir, Md Humayun, et al. "A National-Scale AI-Driven Cyber Defense Framework." </w:t>
      </w:r>
      <w:r>
        <w:rPr>
          <w:i/>
          <w:iCs/>
        </w:rPr>
        <w:t xml:space="preserve">Journal of Computer Science and Technology Studies</w:t>
      </w:r>
      <w:r>
        <w:t xml:space="preserve"> 8, no. 6 (2026): 94-107.</w:t>
      </w:r>
    </w:p>
    <w:p>
      <w:pPr>
        <w:spacing w:after="140" w:line="300"/>
        <w:jc w:val="both"/>
      </w:pPr>
      <w:r>
        <w:t xml:space="preserve">Melella, Cosimo. "Coordination in Offensive and Defensive Cyberoperations." PhD diss., Universita degli Studi di Genova.</w:t>
      </w:r>
    </w:p>
    <w:p>
      <w:pPr>
        <w:spacing w:after="140" w:line="300"/>
        <w:jc w:val="both"/>
      </w:pPr>
      <w:r>
        <w:t xml:space="preserve">Singh, Nistha Kumari, Amrita Jash, and Yashwanth Nanjappa. "Navigating the Nexus." </w:t>
      </w:r>
      <w:r>
        <w:rPr>
          <w:i/>
          <w:iCs/>
        </w:rPr>
        <w:t xml:space="preserve">Cogent Social Sciences</w:t>
      </w:r>
      <w:r>
        <w:t xml:space="preserve"> 11, no. 1 (2025): 2499171. https://doi.org/10.1080/23311886.2025.2499171.</w:t>
      </w:r>
    </w:p>
    <w:p>
      <w:pPr>
        <w:spacing w:after="140" w:line="300"/>
        <w:jc w:val="both"/>
      </w:pPr>
      <w:r>
        <w:t xml:space="preserve">Sullivan, Scott. "Toward Clarity in Cyber's 'Fog of Law.'" </w:t>
      </w:r>
      <w:r>
        <w:rPr>
          <w:i/>
          <w:iCs/>
        </w:rPr>
        <w:t xml:space="preserve">The Cyber Defense Review</w:t>
      </w:r>
      <w:r>
        <w:t xml:space="preserve"> 10, no. 1 (2025): 59-71. https://doi.org/10.55682/cdr/v8z4-sxne.</w:t>
      </w:r>
    </w:p>
    <w:p>
      <w:pPr>
        <w:spacing w:after="140" w:line="300"/>
        <w:jc w:val="both"/>
      </w:pPr>
      <w:r>
        <w:t xml:space="preserve">Urbanczyk, Jack, et al. "State-Sponsored Intrusions and Critical Infrastructure." Preprint, TechRxiv, 2025. https://doi.org/10.36227/techrxiv.175085869.97198541/v1.</w:t>
      </w:r>
    </w:p>
    <w:p>
      <w:pPr>
        <w:spacing w:after="140" w:line="300"/>
        <w:jc w:val="both"/>
      </w:pPr>
      <w:r>
        <w:t xml:space="preserve">Willett, Marcus. "The Cyber Dimension of the Russia-Ukraine War." </w:t>
      </w:r>
      <w:r>
        <w:rPr>
          <w:i/>
          <w:iCs/>
        </w:rPr>
        <w:t xml:space="preserve">Survival</w:t>
      </w:r>
      <w:r>
        <w:t xml:space="preserve"> 64, no. 5 (2022): 7-26. https://doi.org/10.1080/00396338.2022.2126193.</w:t>
      </w:r>
    </w:p>
    <w:p>
      <w:pPr>
        <w:spacing w:after="140" w:line="300"/>
        <w:jc w:val="both"/>
      </w:pPr>
      <w:r>
        <w:t xml:space="preserve">Yigit, Yagmur, et al. "Generative AI and LLMs for Critical Infrastructure Protection." </w:t>
      </w:r>
      <w:r>
        <w:rPr>
          <w:i/>
          <w:iCs/>
        </w:rPr>
        <w:t xml:space="preserve">Sensors</w:t>
      </w:r>
      <w:r>
        <w:t xml:space="preserve"> 25, no. 6 (2025): 1666. https://doi.org/10.3390/s25061666.</w:t>
      </w:r>
    </w:p>
    <w:p>
      <w:pPr>
        <w:spacing w:after="140" w:line="300"/>
        <w:jc w:val="both"/>
      </w:pPr>
      <w:r>
        <w:t xml:space="preserve">Lonergan, Shawn, and Michael Poznansky. Cited in Codreanu, above. Not consulted in the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355"/>
      <w:sz w:val="30"/>
      <w:szCs w:val="30"/>
    </w:rPr>
  </w:style>
  <w:style w:type="paragraph" w:styleId="Heading2">
    <w:name w:val="Heading 2"/>
    <w:basedOn w:val="Normal"/>
    <w:next w:val="Normal"/>
    <w:qFormat/>
    <w:rPr>
      <w:rFonts w:ascii="Calibri" w:cs="Calibri" w:eastAsia="Calibri" w:hAnsi="Calibri"/>
      <w:b/>
      <w:bCs/>
      <w:color w:val="2E4B72"/>
      <w:sz w:val="25"/>
      <w:szCs w:val="25"/>
    </w:rPr>
  </w:style>
  <w:style w:type="paragraph" w:styleId="Heading3">
    <w:name w:val="Heading 3"/>
    <w:basedOn w:val="Normal"/>
    <w:next w:val="Normal"/>
    <w:qFormat/>
    <w:rPr>
      <w:rFonts w:ascii="Calibri" w:cs="Calibri" w:eastAsia="Calibri" w:hAnsi="Calibri"/>
      <w:b/>
      <w:bCs/>
      <w:color w:val="3A5A8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Patience</dc:title>
  <dc:creator>Strategic Studies research</dc:creator>
  <dc:description>AI autonomy, costly signalling, and the strategic meaning of cyber pre-positioning</dc:description>
  <cp:lastModifiedBy>Un-named</cp:lastModifiedBy>
  <cp:revision>1</cp:revision>
  <dcterms:created xsi:type="dcterms:W3CDTF">2026-08-05T19:54:39.392Z</dcterms:created>
  <dcterms:modified xsi:type="dcterms:W3CDTF">2026-08-05T19:54:39.410Z</dcterms:modified>
</cp:coreProperties>
</file>

<file path=docProps/custom.xml><?xml version="1.0" encoding="utf-8"?>
<Properties xmlns="http://schemas.openxmlformats.org/officeDocument/2006/custom-properties" xmlns:vt="http://schemas.openxmlformats.org/officeDocument/2006/docPropsVTypes"/>
</file>