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sz w:val="44"/>
          <w:szCs w:val="44"/>
        </w:rPr>
        <w:t xml:space="preserve">The Price of Patience</w:t>
      </w:r>
    </w:p>
    <w:p>
      <w:pPr>
        <w:spacing w:after="480"/>
        <w:jc w:val="center"/>
      </w:pPr>
      <w:r>
        <w:rPr>
          <w:i/>
          <w:iCs/>
          <w:sz w:val="26"/>
          <w:szCs w:val="26"/>
        </w:rPr>
        <w:t xml:space="preserve">AI Autonomy, Costly Signalling and the Strategic Meaning of Cyber Pre-Positioning</w:t>
      </w:r>
    </w:p>
    <w:p>
      <w:pPr>
        <w:spacing w:after="120"/>
        <w:jc w:val="center"/>
      </w:pPr>
      <w:r>
        <w:rPr>
          <w:sz w:val="22"/>
          <w:szCs w:val="22"/>
        </w:rPr>
        <w:t xml:space="preserve">A working paper in strategic studies</w:t>
      </w:r>
    </w:p>
    <w:p>
      <w:pPr>
        <w:jc w:val="center"/>
      </w:pPr>
      <w:r>
        <w:rPr>
          <w:color w:val="555555"/>
          <w:sz w:val="20"/>
          <w:szCs w:val="20"/>
        </w:rPr>
        <w:t xml:space="preserve">Literature review, research gap and proposed research design</w:t>
      </w:r>
    </w:p>
    <w:p>
      <w:r>
        <w:br w:type="page"/>
      </w:r>
    </w:p>
    <w:p>
      <w:pPr>
        <w:pStyle w:val="Heading1"/>
        <w:spacing w:after="200"/>
      </w:pPr>
      <w:r>
        <w:rPr>
          <w:b/>
          <w:bCs/>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keepNext/>
        <w:spacing w:after="140" w:before="360"/>
      </w:pPr>
      <w:r>
        <w:t xml:space="preserve">Abstract</w:t>
      </w:r>
    </w:p>
    <w:p>
      <w:pPr>
        <w:spacing w:after="140" w:line="300"/>
        <w:jc w:val="both"/>
      </w:pPr>
      <w:r>
        <w:t xml:space="preserve">Persistent adversary access to civilian critical infrastructure, commonly called pre-positioning, is widely read as strategic warning. That reading depends on an assumption its proponents state but do not examine: that persistence is expensive, and therefore indicates deliberate intent. This paper examines the assumption and asks what artificial intelligence autonomy does to it.</w:t>
      </w:r>
    </w:p>
    <w:p>
      <w:pPr>
        <w:spacing w:after="140" w:line="300"/>
        <w:jc w:val="both"/>
      </w:pPr>
      <w:r>
        <w:t xml:space="preserve">The study draws on sixteen works selected for their relevance to the offence-defence balance, cyber pre-positioning and machine autonomy. Three findings follow. First, the interpretive claim and the behavioural record do not match. Pre-positioning is read as preparation for conflict, yet the Volt Typhoon campaign drew only a joint technical advisory, while the contemporaneous Salt Typhoon espionage campaign drew financial sanctions. Second, the literature contains three cases of pre-positioning and one attempted use, and no case in which pre-positioning was followed by successful strategic effect. Every inference about what pre-positioning portends therefore rests on no positive instances. Third, the offence-defence balance in cyberspace is a property of the pairing of adversaries rather than of the technology, which makes the question of whether autonomy favours attack the wrong one, and the question of which side absorbs autonomy better the answerable one.</w:t>
      </w:r>
    </w:p>
    <w:p>
      <w:pPr>
        <w:spacing w:after="140" w:line="300"/>
        <w:jc w:val="both"/>
      </w:pPr>
      <w:r>
        <w:t xml:space="preserve">The paper specifies two competing hypotheses and proposes a design to distinguish them. Either autonomy degrades an existing signalling channel, or pre-positioning never signalled at all, being calibrated to remain below the thresholds that trigger response. The paper does not settle the question. It establishes that the question is open, that the literature has named it without investigating it, and that present evidence leans toward the second explanation.</w:t>
      </w:r>
    </w:p>
    <w:p>
      <w:pPr>
        <w:spacing w:after="140" w:line="300"/>
        <w:jc w:val="both"/>
      </w:pPr>
      <w:r>
        <w:rPr>
          <w:b/>
          <w:bCs/>
        </w:rPr>
        <w:t xml:space="preserve">Keywords:</w:t>
      </w:r>
      <w:r>
        <w:t xml:space="preserve"> offence-defence balance; cyber pre-positioning; costly signalling; artificial intelligence autonomy; Volt Typhoon; critical infrastructure protection; escalation</w:t>
      </w:r>
    </w:p>
    <w:p>
      <w:pPr>
        <w:pBdr>
          <w:bottom w:val="single" w:color="BBBBBB" w:sz="6" w:space="1"/>
        </w:pBdr>
        <w:spacing w:after="120" w:before="120"/>
      </w:pPr>
      <w:r>
        <w:t xml:space="preserve"/>
      </w:r>
    </w:p>
    <w:p>
      <w:pPr>
        <w:pStyle w:val="Heading1"/>
        <w:keepNext/>
        <w:spacing w:after="140" w:before="360"/>
      </w:pPr>
      <w:r>
        <w:t xml:space="preserve">1. Introduction</w:t>
      </w:r>
    </w:p>
    <w:p>
      <w:pPr>
        <w:pStyle w:val="Heading2"/>
        <w:keepNext/>
        <w:spacing w:after="140" w:before="240"/>
      </w:pPr>
      <w:r>
        <w:t xml:space="preserve">1.1 Strategic background</w:t>
      </w:r>
    </w:p>
    <w:p>
      <w:pPr>
        <w:spacing w:after="140" w:line="300"/>
        <w:jc w:val="both"/>
      </w:pPr>
      <w:r>
        <w:t xml:space="preserve">In May 2023 the United States and its Five Eyes partners attributed to Chinese state-sponsored actors a campaign designated Volt Typhoon, which had established persistent access in American critical infrastructure using living-off-the-land techniques (Guttieri, 2025; Codreanu, 2025; Singh, Jash and Nanjappa, 2025). The campaign targeted energy, water, communications and transport systems, and included networks supporting United States Department of Defense operations in Guam, a logistics hub for Indo-Pacific contingencies (Dimitrov and Andreev, 2025).</w:t>
      </w:r>
    </w:p>
    <w:p>
      <w:pPr>
        <w:spacing w:after="140" w:line="300"/>
        <w:jc w:val="both"/>
      </w:pPr>
      <w:r>
        <w:t xml:space="preserve">What distinguished Volt Typhoon was not its technical sophistication but its apparent lack of purpose by the standards of espionage. General Paul Nakasone observed that there is "absolutely no intelligence to be gathered by putting malicious code in [critical infrastructure] networks" (quoted in Guttieri, 2025). United States authorities held that "the method of operation and chosen targets did not fit the pattern of a traditional cyber espionage campaign" (Codreanu, 2025).</w:t>
      </w:r>
    </w:p>
    <w:p>
      <w:pPr>
        <w:spacing w:after="140" w:line="300"/>
        <w:jc w:val="both"/>
      </w:pPr>
      <w:r>
        <w:t xml:space="preserve">During the same period, artificial intelligence systems began to acquire the capacity to conduct parts of cyber operations without human direction. Butt and Ulina (2026) place current capability at the level of task assistance, covering reconnaissance, vulnerability discovery and exploit adaptation, while noting that fully autonomous offensive cyber weapons remain "largely theoretical". Yigit et al. (2025) define agentic artificial intelligence as a system "capable of autonomous action, real-time adaptation, and multi-step problem-solving aligned with specific contexts and objectives".</w:t>
      </w:r>
    </w:p>
    <w:p>
      <w:pPr>
        <w:pStyle w:val="Heading2"/>
        <w:keepNext/>
        <w:spacing w:after="140" w:before="240"/>
      </w:pPr>
      <w:r>
        <w:t xml:space="preserve">1.2 Problem statement</w:t>
      </w:r>
    </w:p>
    <w:p>
      <w:pPr>
        <w:spacing w:after="140" w:line="300"/>
        <w:jc w:val="both"/>
      </w:pPr>
      <w:r>
        <w:t xml:space="preserve">Guttieri (2025) offers a rule for reading persistent access. Where access yields little intelligence but confers substantial operational leverage, it "likely reflects preparation for conflict". The inference works because persistence is costly. In her account it requires "technical competence and strategic patience". This is the logic of costly signalling: the act carries information about intent because it is expensive to sustain.</w:t>
      </w:r>
    </w:p>
    <w:p>
      <w:pPr>
        <w:spacing w:after="140" w:line="300"/>
        <w:jc w:val="both"/>
      </w:pPr>
      <w:r>
        <w:t xml:space="preserve">States do not appear to act as though pre-positioning carries that meaning. Baram (2026), coding twenty joint public attribution cases drawn from the European Repository of Cyber Incidents, finds that Volt Typhoon produced only a joint technical advisory, and that "no alliance-led endorsement or sanctions package followed". Advisories of this type cluster in cases of stealthy access and pre-positioning, and their "primary audience here is network defenders, not only state elites". Sullivan (2025) explains why. Operations of this kind "lurk in the shadows", and lack "sufficient political salience to activate political institutions to punish the perpetrator". Singh, Jash and Nanjappa (2025) record a third obstacle, namely that China denies the campaign and makes a reciprocal accusation.</w:t>
      </w:r>
    </w:p>
    <w:p>
      <w:pPr>
        <w:spacing w:after="140" w:line="300"/>
        <w:jc w:val="both"/>
      </w:pPr>
      <w:r>
        <w:t xml:space="preserve">There is therefore a gap between what pre-positioning is held to mean and how states respond to it. Guttieri supplies the interpretation. Baram shows that the response does not follow. No study joins these findings, and none asks what machine autonomy does to a signalling mechanism that already performs poorly.</w:t>
      </w:r>
    </w:p>
    <w:p>
      <w:pPr>
        <w:pStyle w:val="Heading2"/>
        <w:keepNext/>
        <w:spacing w:after="140" w:before="240"/>
      </w:pPr>
      <w:r>
        <w:t xml:space="preserve">1.3 Research question</w:t>
      </w:r>
    </w:p>
    <w:p>
      <w:pPr>
        <w:spacing w:after="140" w:line="300"/>
        <w:jc w:val="both"/>
      </w:pPr>
      <w:r>
        <w:t xml:space="preserve">How fast and how far will artificial intelligence and agentic autonomy shift the offence-defence balance, and when does pre-positioning itself constitute a strategic signal or a source of instability?</w:t>
      </w:r>
    </w:p>
    <w:p>
      <w:pPr>
        <w:pStyle w:val="Heading2"/>
        <w:keepNext/>
        <w:spacing w:after="140" w:before="240"/>
      </w:pPr>
      <w:r>
        <w:t xml:space="preserve">1.4 Research objectives</w:t>
      </w:r>
    </w:p>
    <w:p>
      <w:pPr>
        <w:pStyle w:val="ListParagraph"/>
        <w:numPr>
          <w:ilvl w:val="0"/>
          <w:numId w:val="2"/>
        </w:numPr>
        <w:spacing w:after="60"/>
      </w:pPr>
      <w:r>
        <w:t xml:space="preserve">To establish how the literature distinguishes pre-positioning as espionage from pre-positioning as signal.</w:t>
      </w:r>
    </w:p>
    <w:p>
      <w:pPr>
        <w:pStyle w:val="ListParagraph"/>
        <w:numPr>
          <w:ilvl w:val="0"/>
          <w:numId w:val="2"/>
        </w:numPr>
        <w:spacing w:after="60"/>
      </w:pPr>
      <w:r>
        <w:t xml:space="preserve">To identify the cost assumptions on which that distinction depends.</w:t>
      </w:r>
    </w:p>
    <w:p>
      <w:pPr>
        <w:pStyle w:val="ListParagraph"/>
        <w:numPr>
          <w:ilvl w:val="0"/>
          <w:numId w:val="2"/>
        </w:numPr>
        <w:spacing w:after="60"/>
      </w:pPr>
      <w:r>
        <w:t xml:space="preserve">To assess the present state and direction of operational cyber autonomy.</w:t>
      </w:r>
    </w:p>
    <w:p>
      <w:pPr>
        <w:pStyle w:val="ListParagraph"/>
        <w:numPr>
          <w:ilvl w:val="0"/>
          <w:numId w:val="2"/>
        </w:numPr>
        <w:spacing w:after="60"/>
      </w:pPr>
      <w:r>
        <w:t xml:space="preserve">To theorise the consequences for signalling, escalation and stability when the cost of persistence falls.</w:t>
      </w:r>
    </w:p>
    <w:p>
      <w:pPr>
        <w:pStyle w:val="ListParagraph"/>
        <w:numPr>
          <w:ilvl w:val="0"/>
          <w:numId w:val="2"/>
        </w:numPr>
        <w:spacing w:after="60"/>
      </w:pPr>
      <w:r>
        <w:t xml:space="preserve">To derive indicators by which analysts might detect that transition.</w:t>
      </w:r>
    </w:p>
    <w:p>
      <w:pPr>
        <w:pStyle w:val="Heading2"/>
        <w:keepNext/>
        <w:spacing w:after="140" w:before="240"/>
      </w:pPr>
      <w:r>
        <w:t xml:space="preserve">1.5 Significance of the study</w:t>
      </w:r>
    </w:p>
    <w:p>
      <w:pPr>
        <w:spacing w:after="140" w:line="300"/>
        <w:jc w:val="both"/>
      </w:pPr>
      <w:r>
        <w:t xml:space="preserve">The academic contribution is to connect two bodies of work that have developed separately. Melella (n.d.) proposes that "studying how these emerging technologies affect the offensive-defensive balance could reveal new dynamics and challenges", and then examines coordination instead.</w:t>
      </w:r>
    </w:p>
    <w:p>
      <w:pPr>
        <w:spacing w:after="140" w:line="300"/>
        <w:jc w:val="both"/>
      </w:pPr>
      <w:r>
        <w:t xml:space="preserve">The policy contribution is more immediate. Doctrine treats infrastructure pre-positioning as strategic warning. If that reading is unreliable, states risk either responding to activity that carries no message, or failing to respond to preparation that does.</w:t>
      </w:r>
    </w:p>
    <w:p>
      <w:pPr>
        <w:pStyle w:val="Heading2"/>
        <w:keepNext/>
        <w:spacing w:after="140" w:before="240"/>
      </w:pPr>
      <w:r>
        <w:t xml:space="preserve">1.6 Scope and delimitations</w:t>
      </w:r>
    </w:p>
    <w:p>
      <w:pPr>
        <w:spacing w:after="140" w:line="300"/>
        <w:jc w:val="both"/>
      </w:pPr>
      <w:r>
        <w:t xml:space="preserve">The study addresses state and state-sponsored operations against critical infrastructure. It does not address cybercrime, information operations or lethal autonomous weapons except where these bear on the argument. The empirical focus is the period from 2018 to 2026, which covers the earliest documented case of pre-positioning without use and the most recent assessments of machine autonomy.</w:t>
      </w:r>
    </w:p>
    <w:p>
      <w:pPr>
        <w:spacing w:after="140" w:line="300"/>
        <w:jc w:val="both"/>
      </w:pPr>
      <w:r>
        <w:t xml:space="preserve">Three limits should be stated at the outset. The literature examined is drawn from open sources and is oriented toward the United States and its allies. No Chinese-language doctrinal material is included. The quality of available work varies, and Section 2.1 distinguishes peer-reviewed scholarship from preprints and unreviewed material.</w:t>
      </w:r>
    </w:p>
    <w:p>
      <w:pPr>
        <w:pStyle w:val="Heading2"/>
        <w:keepNext/>
        <w:spacing w:after="140" w:before="240"/>
      </w:pPr>
      <w:r>
        <w:t xml:space="preserve">1.7 Structure of the paper</w:t>
      </w:r>
    </w:p>
    <w:p>
      <w:pPr>
        <w:spacing w:after="140" w:line="300"/>
        <w:jc w:val="both"/>
      </w:pPr>
      <w:r>
        <w:t xml:space="preserve">Section 2 reviews the literature by theme. Section 3 identifies the research gap. Section 4 sets out the theoretical framework and the competing hypotheses. Section 5 proposes a research design. Section 6 synthesises what the literature establishes and what it leaves unsettled. Section 7 states the contribution. Section 8 concludes.</w:t>
      </w:r>
    </w:p>
    <w:p>
      <w:pPr>
        <w:pBdr>
          <w:bottom w:val="single" w:color="BBBBBB" w:sz="6" w:space="1"/>
        </w:pBdr>
        <w:spacing w:after="120" w:before="120"/>
      </w:pPr>
      <w:r>
        <w:t xml:space="preserve"/>
      </w:r>
    </w:p>
    <w:p>
      <w:pPr>
        <w:pStyle w:val="Heading1"/>
        <w:keepNext/>
        <w:spacing w:after="140" w:before="360"/>
      </w:pPr>
      <w:r>
        <w:t xml:space="preserve">2. Literature Review</w:t>
      </w:r>
    </w:p>
    <w:p>
      <w:pPr>
        <w:pStyle w:val="Heading2"/>
        <w:keepNext/>
        <w:spacing w:after="140" w:before="240"/>
      </w:pPr>
      <w:r>
        <w:t xml:space="preserve">2.1 The evidence base</w:t>
      </w:r>
    </w:p>
    <w:p>
      <w:pPr>
        <w:spacing w:after="140" w:line="300"/>
        <w:jc w:val="both"/>
      </w:pPr>
      <w:r>
        <w:t xml:space="preserve">Sixteen works form the basis of this review. Table 1 records their venue, method and standing. Quality varies, and the assessment column is not decorative. Two of the sixteen carry no institutional affiliation and no peer review, and one contains internally inconsistent data. These are used for the events they record rather than for the claims they make.</w:t>
      </w:r>
    </w:p>
    <w:p>
      <w:pPr>
        <w:spacing w:after="140" w:line="300"/>
        <w:jc w:val="both"/>
      </w:pPr>
      <w:r>
        <w:rPr>
          <w:b/>
          <w:bCs/>
        </w:rPr>
        <w:t xml:space="preserve">Table 1. Works reviewed</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8"/>
        <w:gridCol w:w="2320"/>
        <w:gridCol w:w="2655"/>
        <w:gridCol w:w="2237"/>
      </w:tblGrid>
      <w:tr>
        <w:trPr>
          <w:cantSplit w:val="false"/>
          <w:tblHeader/>
        </w:trPr>
        <w:tc>
          <w:tcPr>
            <w:tcW w:type="dxa" w:w="2148"/>
            <w:shd w:fill="E8EDF2" w:color="auto" w:val="clear"/>
            <w:tcMar>
              <w:top w:type="dxa" w:w="50"/>
              <w:left w:type="dxa" w:w="80"/>
              <w:bottom w:type="dxa" w:w="50"/>
              <w:right w:type="dxa" w:w="80"/>
            </w:tcMar>
          </w:tcPr>
          <w:p>
            <w:pPr>
              <w:spacing w:after="15" w:before="15" w:line="240"/>
              <w:jc w:val="left"/>
            </w:pPr>
            <w:r>
              <w:rPr>
                <w:b/>
                <w:bCs/>
                <w:sz w:val="18"/>
                <w:szCs w:val="18"/>
              </w:rPr>
              <w:t xml:space="preserve">Study</w:t>
            </w:r>
          </w:p>
        </w:tc>
        <w:tc>
          <w:tcPr>
            <w:tcW w:type="dxa" w:w="2320"/>
            <w:shd w:fill="E8EDF2" w:color="auto" w:val="clear"/>
            <w:tcMar>
              <w:top w:type="dxa" w:w="50"/>
              <w:left w:type="dxa" w:w="80"/>
              <w:bottom w:type="dxa" w:w="50"/>
              <w:right w:type="dxa" w:w="80"/>
            </w:tcMar>
          </w:tcPr>
          <w:p>
            <w:pPr>
              <w:spacing w:after="15" w:before="15" w:line="240"/>
              <w:jc w:val="left"/>
            </w:pPr>
            <w:r>
              <w:rPr>
                <w:b/>
                <w:bCs/>
                <w:sz w:val="18"/>
                <w:szCs w:val="18"/>
              </w:rPr>
              <w:t xml:space="preserve">Venue</w:t>
            </w:r>
          </w:p>
        </w:tc>
        <w:tc>
          <w:tcPr>
            <w:tcW w:type="dxa" w:w="2655"/>
            <w:shd w:fill="E8EDF2" w:color="auto" w:val="clear"/>
            <w:tcMar>
              <w:top w:type="dxa" w:w="50"/>
              <w:left w:type="dxa" w:w="80"/>
              <w:bottom w:type="dxa" w:w="50"/>
              <w:right w:type="dxa" w:w="80"/>
            </w:tcMar>
          </w:tcPr>
          <w:p>
            <w:pPr>
              <w:spacing w:after="15" w:before="15" w:line="240"/>
              <w:jc w:val="left"/>
            </w:pPr>
            <w:r>
              <w:rPr>
                <w:b/>
                <w:bCs/>
                <w:sz w:val="18"/>
                <w:szCs w:val="18"/>
              </w:rPr>
              <w:t xml:space="preserve">Method</w:t>
            </w:r>
          </w:p>
        </w:tc>
        <w:tc>
          <w:tcPr>
            <w:tcW w:type="dxa" w:w="2237"/>
            <w:shd w:fill="E8EDF2" w:color="auto" w:val="clear"/>
            <w:tcMar>
              <w:top w:type="dxa" w:w="50"/>
              <w:left w:type="dxa" w:w="80"/>
              <w:bottom w:type="dxa" w:w="50"/>
              <w:right w:type="dxa" w:w="80"/>
            </w:tcMar>
          </w:tcPr>
          <w:p>
            <w:pPr>
              <w:spacing w:after="15" w:before="15" w:line="240"/>
              <w:jc w:val="left"/>
            </w:pPr>
            <w:r>
              <w:rPr>
                <w:b/>
                <w:bCs/>
                <w:sz w:val="18"/>
                <w:szCs w:val="18"/>
              </w:rPr>
              <w:t xml:space="preserve">Standing</w:t>
            </w:r>
          </w:p>
        </w:tc>
      </w:tr>
      <w:tr>
        <w:trPr>
          <w:cantSplit w:val="false"/>
          <w:tblHeader w:val="false"/>
        </w:trPr>
        <w:tc>
          <w:tcPr>
            <w:tcW w:type="dxa" w:w="2148"/>
            <w:tcMar>
              <w:top w:type="dxa" w:w="50"/>
              <w:left w:type="dxa" w:w="80"/>
              <w:bottom w:type="dxa" w:w="50"/>
              <w:right w:type="dxa" w:w="80"/>
            </w:tcMar>
          </w:tcPr>
          <w:p>
            <w:pPr>
              <w:spacing w:after="15" w:before="15" w:line="240"/>
              <w:jc w:val="left"/>
            </w:pPr>
            <w:r>
              <w:rPr>
                <w:sz w:val="18"/>
                <w:szCs w:val="18"/>
              </w:rPr>
              <w:t xml:space="preserve">Maschmeyer (2023)</w:t>
            </w:r>
          </w:p>
        </w:tc>
        <w:tc>
          <w:tcPr>
            <w:tcW w:type="dxa" w:w="2320"/>
            <w:tcMar>
              <w:top w:type="dxa" w:w="50"/>
              <w:left w:type="dxa" w:w="80"/>
              <w:bottom w:type="dxa" w:w="50"/>
              <w:right w:type="dxa" w:w="80"/>
            </w:tcMar>
          </w:tcPr>
          <w:p>
            <w:pPr>
              <w:spacing w:after="15" w:before="15" w:line="240"/>
              <w:jc w:val="left"/>
            </w:pPr>
            <w:r>
              <w:rPr>
                <w:sz w:val="18"/>
                <w:szCs w:val="18"/>
              </w:rPr>
              <w:t xml:space="preserve">European Journal of International Relations</w:t>
            </w:r>
          </w:p>
        </w:tc>
        <w:tc>
          <w:tcPr>
            <w:tcW w:type="dxa" w:w="2655"/>
            <w:tcMar>
              <w:top w:type="dxa" w:w="50"/>
              <w:left w:type="dxa" w:w="80"/>
              <w:bottom w:type="dxa" w:w="50"/>
              <w:right w:type="dxa" w:w="80"/>
            </w:tcMar>
          </w:tcPr>
          <w:p>
            <w:pPr>
              <w:spacing w:after="15" w:before="15" w:line="240"/>
              <w:jc w:val="left"/>
            </w:pPr>
            <w:r>
              <w:rPr>
                <w:sz w:val="18"/>
                <w:szCs w:val="18"/>
              </w:rPr>
              <w:t xml:space="preserve">Theory building with plausibility probe</w:t>
            </w:r>
          </w:p>
        </w:tc>
        <w:tc>
          <w:tcPr>
            <w:tcW w:type="dxa" w:w="2237"/>
            <w:tcMar>
              <w:top w:type="dxa" w:w="50"/>
              <w:left w:type="dxa" w:w="80"/>
              <w:bottom w:type="dxa" w:w="50"/>
              <w:right w:type="dxa" w:w="80"/>
            </w:tcMar>
          </w:tcPr>
          <w:p>
            <w:pPr>
              <w:spacing w:after="15" w:before="15" w:line="240"/>
              <w:jc w:val="left"/>
            </w:pPr>
            <w:r>
              <w:rPr>
                <w:sz w:val="18"/>
                <w:szCs w:val="18"/>
              </w:rPr>
              <w:t xml:space="preserve">Peer reviewed, ranked</w:t>
            </w:r>
          </w:p>
        </w:tc>
      </w:tr>
      <w:tr>
        <w:trPr>
          <w:cantSplit w:val="false"/>
          <w:tblHeader w:val="false"/>
        </w:trPr>
        <w:tc>
          <w:tcPr>
            <w:tcW w:type="dxa" w:w="2148"/>
            <w:tcMar>
              <w:top w:type="dxa" w:w="50"/>
              <w:left w:type="dxa" w:w="80"/>
              <w:bottom w:type="dxa" w:w="50"/>
              <w:right w:type="dxa" w:w="80"/>
            </w:tcMar>
          </w:tcPr>
          <w:p>
            <w:pPr>
              <w:spacing w:after="15" w:before="15" w:line="240"/>
              <w:jc w:val="left"/>
            </w:pPr>
            <w:r>
              <w:rPr>
                <w:sz w:val="18"/>
                <w:szCs w:val="18"/>
              </w:rPr>
              <w:t xml:space="preserve">Willett (2022)</w:t>
            </w:r>
          </w:p>
        </w:tc>
        <w:tc>
          <w:tcPr>
            <w:tcW w:type="dxa" w:w="2320"/>
            <w:tcMar>
              <w:top w:type="dxa" w:w="50"/>
              <w:left w:type="dxa" w:w="80"/>
              <w:bottom w:type="dxa" w:w="50"/>
              <w:right w:type="dxa" w:w="80"/>
            </w:tcMar>
          </w:tcPr>
          <w:p>
            <w:pPr>
              <w:spacing w:after="15" w:before="15" w:line="240"/>
              <w:jc w:val="left"/>
            </w:pPr>
            <w:r>
              <w:rPr>
                <w:sz w:val="18"/>
                <w:szCs w:val="18"/>
              </w:rPr>
              <w:t xml:space="preserve">Survival (IISS)</w:t>
            </w:r>
          </w:p>
        </w:tc>
        <w:tc>
          <w:tcPr>
            <w:tcW w:type="dxa" w:w="2655"/>
            <w:tcMar>
              <w:top w:type="dxa" w:w="50"/>
              <w:left w:type="dxa" w:w="80"/>
              <w:bottom w:type="dxa" w:w="50"/>
              <w:right w:type="dxa" w:w="80"/>
            </w:tcMar>
          </w:tcPr>
          <w:p>
            <w:pPr>
              <w:spacing w:after="15" w:before="15" w:line="240"/>
              <w:jc w:val="left"/>
            </w:pPr>
            <w:r>
              <w:rPr>
                <w:sz w:val="18"/>
                <w:szCs w:val="18"/>
              </w:rPr>
              <w:t xml:space="preserve">Expert assessment of the Russia-Ukraine war</w:t>
            </w:r>
          </w:p>
        </w:tc>
        <w:tc>
          <w:tcPr>
            <w:tcW w:type="dxa" w:w="2237"/>
            <w:tcMar>
              <w:top w:type="dxa" w:w="50"/>
              <w:left w:type="dxa" w:w="80"/>
              <w:bottom w:type="dxa" w:w="50"/>
              <w:right w:type="dxa" w:w="80"/>
            </w:tcMar>
          </w:tcPr>
          <w:p>
            <w:pPr>
              <w:spacing w:after="15" w:before="15" w:line="240"/>
              <w:jc w:val="left"/>
            </w:pPr>
            <w:r>
              <w:rPr>
                <w:sz w:val="18"/>
                <w:szCs w:val="18"/>
              </w:rPr>
              <w:t xml:space="preserve">Peer reviewed, ranked</w:t>
            </w:r>
          </w:p>
        </w:tc>
      </w:tr>
      <w:tr>
        <w:trPr>
          <w:cantSplit w:val="false"/>
          <w:tblHeader w:val="false"/>
        </w:trPr>
        <w:tc>
          <w:tcPr>
            <w:tcW w:type="dxa" w:w="2148"/>
            <w:tcMar>
              <w:top w:type="dxa" w:w="50"/>
              <w:left w:type="dxa" w:w="80"/>
              <w:bottom w:type="dxa" w:w="50"/>
              <w:right w:type="dxa" w:w="80"/>
            </w:tcMar>
          </w:tcPr>
          <w:p>
            <w:pPr>
              <w:spacing w:after="15" w:before="15" w:line="240"/>
              <w:jc w:val="left"/>
            </w:pPr>
            <w:r>
              <w:rPr>
                <w:sz w:val="18"/>
                <w:szCs w:val="18"/>
              </w:rPr>
              <w:t xml:space="preserve">Baram (2026)</w:t>
            </w:r>
          </w:p>
        </w:tc>
        <w:tc>
          <w:tcPr>
            <w:tcW w:type="dxa" w:w="2320"/>
            <w:tcMar>
              <w:top w:type="dxa" w:w="50"/>
              <w:left w:type="dxa" w:w="80"/>
              <w:bottom w:type="dxa" w:w="50"/>
              <w:right w:type="dxa" w:w="80"/>
            </w:tcMar>
          </w:tcPr>
          <w:p>
            <w:pPr>
              <w:spacing w:after="15" w:before="15" w:line="240"/>
              <w:jc w:val="left"/>
            </w:pPr>
            <w:r>
              <w:rPr>
                <w:sz w:val="18"/>
                <w:szCs w:val="18"/>
              </w:rPr>
              <w:t xml:space="preserve">Contemporary Security Policy</w:t>
            </w:r>
          </w:p>
        </w:tc>
        <w:tc>
          <w:tcPr>
            <w:tcW w:type="dxa" w:w="2655"/>
            <w:tcMar>
              <w:top w:type="dxa" w:w="50"/>
              <w:left w:type="dxa" w:w="80"/>
              <w:bottom w:type="dxa" w:w="50"/>
              <w:right w:type="dxa" w:w="80"/>
            </w:tcMar>
          </w:tcPr>
          <w:p>
            <w:pPr>
              <w:spacing w:after="15" w:before="15" w:line="240"/>
              <w:jc w:val="left"/>
            </w:pPr>
            <w:r>
              <w:rPr>
                <w:sz w:val="18"/>
                <w:szCs w:val="18"/>
              </w:rPr>
              <w:t xml:space="preserve">Typology and coding of twenty cases</w:t>
            </w:r>
          </w:p>
        </w:tc>
        <w:tc>
          <w:tcPr>
            <w:tcW w:type="dxa" w:w="2237"/>
            <w:tcMar>
              <w:top w:type="dxa" w:w="50"/>
              <w:left w:type="dxa" w:w="80"/>
              <w:bottom w:type="dxa" w:w="50"/>
              <w:right w:type="dxa" w:w="80"/>
            </w:tcMar>
          </w:tcPr>
          <w:p>
            <w:pPr>
              <w:spacing w:after="15" w:before="15" w:line="240"/>
              <w:jc w:val="left"/>
            </w:pPr>
            <w:r>
              <w:rPr>
                <w:sz w:val="18"/>
                <w:szCs w:val="18"/>
              </w:rPr>
              <w:t xml:space="preserve">Peer reviewed, ranked</w:t>
            </w:r>
          </w:p>
        </w:tc>
      </w:tr>
      <w:tr>
        <w:trPr>
          <w:cantSplit w:val="false"/>
          <w:tblHeader w:val="false"/>
        </w:trPr>
        <w:tc>
          <w:tcPr>
            <w:tcW w:type="dxa" w:w="2148"/>
            <w:tcMar>
              <w:top w:type="dxa" w:w="50"/>
              <w:left w:type="dxa" w:w="80"/>
              <w:bottom w:type="dxa" w:w="50"/>
              <w:right w:type="dxa" w:w="80"/>
            </w:tcMar>
          </w:tcPr>
          <w:p>
            <w:pPr>
              <w:spacing w:after="15" w:before="15" w:line="240"/>
              <w:jc w:val="left"/>
            </w:pPr>
            <w:r>
              <w:rPr>
                <w:sz w:val="18"/>
                <w:szCs w:val="18"/>
              </w:rPr>
              <w:t xml:space="preserve">Guttieri (2025)</w:t>
            </w:r>
          </w:p>
        </w:tc>
        <w:tc>
          <w:tcPr>
            <w:tcW w:type="dxa" w:w="2320"/>
            <w:tcMar>
              <w:top w:type="dxa" w:w="50"/>
              <w:left w:type="dxa" w:w="80"/>
              <w:bottom w:type="dxa" w:w="50"/>
              <w:right w:type="dxa" w:w="80"/>
            </w:tcMar>
          </w:tcPr>
          <w:p>
            <w:pPr>
              <w:spacing w:after="15" w:before="15" w:line="240"/>
              <w:jc w:val="left"/>
            </w:pPr>
            <w:r>
              <w:rPr>
                <w:sz w:val="18"/>
                <w:szCs w:val="18"/>
              </w:rPr>
              <w:t xml:space="preserve">The Cyber Defense Review</w:t>
            </w:r>
          </w:p>
        </w:tc>
        <w:tc>
          <w:tcPr>
            <w:tcW w:type="dxa" w:w="2655"/>
            <w:tcMar>
              <w:top w:type="dxa" w:w="50"/>
              <w:left w:type="dxa" w:w="80"/>
              <w:bottom w:type="dxa" w:w="50"/>
              <w:right w:type="dxa" w:w="80"/>
            </w:tcMar>
          </w:tcPr>
          <w:p>
            <w:pPr>
              <w:spacing w:after="15" w:before="15" w:line="240"/>
              <w:jc w:val="left"/>
            </w:pPr>
            <w:r>
              <w:rPr>
                <w:sz w:val="18"/>
                <w:szCs w:val="18"/>
              </w:rPr>
              <w:t xml:space="preserve">Conceptual argument with case studies</w:t>
            </w:r>
          </w:p>
        </w:tc>
        <w:tc>
          <w:tcPr>
            <w:tcW w:type="dxa" w:w="2237"/>
            <w:tcMar>
              <w:top w:type="dxa" w:w="50"/>
              <w:left w:type="dxa" w:w="80"/>
              <w:bottom w:type="dxa" w:w="50"/>
              <w:right w:type="dxa" w:w="80"/>
            </w:tcMar>
          </w:tcPr>
          <w:p>
            <w:pPr>
              <w:spacing w:after="15" w:before="15" w:line="240"/>
              <w:jc w:val="left"/>
            </w:pPr>
            <w:r>
              <w:rPr>
                <w:sz w:val="18"/>
                <w:szCs w:val="18"/>
              </w:rPr>
              <w:t xml:space="preserve">Peer reviewed</w:t>
            </w:r>
          </w:p>
        </w:tc>
      </w:tr>
      <w:tr>
        <w:trPr>
          <w:cantSplit w:val="false"/>
          <w:tblHeader w:val="false"/>
        </w:trPr>
        <w:tc>
          <w:tcPr>
            <w:tcW w:type="dxa" w:w="2148"/>
            <w:tcMar>
              <w:top w:type="dxa" w:w="50"/>
              <w:left w:type="dxa" w:w="80"/>
              <w:bottom w:type="dxa" w:w="50"/>
              <w:right w:type="dxa" w:w="80"/>
            </w:tcMar>
          </w:tcPr>
          <w:p>
            <w:pPr>
              <w:spacing w:after="15" w:before="15" w:line="240"/>
              <w:jc w:val="left"/>
            </w:pPr>
            <w:r>
              <w:rPr>
                <w:sz w:val="18"/>
                <w:szCs w:val="18"/>
              </w:rPr>
              <w:t xml:space="preserve">Sullivan (2025)</w:t>
            </w:r>
          </w:p>
        </w:tc>
        <w:tc>
          <w:tcPr>
            <w:tcW w:type="dxa" w:w="2320"/>
            <w:tcMar>
              <w:top w:type="dxa" w:w="50"/>
              <w:left w:type="dxa" w:w="80"/>
              <w:bottom w:type="dxa" w:w="50"/>
              <w:right w:type="dxa" w:w="80"/>
            </w:tcMar>
          </w:tcPr>
          <w:p>
            <w:pPr>
              <w:spacing w:after="15" w:before="15" w:line="240"/>
              <w:jc w:val="left"/>
            </w:pPr>
            <w:r>
              <w:rPr>
                <w:sz w:val="18"/>
                <w:szCs w:val="18"/>
              </w:rPr>
              <w:t xml:space="preserve">The Cyber Defense Review</w:t>
            </w:r>
          </w:p>
        </w:tc>
        <w:tc>
          <w:tcPr>
            <w:tcW w:type="dxa" w:w="2655"/>
            <w:tcMar>
              <w:top w:type="dxa" w:w="50"/>
              <w:left w:type="dxa" w:w="80"/>
              <w:bottom w:type="dxa" w:w="50"/>
              <w:right w:type="dxa" w:w="80"/>
            </w:tcMar>
          </w:tcPr>
          <w:p>
            <w:pPr>
              <w:spacing w:after="15" w:before="15" w:line="240"/>
              <w:jc w:val="left"/>
            </w:pPr>
            <w:r>
              <w:rPr>
                <w:sz w:val="18"/>
                <w:szCs w:val="18"/>
              </w:rPr>
              <w:t xml:space="preserve">Doctrinal legal analysis</w:t>
            </w:r>
          </w:p>
        </w:tc>
        <w:tc>
          <w:tcPr>
            <w:tcW w:type="dxa" w:w="2237"/>
            <w:tcMar>
              <w:top w:type="dxa" w:w="50"/>
              <w:left w:type="dxa" w:w="80"/>
              <w:bottom w:type="dxa" w:w="50"/>
              <w:right w:type="dxa" w:w="80"/>
            </w:tcMar>
          </w:tcPr>
          <w:p>
            <w:pPr>
              <w:spacing w:after="15" w:before="15" w:line="240"/>
              <w:jc w:val="left"/>
            </w:pPr>
            <w:r>
              <w:rPr>
                <w:sz w:val="18"/>
                <w:szCs w:val="18"/>
              </w:rPr>
              <w:t xml:space="preserve">Peer reviewed</w:t>
            </w:r>
          </w:p>
        </w:tc>
      </w:tr>
      <w:tr>
        <w:trPr>
          <w:cantSplit w:val="false"/>
          <w:tblHeader w:val="false"/>
        </w:trPr>
        <w:tc>
          <w:tcPr>
            <w:tcW w:type="dxa" w:w="2148"/>
            <w:tcMar>
              <w:top w:type="dxa" w:w="50"/>
              <w:left w:type="dxa" w:w="80"/>
              <w:bottom w:type="dxa" w:w="50"/>
              <w:right w:type="dxa" w:w="80"/>
            </w:tcMar>
          </w:tcPr>
          <w:p>
            <w:pPr>
              <w:spacing w:after="15" w:before="15" w:line="240"/>
              <w:jc w:val="left"/>
            </w:pPr>
            <w:r>
              <w:rPr>
                <w:sz w:val="18"/>
                <w:szCs w:val="18"/>
              </w:rPr>
              <w:t xml:space="preserve">Yigit et al. (2025)</w:t>
            </w:r>
          </w:p>
        </w:tc>
        <w:tc>
          <w:tcPr>
            <w:tcW w:type="dxa" w:w="2320"/>
            <w:tcMar>
              <w:top w:type="dxa" w:w="50"/>
              <w:left w:type="dxa" w:w="80"/>
              <w:bottom w:type="dxa" w:w="50"/>
              <w:right w:type="dxa" w:w="80"/>
            </w:tcMar>
          </w:tcPr>
          <w:p>
            <w:pPr>
              <w:spacing w:after="15" w:before="15" w:line="240"/>
              <w:jc w:val="left"/>
            </w:pPr>
            <w:r>
              <w:rPr>
                <w:sz w:val="18"/>
                <w:szCs w:val="18"/>
              </w:rPr>
              <w:t xml:space="preserve">Sensors</w:t>
            </w:r>
          </w:p>
        </w:tc>
        <w:tc>
          <w:tcPr>
            <w:tcW w:type="dxa" w:w="2655"/>
            <w:tcMar>
              <w:top w:type="dxa" w:w="50"/>
              <w:left w:type="dxa" w:w="80"/>
              <w:bottom w:type="dxa" w:w="50"/>
              <w:right w:type="dxa" w:w="80"/>
            </w:tcMar>
          </w:tcPr>
          <w:p>
            <w:pPr>
              <w:spacing w:after="15" w:before="15" w:line="240"/>
              <w:jc w:val="left"/>
            </w:pPr>
            <w:r>
              <w:rPr>
                <w:sz w:val="18"/>
                <w:szCs w:val="18"/>
              </w:rPr>
              <w:t xml:space="preserve">Survey and benchmark review</w:t>
            </w:r>
          </w:p>
        </w:tc>
        <w:tc>
          <w:tcPr>
            <w:tcW w:type="dxa" w:w="2237"/>
            <w:tcMar>
              <w:top w:type="dxa" w:w="50"/>
              <w:left w:type="dxa" w:w="80"/>
              <w:bottom w:type="dxa" w:w="50"/>
              <w:right w:type="dxa" w:w="80"/>
            </w:tcMar>
          </w:tcPr>
          <w:p>
            <w:pPr>
              <w:spacing w:after="15" w:before="15" w:line="240"/>
              <w:jc w:val="left"/>
            </w:pPr>
            <w:r>
              <w:rPr>
                <w:sz w:val="18"/>
                <w:szCs w:val="18"/>
              </w:rPr>
              <w:t xml:space="preserve">Peer reviewed</w:t>
            </w:r>
          </w:p>
        </w:tc>
      </w:tr>
      <w:tr>
        <w:trPr>
          <w:cantSplit w:val="false"/>
          <w:tblHeader w:val="false"/>
        </w:trPr>
        <w:tc>
          <w:tcPr>
            <w:tcW w:type="dxa" w:w="2148"/>
            <w:tcMar>
              <w:top w:type="dxa" w:w="50"/>
              <w:left w:type="dxa" w:w="80"/>
              <w:bottom w:type="dxa" w:w="50"/>
              <w:right w:type="dxa" w:w="80"/>
            </w:tcMar>
          </w:tcPr>
          <w:p>
            <w:pPr>
              <w:spacing w:after="15" w:before="15" w:line="240"/>
              <w:jc w:val="left"/>
            </w:pPr>
            <w:r>
              <w:rPr>
                <w:sz w:val="18"/>
                <w:szCs w:val="18"/>
              </w:rPr>
              <w:t xml:space="preserve">Singh, Jash and Nanjappa (2025)</w:t>
            </w:r>
          </w:p>
        </w:tc>
        <w:tc>
          <w:tcPr>
            <w:tcW w:type="dxa" w:w="2320"/>
            <w:tcMar>
              <w:top w:type="dxa" w:w="50"/>
              <w:left w:type="dxa" w:w="80"/>
              <w:bottom w:type="dxa" w:w="50"/>
              <w:right w:type="dxa" w:w="80"/>
            </w:tcMar>
          </w:tcPr>
          <w:p>
            <w:pPr>
              <w:spacing w:after="15" w:before="15" w:line="240"/>
              <w:jc w:val="left"/>
            </w:pPr>
            <w:r>
              <w:rPr>
                <w:sz w:val="18"/>
                <w:szCs w:val="18"/>
              </w:rPr>
              <w:t xml:space="preserve">Cogent Social Sciences</w:t>
            </w:r>
          </w:p>
        </w:tc>
        <w:tc>
          <w:tcPr>
            <w:tcW w:type="dxa" w:w="2655"/>
            <w:tcMar>
              <w:top w:type="dxa" w:w="50"/>
              <w:left w:type="dxa" w:w="80"/>
              <w:bottom w:type="dxa" w:w="50"/>
              <w:right w:type="dxa" w:w="80"/>
            </w:tcMar>
          </w:tcPr>
          <w:p>
            <w:pPr>
              <w:spacing w:after="15" w:before="15" w:line="240"/>
              <w:jc w:val="left"/>
            </w:pPr>
            <w:r>
              <w:rPr>
                <w:sz w:val="18"/>
                <w:szCs w:val="18"/>
              </w:rPr>
              <w:t xml:space="preserve">Comparative case study</w:t>
            </w:r>
          </w:p>
        </w:tc>
        <w:tc>
          <w:tcPr>
            <w:tcW w:type="dxa" w:w="2237"/>
            <w:tcMar>
              <w:top w:type="dxa" w:w="50"/>
              <w:left w:type="dxa" w:w="80"/>
              <w:bottom w:type="dxa" w:w="50"/>
              <w:right w:type="dxa" w:w="80"/>
            </w:tcMar>
          </w:tcPr>
          <w:p>
            <w:pPr>
              <w:spacing w:after="15" w:before="15" w:line="240"/>
              <w:jc w:val="left"/>
            </w:pPr>
            <w:r>
              <w:rPr>
                <w:sz w:val="18"/>
                <w:szCs w:val="18"/>
              </w:rPr>
              <w:t xml:space="preserve">Peer reviewed</w:t>
            </w:r>
          </w:p>
        </w:tc>
      </w:tr>
      <w:tr>
        <w:trPr>
          <w:cantSplit w:val="false"/>
          <w:tblHeader w:val="false"/>
        </w:trPr>
        <w:tc>
          <w:tcPr>
            <w:tcW w:type="dxa" w:w="2148"/>
            <w:tcMar>
              <w:top w:type="dxa" w:w="50"/>
              <w:left w:type="dxa" w:w="80"/>
              <w:bottom w:type="dxa" w:w="50"/>
              <w:right w:type="dxa" w:w="80"/>
            </w:tcMar>
          </w:tcPr>
          <w:p>
            <w:pPr>
              <w:spacing w:after="15" w:before="15" w:line="240"/>
              <w:jc w:val="left"/>
            </w:pPr>
            <w:r>
              <w:rPr>
                <w:sz w:val="18"/>
                <w:szCs w:val="18"/>
              </w:rPr>
              <w:t xml:space="preserve">Dimitrov and Andreev (2025)</w:t>
            </w:r>
          </w:p>
        </w:tc>
        <w:tc>
          <w:tcPr>
            <w:tcW w:type="dxa" w:w="2320"/>
            <w:tcMar>
              <w:top w:type="dxa" w:w="50"/>
              <w:left w:type="dxa" w:w="80"/>
              <w:bottom w:type="dxa" w:w="50"/>
              <w:right w:type="dxa" w:w="80"/>
            </w:tcMar>
          </w:tcPr>
          <w:p>
            <w:pPr>
              <w:spacing w:after="15" w:before="15" w:line="240"/>
              <w:jc w:val="left"/>
            </w:pPr>
            <w:r>
              <w:rPr>
                <w:sz w:val="18"/>
                <w:szCs w:val="18"/>
              </w:rPr>
              <w:t xml:space="preserve">Environment. Technology. Resources</w:t>
            </w:r>
          </w:p>
        </w:tc>
        <w:tc>
          <w:tcPr>
            <w:tcW w:type="dxa" w:w="2655"/>
            <w:tcMar>
              <w:top w:type="dxa" w:w="50"/>
              <w:left w:type="dxa" w:w="80"/>
              <w:bottom w:type="dxa" w:w="50"/>
              <w:right w:type="dxa" w:w="80"/>
            </w:tcMar>
          </w:tcPr>
          <w:p>
            <w:pPr>
              <w:spacing w:after="15" w:before="15" w:line="240"/>
              <w:jc w:val="left"/>
            </w:pPr>
            <w:r>
              <w:rPr>
                <w:sz w:val="18"/>
                <w:szCs w:val="18"/>
              </w:rPr>
              <w:t xml:space="preserve">Doctrinal case analysis</w:t>
            </w:r>
          </w:p>
        </w:tc>
        <w:tc>
          <w:tcPr>
            <w:tcW w:type="dxa" w:w="2237"/>
            <w:tcMar>
              <w:top w:type="dxa" w:w="50"/>
              <w:left w:type="dxa" w:w="80"/>
              <w:bottom w:type="dxa" w:w="50"/>
              <w:right w:type="dxa" w:w="80"/>
            </w:tcMar>
          </w:tcPr>
          <w:p>
            <w:pPr>
              <w:spacing w:after="15" w:before="15" w:line="240"/>
              <w:jc w:val="left"/>
            </w:pPr>
            <w:r>
              <w:rPr>
                <w:sz w:val="18"/>
                <w:szCs w:val="18"/>
              </w:rPr>
              <w:t xml:space="preserve">Conference proceedings</w:t>
            </w:r>
          </w:p>
        </w:tc>
      </w:tr>
      <w:tr>
        <w:trPr>
          <w:cantSplit w:val="false"/>
          <w:tblHeader w:val="false"/>
        </w:trPr>
        <w:tc>
          <w:tcPr>
            <w:tcW w:type="dxa" w:w="2148"/>
            <w:tcMar>
              <w:top w:type="dxa" w:w="50"/>
              <w:left w:type="dxa" w:w="80"/>
              <w:bottom w:type="dxa" w:w="50"/>
              <w:right w:type="dxa" w:w="80"/>
            </w:tcMar>
          </w:tcPr>
          <w:p>
            <w:pPr>
              <w:spacing w:after="15" w:before="15" w:line="240"/>
              <w:jc w:val="left"/>
            </w:pPr>
            <w:r>
              <w:rPr>
                <w:sz w:val="18"/>
                <w:szCs w:val="18"/>
              </w:rPr>
              <w:t xml:space="preserve">Codreanu (2025)</w:t>
            </w:r>
          </w:p>
        </w:tc>
        <w:tc>
          <w:tcPr>
            <w:tcW w:type="dxa" w:w="2320"/>
            <w:tcMar>
              <w:top w:type="dxa" w:w="50"/>
              <w:left w:type="dxa" w:w="80"/>
              <w:bottom w:type="dxa" w:w="50"/>
              <w:right w:type="dxa" w:w="80"/>
            </w:tcMar>
          </w:tcPr>
          <w:p>
            <w:pPr>
              <w:spacing w:after="15" w:before="15" w:line="240"/>
              <w:jc w:val="left"/>
            </w:pPr>
            <w:r>
              <w:rPr>
                <w:sz w:val="18"/>
                <w:szCs w:val="18"/>
              </w:rPr>
              <w:t xml:space="preserve">Romanian Diplomatic Institute</w:t>
            </w:r>
          </w:p>
        </w:tc>
        <w:tc>
          <w:tcPr>
            <w:tcW w:type="dxa" w:w="2655"/>
            <w:tcMar>
              <w:top w:type="dxa" w:w="50"/>
              <w:left w:type="dxa" w:w="80"/>
              <w:bottom w:type="dxa" w:w="50"/>
              <w:right w:type="dxa" w:w="80"/>
            </w:tcMar>
          </w:tcPr>
          <w:p>
            <w:pPr>
              <w:spacing w:after="15" w:before="15" w:line="240"/>
              <w:jc w:val="left"/>
            </w:pPr>
            <w:r>
              <w:rPr>
                <w:sz w:val="18"/>
                <w:szCs w:val="18"/>
              </w:rPr>
              <w:t xml:space="preserve">Open-source policy analysis</w:t>
            </w:r>
          </w:p>
        </w:tc>
        <w:tc>
          <w:tcPr>
            <w:tcW w:type="dxa" w:w="2237"/>
            <w:tcMar>
              <w:top w:type="dxa" w:w="50"/>
              <w:left w:type="dxa" w:w="80"/>
              <w:bottom w:type="dxa" w:w="50"/>
              <w:right w:type="dxa" w:w="80"/>
            </w:tcMar>
          </w:tcPr>
          <w:p>
            <w:pPr>
              <w:spacing w:after="15" w:before="15" w:line="240"/>
              <w:jc w:val="left"/>
            </w:pPr>
            <w:r>
              <w:rPr>
                <w:sz w:val="18"/>
                <w:szCs w:val="18"/>
              </w:rPr>
              <w:t xml:space="preserve">Institute paper, not reviewed</w:t>
            </w:r>
          </w:p>
        </w:tc>
      </w:tr>
      <w:tr>
        <w:trPr>
          <w:cantSplit w:val="false"/>
          <w:tblHeader w:val="false"/>
        </w:trPr>
        <w:tc>
          <w:tcPr>
            <w:tcW w:type="dxa" w:w="2148"/>
            <w:tcMar>
              <w:top w:type="dxa" w:w="50"/>
              <w:left w:type="dxa" w:w="80"/>
              <w:bottom w:type="dxa" w:w="50"/>
              <w:right w:type="dxa" w:w="80"/>
            </w:tcMar>
          </w:tcPr>
          <w:p>
            <w:pPr>
              <w:spacing w:after="15" w:before="15" w:line="240"/>
              <w:jc w:val="left"/>
            </w:pPr>
            <w:r>
              <w:rPr>
                <w:sz w:val="18"/>
                <w:szCs w:val="18"/>
              </w:rPr>
              <w:t xml:space="preserve">Melella (n.d.)</w:t>
            </w:r>
          </w:p>
        </w:tc>
        <w:tc>
          <w:tcPr>
            <w:tcW w:type="dxa" w:w="2320"/>
            <w:tcMar>
              <w:top w:type="dxa" w:w="50"/>
              <w:left w:type="dxa" w:w="80"/>
              <w:bottom w:type="dxa" w:w="50"/>
              <w:right w:type="dxa" w:w="80"/>
            </w:tcMar>
          </w:tcPr>
          <w:p>
            <w:pPr>
              <w:spacing w:after="15" w:before="15" w:line="240"/>
              <w:jc w:val="left"/>
            </w:pPr>
            <w:r>
              <w:rPr>
                <w:sz w:val="18"/>
                <w:szCs w:val="18"/>
              </w:rPr>
              <w:t xml:space="preserve">University of Genoa</w:t>
            </w:r>
          </w:p>
        </w:tc>
        <w:tc>
          <w:tcPr>
            <w:tcW w:type="dxa" w:w="2655"/>
            <w:tcMar>
              <w:top w:type="dxa" w:w="50"/>
              <w:left w:type="dxa" w:w="80"/>
              <w:bottom w:type="dxa" w:w="50"/>
              <w:right w:type="dxa" w:w="80"/>
            </w:tcMar>
          </w:tcPr>
          <w:p>
            <w:pPr>
              <w:spacing w:after="15" w:before="15" w:line="240"/>
              <w:jc w:val="left"/>
            </w:pPr>
            <w:r>
              <w:rPr>
                <w:sz w:val="18"/>
                <w:szCs w:val="18"/>
              </w:rPr>
              <w:t xml:space="preserve">Doctoral dissertation</w:t>
            </w:r>
          </w:p>
        </w:tc>
        <w:tc>
          <w:tcPr>
            <w:tcW w:type="dxa" w:w="2237"/>
            <w:tcMar>
              <w:top w:type="dxa" w:w="50"/>
              <w:left w:type="dxa" w:w="80"/>
              <w:bottom w:type="dxa" w:w="50"/>
              <w:right w:type="dxa" w:w="80"/>
            </w:tcMar>
          </w:tcPr>
          <w:p>
            <w:pPr>
              <w:spacing w:after="15" w:before="15" w:line="240"/>
              <w:jc w:val="left"/>
            </w:pPr>
            <w:r>
              <w:rPr>
                <w:sz w:val="18"/>
                <w:szCs w:val="18"/>
              </w:rPr>
              <w:t xml:space="preserve">Not peer reviewed; year unconfirmed</w:t>
            </w:r>
          </w:p>
        </w:tc>
      </w:tr>
      <w:tr>
        <w:trPr>
          <w:cantSplit w:val="false"/>
          <w:tblHeader w:val="false"/>
        </w:trPr>
        <w:tc>
          <w:tcPr>
            <w:tcW w:type="dxa" w:w="2148"/>
            <w:tcMar>
              <w:top w:type="dxa" w:w="50"/>
              <w:left w:type="dxa" w:w="80"/>
              <w:bottom w:type="dxa" w:w="50"/>
              <w:right w:type="dxa" w:w="80"/>
            </w:tcMar>
          </w:tcPr>
          <w:p>
            <w:pPr>
              <w:spacing w:after="15" w:before="15" w:line="240"/>
              <w:jc w:val="left"/>
            </w:pPr>
            <w:r>
              <w:rPr>
                <w:sz w:val="18"/>
                <w:szCs w:val="18"/>
              </w:rPr>
              <w:t xml:space="preserve">Butt and Ulina (2026)</w:t>
            </w:r>
          </w:p>
        </w:tc>
        <w:tc>
          <w:tcPr>
            <w:tcW w:type="dxa" w:w="2320"/>
            <w:tcMar>
              <w:top w:type="dxa" w:w="50"/>
              <w:left w:type="dxa" w:w="80"/>
              <w:bottom w:type="dxa" w:w="50"/>
              <w:right w:type="dxa" w:w="80"/>
            </w:tcMar>
          </w:tcPr>
          <w:p>
            <w:pPr>
              <w:spacing w:after="15" w:before="15" w:line="240"/>
              <w:jc w:val="left"/>
            </w:pPr>
            <w:r>
              <w:rPr>
                <w:sz w:val="18"/>
                <w:szCs w:val="18"/>
              </w:rPr>
              <w:t xml:space="preserve">Critical Review of Social Sciences Studies</w:t>
            </w:r>
          </w:p>
        </w:tc>
        <w:tc>
          <w:tcPr>
            <w:tcW w:type="dxa" w:w="2655"/>
            <w:tcMar>
              <w:top w:type="dxa" w:w="50"/>
              <w:left w:type="dxa" w:w="80"/>
              <w:bottom w:type="dxa" w:w="50"/>
              <w:right w:type="dxa" w:w="80"/>
            </w:tcMar>
          </w:tcPr>
          <w:p>
            <w:pPr>
              <w:spacing w:after="15" w:before="15" w:line="240"/>
              <w:jc w:val="left"/>
            </w:pPr>
            <w:r>
              <w:rPr>
                <w:sz w:val="18"/>
                <w:szCs w:val="18"/>
              </w:rPr>
              <w:t xml:space="preserve">Analytical review of secondary sources</w:t>
            </w:r>
          </w:p>
        </w:tc>
        <w:tc>
          <w:tcPr>
            <w:tcW w:type="dxa" w:w="2237"/>
            <w:tcMar>
              <w:top w:type="dxa" w:w="50"/>
              <w:left w:type="dxa" w:w="80"/>
              <w:bottom w:type="dxa" w:w="50"/>
              <w:right w:type="dxa" w:w="80"/>
            </w:tcMar>
          </w:tcPr>
          <w:p>
            <w:pPr>
              <w:spacing w:after="15" w:before="15" w:line="240"/>
              <w:jc w:val="left"/>
            </w:pPr>
            <w:r>
              <w:rPr>
                <w:sz w:val="18"/>
                <w:szCs w:val="18"/>
              </w:rPr>
              <w:t xml:space="preserve">Unranked journal</w:t>
            </w:r>
          </w:p>
        </w:tc>
      </w:tr>
      <w:tr>
        <w:trPr>
          <w:cantSplit w:val="false"/>
          <w:tblHeader w:val="false"/>
        </w:trPr>
        <w:tc>
          <w:tcPr>
            <w:tcW w:type="dxa" w:w="2148"/>
            <w:tcMar>
              <w:top w:type="dxa" w:w="50"/>
              <w:left w:type="dxa" w:w="80"/>
              <w:bottom w:type="dxa" w:w="50"/>
              <w:right w:type="dxa" w:w="80"/>
            </w:tcMar>
          </w:tcPr>
          <w:p>
            <w:pPr>
              <w:spacing w:after="15" w:before="15" w:line="240"/>
              <w:jc w:val="left"/>
            </w:pPr>
            <w:r>
              <w:rPr>
                <w:sz w:val="18"/>
                <w:szCs w:val="18"/>
              </w:rPr>
              <w:t xml:space="preserve">Kabir et al. (2026)</w:t>
            </w:r>
          </w:p>
        </w:tc>
        <w:tc>
          <w:tcPr>
            <w:tcW w:type="dxa" w:w="2320"/>
            <w:tcMar>
              <w:top w:type="dxa" w:w="50"/>
              <w:left w:type="dxa" w:w="80"/>
              <w:bottom w:type="dxa" w:w="50"/>
              <w:right w:type="dxa" w:w="80"/>
            </w:tcMar>
          </w:tcPr>
          <w:p>
            <w:pPr>
              <w:spacing w:after="15" w:before="15" w:line="240"/>
              <w:jc w:val="left"/>
            </w:pPr>
            <w:r>
              <w:rPr>
                <w:sz w:val="18"/>
                <w:szCs w:val="18"/>
              </w:rPr>
              <w:t xml:space="preserve">Journal of Computer Science and Technology Studies</w:t>
            </w:r>
          </w:p>
        </w:tc>
        <w:tc>
          <w:tcPr>
            <w:tcW w:type="dxa" w:w="2655"/>
            <w:tcMar>
              <w:top w:type="dxa" w:w="50"/>
              <w:left w:type="dxa" w:w="80"/>
              <w:bottom w:type="dxa" w:w="50"/>
              <w:right w:type="dxa" w:w="80"/>
            </w:tcMar>
          </w:tcPr>
          <w:p>
            <w:pPr>
              <w:spacing w:after="15" w:before="15" w:line="240"/>
              <w:jc w:val="left"/>
            </w:pPr>
            <w:r>
              <w:rPr>
                <w:sz w:val="18"/>
                <w:szCs w:val="18"/>
              </w:rPr>
              <w:t xml:space="preserve">Framework with incident coding</w:t>
            </w:r>
          </w:p>
        </w:tc>
        <w:tc>
          <w:tcPr>
            <w:tcW w:type="dxa" w:w="2237"/>
            <w:tcMar>
              <w:top w:type="dxa" w:w="50"/>
              <w:left w:type="dxa" w:w="80"/>
              <w:bottom w:type="dxa" w:w="50"/>
              <w:right w:type="dxa" w:w="80"/>
            </w:tcMar>
          </w:tcPr>
          <w:p>
            <w:pPr>
              <w:spacing w:after="15" w:before="15" w:line="240"/>
              <w:jc w:val="left"/>
            </w:pPr>
            <w:r>
              <w:rPr>
                <w:sz w:val="18"/>
                <w:szCs w:val="18"/>
              </w:rPr>
              <w:t xml:space="preserve">Unranked; data inconsistent</w:t>
            </w:r>
          </w:p>
        </w:tc>
      </w:tr>
      <w:tr>
        <w:trPr>
          <w:cantSplit w:val="false"/>
          <w:tblHeader w:val="false"/>
        </w:trPr>
        <w:tc>
          <w:tcPr>
            <w:tcW w:type="dxa" w:w="2148"/>
            <w:tcMar>
              <w:top w:type="dxa" w:w="50"/>
              <w:left w:type="dxa" w:w="80"/>
              <w:bottom w:type="dxa" w:w="50"/>
              <w:right w:type="dxa" w:w="80"/>
            </w:tcMar>
          </w:tcPr>
          <w:p>
            <w:pPr>
              <w:spacing w:after="15" w:before="15" w:line="240"/>
              <w:jc w:val="left"/>
            </w:pPr>
            <w:r>
              <w:rPr>
                <w:sz w:val="18"/>
                <w:szCs w:val="18"/>
              </w:rPr>
              <w:t xml:space="preserve">Pokorny (2026)</w:t>
            </w:r>
          </w:p>
        </w:tc>
        <w:tc>
          <w:tcPr>
            <w:tcW w:type="dxa" w:w="2320"/>
            <w:tcMar>
              <w:top w:type="dxa" w:w="50"/>
              <w:left w:type="dxa" w:w="80"/>
              <w:bottom w:type="dxa" w:w="50"/>
              <w:right w:type="dxa" w:w="80"/>
            </w:tcMar>
          </w:tcPr>
          <w:p>
            <w:pPr>
              <w:spacing w:after="15" w:before="15" w:line="240"/>
              <w:jc w:val="left"/>
            </w:pPr>
            <w:r>
              <w:rPr>
                <w:sz w:val="18"/>
                <w:szCs w:val="18"/>
              </w:rPr>
              <w:t xml:space="preserve">ICL Institute</w:t>
            </w:r>
          </w:p>
        </w:tc>
        <w:tc>
          <w:tcPr>
            <w:tcW w:type="dxa" w:w="2655"/>
            <w:tcMar>
              <w:top w:type="dxa" w:w="50"/>
              <w:left w:type="dxa" w:w="80"/>
              <w:bottom w:type="dxa" w:w="50"/>
              <w:right w:type="dxa" w:w="80"/>
            </w:tcMar>
          </w:tcPr>
          <w:p>
            <w:pPr>
              <w:spacing w:after="15" w:before="15" w:line="240"/>
              <w:jc w:val="left"/>
            </w:pPr>
            <w:r>
              <w:rPr>
                <w:sz w:val="18"/>
                <w:szCs w:val="18"/>
              </w:rPr>
              <w:t xml:space="preserve">Open-source analysis of sixteen sources</w:t>
            </w:r>
          </w:p>
        </w:tc>
        <w:tc>
          <w:tcPr>
            <w:tcW w:type="dxa" w:w="2237"/>
            <w:tcMar>
              <w:top w:type="dxa" w:w="50"/>
              <w:left w:type="dxa" w:w="80"/>
              <w:bottom w:type="dxa" w:w="50"/>
              <w:right w:type="dxa" w:w="80"/>
            </w:tcMar>
          </w:tcPr>
          <w:p>
            <w:pPr>
              <w:spacing w:after="15" w:before="15" w:line="240"/>
              <w:jc w:val="left"/>
            </w:pPr>
            <w:r>
              <w:rPr>
                <w:sz w:val="18"/>
                <w:szCs w:val="18"/>
              </w:rPr>
              <w:t xml:space="preserve">Self-published</w:t>
            </w:r>
          </w:p>
        </w:tc>
      </w:tr>
      <w:tr>
        <w:trPr>
          <w:cantSplit w:val="false"/>
          <w:tblHeader w:val="false"/>
        </w:trPr>
        <w:tc>
          <w:tcPr>
            <w:tcW w:type="dxa" w:w="2148"/>
            <w:tcMar>
              <w:top w:type="dxa" w:w="50"/>
              <w:left w:type="dxa" w:w="80"/>
              <w:bottom w:type="dxa" w:w="50"/>
              <w:right w:type="dxa" w:w="80"/>
            </w:tcMar>
          </w:tcPr>
          <w:p>
            <w:pPr>
              <w:spacing w:after="15" w:before="15" w:line="240"/>
              <w:jc w:val="left"/>
            </w:pPr>
            <w:r>
              <w:rPr>
                <w:sz w:val="18"/>
                <w:szCs w:val="18"/>
              </w:rPr>
              <w:t xml:space="preserve">Braccia (2025)</w:t>
            </w:r>
          </w:p>
        </w:tc>
        <w:tc>
          <w:tcPr>
            <w:tcW w:type="dxa" w:w="2320"/>
            <w:tcMar>
              <w:top w:type="dxa" w:w="50"/>
              <w:left w:type="dxa" w:w="80"/>
              <w:bottom w:type="dxa" w:w="50"/>
              <w:right w:type="dxa" w:w="80"/>
            </w:tcMar>
          </w:tcPr>
          <w:p>
            <w:pPr>
              <w:spacing w:after="15" w:before="15" w:line="240"/>
              <w:jc w:val="left"/>
            </w:pPr>
            <w:r>
              <w:rPr>
                <w:sz w:val="18"/>
                <w:szCs w:val="18"/>
              </w:rPr>
              <w:t xml:space="preserve">Authorea</w:t>
            </w:r>
          </w:p>
        </w:tc>
        <w:tc>
          <w:tcPr>
            <w:tcW w:type="dxa" w:w="2655"/>
            <w:tcMar>
              <w:top w:type="dxa" w:w="50"/>
              <w:left w:type="dxa" w:w="80"/>
              <w:bottom w:type="dxa" w:w="50"/>
              <w:right w:type="dxa" w:w="80"/>
            </w:tcMar>
          </w:tcPr>
          <w:p>
            <w:pPr>
              <w:spacing w:after="15" w:before="15" w:line="240"/>
              <w:jc w:val="left"/>
            </w:pPr>
            <w:r>
              <w:rPr>
                <w:sz w:val="18"/>
                <w:szCs w:val="18"/>
              </w:rPr>
              <w:t xml:space="preserve">Grey zone analysis</w:t>
            </w:r>
          </w:p>
        </w:tc>
        <w:tc>
          <w:tcPr>
            <w:tcW w:type="dxa" w:w="2237"/>
            <w:tcMar>
              <w:top w:type="dxa" w:w="50"/>
              <w:left w:type="dxa" w:w="80"/>
              <w:bottom w:type="dxa" w:w="50"/>
              <w:right w:type="dxa" w:w="80"/>
            </w:tcMar>
          </w:tcPr>
          <w:p>
            <w:pPr>
              <w:spacing w:after="15" w:before="15" w:line="240"/>
              <w:jc w:val="left"/>
            </w:pPr>
            <w:r>
              <w:rPr>
                <w:sz w:val="18"/>
                <w:szCs w:val="18"/>
              </w:rPr>
              <w:t xml:space="preserve">Preprint, no affiliation</w:t>
            </w:r>
          </w:p>
        </w:tc>
      </w:tr>
      <w:tr>
        <w:trPr>
          <w:cantSplit w:val="false"/>
          <w:tblHeader w:val="false"/>
        </w:trPr>
        <w:tc>
          <w:tcPr>
            <w:tcW w:type="dxa" w:w="2148"/>
            <w:tcMar>
              <w:top w:type="dxa" w:w="50"/>
              <w:left w:type="dxa" w:w="80"/>
              <w:bottom w:type="dxa" w:w="50"/>
              <w:right w:type="dxa" w:w="80"/>
            </w:tcMar>
          </w:tcPr>
          <w:p>
            <w:pPr>
              <w:spacing w:after="15" w:before="15" w:line="240"/>
              <w:jc w:val="left"/>
            </w:pPr>
            <w:r>
              <w:rPr>
                <w:sz w:val="18"/>
                <w:szCs w:val="18"/>
              </w:rPr>
              <w:t xml:space="preserve">Urbanczyk et al. (2025)</w:t>
            </w:r>
          </w:p>
        </w:tc>
        <w:tc>
          <w:tcPr>
            <w:tcW w:type="dxa" w:w="2320"/>
            <w:tcMar>
              <w:top w:type="dxa" w:w="50"/>
              <w:left w:type="dxa" w:w="80"/>
              <w:bottom w:type="dxa" w:w="50"/>
              <w:right w:type="dxa" w:w="80"/>
            </w:tcMar>
          </w:tcPr>
          <w:p>
            <w:pPr>
              <w:spacing w:after="15" w:before="15" w:line="240"/>
              <w:jc w:val="left"/>
            </w:pPr>
            <w:r>
              <w:rPr>
                <w:sz w:val="18"/>
                <w:szCs w:val="18"/>
              </w:rPr>
              <w:t xml:space="preserve">TechRxiv</w:t>
            </w:r>
          </w:p>
        </w:tc>
        <w:tc>
          <w:tcPr>
            <w:tcW w:type="dxa" w:w="2655"/>
            <w:tcMar>
              <w:top w:type="dxa" w:w="50"/>
              <w:left w:type="dxa" w:w="80"/>
              <w:bottom w:type="dxa" w:w="50"/>
              <w:right w:type="dxa" w:w="80"/>
            </w:tcMar>
          </w:tcPr>
          <w:p>
            <w:pPr>
              <w:spacing w:after="15" w:before="15" w:line="240"/>
              <w:jc w:val="left"/>
            </w:pPr>
            <w:r>
              <w:rPr>
                <w:sz w:val="18"/>
                <w:szCs w:val="18"/>
              </w:rPr>
              <w:t xml:space="preserve">Kill chain case study</w:t>
            </w:r>
          </w:p>
        </w:tc>
        <w:tc>
          <w:tcPr>
            <w:tcW w:type="dxa" w:w="2237"/>
            <w:tcMar>
              <w:top w:type="dxa" w:w="50"/>
              <w:left w:type="dxa" w:w="80"/>
              <w:bottom w:type="dxa" w:w="50"/>
              <w:right w:type="dxa" w:w="80"/>
            </w:tcMar>
          </w:tcPr>
          <w:p>
            <w:pPr>
              <w:spacing w:after="15" w:before="15" w:line="240"/>
              <w:jc w:val="left"/>
            </w:pPr>
            <w:r>
              <w:rPr>
                <w:sz w:val="18"/>
                <w:szCs w:val="18"/>
              </w:rPr>
              <w:t xml:space="preserve">Preprint, not reviewed</w:t>
            </w:r>
          </w:p>
        </w:tc>
      </w:tr>
      <w:tr>
        <w:trPr>
          <w:cantSplit w:val="false"/>
          <w:tblHeader w:val="false"/>
        </w:trPr>
        <w:tc>
          <w:tcPr>
            <w:tcW w:type="dxa" w:w="2148"/>
            <w:tcMar>
              <w:top w:type="dxa" w:w="50"/>
              <w:left w:type="dxa" w:w="80"/>
              <w:bottom w:type="dxa" w:w="50"/>
              <w:right w:type="dxa" w:w="80"/>
            </w:tcMar>
          </w:tcPr>
          <w:p>
            <w:pPr>
              <w:spacing w:after="15" w:before="15" w:line="240"/>
              <w:jc w:val="left"/>
            </w:pPr>
            <w:r>
              <w:rPr>
                <w:sz w:val="18"/>
                <w:szCs w:val="18"/>
              </w:rPr>
              <w:t xml:space="preserve">Ferdaus et al. (n.d.)</w:t>
            </w:r>
          </w:p>
        </w:tc>
        <w:tc>
          <w:tcPr>
            <w:tcW w:type="dxa" w:w="2320"/>
            <w:tcMar>
              <w:top w:type="dxa" w:w="50"/>
              <w:left w:type="dxa" w:w="80"/>
              <w:bottom w:type="dxa" w:w="50"/>
              <w:right w:type="dxa" w:w="80"/>
            </w:tcMar>
          </w:tcPr>
          <w:p>
            <w:pPr>
              <w:spacing w:after="15" w:before="15" w:line="240"/>
              <w:jc w:val="left"/>
            </w:pPr>
            <w:r>
              <w:rPr>
                <w:sz w:val="18"/>
                <w:szCs w:val="18"/>
              </w:rPr>
              <w:t xml:space="preserve">SSRN</w:t>
            </w:r>
          </w:p>
        </w:tc>
        <w:tc>
          <w:tcPr>
            <w:tcW w:type="dxa" w:w="2655"/>
            <w:tcMar>
              <w:top w:type="dxa" w:w="50"/>
              <w:left w:type="dxa" w:w="80"/>
              <w:bottom w:type="dxa" w:w="50"/>
              <w:right w:type="dxa" w:w="80"/>
            </w:tcMar>
          </w:tcPr>
          <w:p>
            <w:pPr>
              <w:spacing w:after="15" w:before="15" w:line="240"/>
              <w:jc w:val="left"/>
            </w:pPr>
            <w:r>
              <w:rPr>
                <w:sz w:val="18"/>
                <w:szCs w:val="18"/>
              </w:rPr>
              <w:t xml:space="preserve">Survey chapter</w:t>
            </w:r>
          </w:p>
        </w:tc>
        <w:tc>
          <w:tcPr>
            <w:tcW w:type="dxa" w:w="2237"/>
            <w:tcMar>
              <w:top w:type="dxa" w:w="50"/>
              <w:left w:type="dxa" w:w="80"/>
              <w:bottom w:type="dxa" w:w="50"/>
              <w:right w:type="dxa" w:w="80"/>
            </w:tcMar>
          </w:tcPr>
          <w:p>
            <w:pPr>
              <w:spacing w:after="15" w:before="15" w:line="240"/>
              <w:jc w:val="left"/>
            </w:pPr>
            <w:r>
              <w:rPr>
                <w:sz w:val="18"/>
                <w:szCs w:val="18"/>
              </w:rPr>
              <w:t xml:space="preserve">Working paper</w:t>
            </w:r>
          </w:p>
        </w:tc>
      </w:tr>
    </w:tbl>
    <w:p>
      <w:pPr>
        <w:spacing w:after="160"/>
      </w:pPr>
      <w:r>
        <w:t xml:space="preserve"/>
      </w:r>
    </w:p>
    <w:p>
      <w:pPr>
        <w:pStyle w:val="Heading2"/>
        <w:keepNext/>
        <w:spacing w:after="140" w:before="240"/>
      </w:pPr>
      <w:r>
        <w:t xml:space="preserve">2.2 Theme one: is the offence-defence balance the right frame for cyberspace?</w:t>
      </w:r>
    </w:p>
    <w:p>
      <w:pPr>
        <w:spacing w:after="140" w:line="300"/>
        <w:jc w:val="both"/>
      </w:pPr>
      <w:r>
        <w:t xml:space="preserve">Offence-defence theory holds that the relative ease of attack and defence shapes the likelihood of conflict. Applied to cyberspace, it has produced a durable assumption of offensive advantage. Maschmeyer (2023) reports this position and rejects it. Conventional wisdom, he writes, "attempts to explain this paradox militarily through offense-defense theory, diagnosing a strong offensive advantage for cyber weapons", but that theory "faces significant theoretical and empirical challenges", a judgement he supports by reference to Gartzke and Lindsay (2015), Libicki (2009) and Slayton (2017). His alternative is that cyber operations are instruments of subversion rather than of warfare, and that they reverse structural power by turning the benefits of a central position into sources of harm.</w:t>
      </w:r>
    </w:p>
    <w:p>
      <w:pPr>
        <w:spacing w:after="140" w:line="300"/>
        <w:jc w:val="both"/>
      </w:pPr>
      <w:r>
        <w:t xml:space="preserve">Three further positions appear in the literature, and they are not compatible with one another.</w:t>
      </w:r>
    </w:p>
    <w:p>
      <w:pPr>
        <w:spacing w:after="140" w:line="300"/>
        <w:jc w:val="both"/>
      </w:pPr>
      <w:r>
        <w:t xml:space="preserve">Butt and Ulina (2026) assert offensive advantage. On their account innovation continues "on the offensive side, including AI-powered attacks, supply chain compromise, attacks on critical infrastructure, influence operations, deepfakes and that's where the defenders are behind". The claim is asserted rather than demonstrated, and rests on trend data drawn from commercial vendors without discussion of the incentives shaping such reporting.</w:t>
      </w:r>
    </w:p>
    <w:p>
      <w:pPr>
        <w:spacing w:after="140" w:line="300"/>
        <w:jc w:val="both"/>
      </w:pPr>
      <w:r>
        <w:t xml:space="preserve">Pokorny (2026) reports the opposite finding from Lindsay (2013). On that account "the more technically sophisticated the target, the more difficult it is to achieve a decisive cyber effect, because sophisticated defenders are better able to detect and mitigate intrusions", so that the balance "favors defense at the strategic level, even if individual tactical attacks may succeed". Two cautions apply. Lindsay is not among the works reviewed here, so this is a second-hand characterisation requiring verification. Pokorny's own monograph is self-published, rests on sixteen unclassified sources, and is written as an offensive planning document, which makes it a source expressing a policy position rather than a neutral assessment.</w:t>
      </w:r>
    </w:p>
    <w:p>
      <w:pPr>
        <w:spacing w:after="140" w:line="300"/>
        <w:jc w:val="both"/>
      </w:pPr>
      <w:r>
        <w:t xml:space="preserve">Willett (2022) provides the only judgement grounded in an observed conflict. Assessing the cyber dimension of the Russia-Ukraine war for the International Institute for Strategic Studies, he describes "a sustained Russian campaign to hack into and disrupt Ukraine's critical national infrastructure, resulting in intense sparring between offence and defence, but with defence dominating most of the time, given its access to good intelligence and top-class cyber-security expertise".</w:t>
      </w:r>
    </w:p>
    <w:p>
      <w:pPr>
        <w:spacing w:after="140" w:line="300"/>
        <w:jc w:val="both"/>
      </w:pPr>
      <w:r>
        <w:t xml:space="preserve">Willett adds a qualification that carries more theoretical weight than the finding itself. A conflict "between Russia and a state with weaker cyber security than Ukraine, or one between NATO and Russia (or China), would perhaps see a different balance between offence and defence". The balance is thus a property of the pairing rather than of the technology. Ukrainian defence was sustained by United States and United Kingdom agencies and by commercial firms including Microsoft, Google and Cisco. The same offensive tools directed at a differently resourced defender would produce a different result.</w:t>
      </w:r>
    </w:p>
    <w:p>
      <w:pPr>
        <w:spacing w:after="140" w:line="300"/>
        <w:jc w:val="both"/>
      </w:pPr>
      <w:r>
        <w:t xml:space="preserve">The evidence supporting each position is uneven. Maschmeyer's rejection is argued theoretically but rests empirically on a single case he himself describes as a plausibility probe. The assertion by Butt and Ulina is unargued. Lindsay's claim reaches this review at second hand. Only Willett's judgement is grounded in observed conflict, and it is explicitly bounded to August 2022 and to a well-matched pair of adversaries. His finding that Russia lacked the capabilities needed to impair military units and command systems is consistent with Smeets (2022) on the difficulty states face in developing military cyber forces, a work cited by both Maschmeyer (2023) and Singh, Jash and Nanjappa (2025).</w:t>
      </w:r>
    </w:p>
    <w:p>
      <w:pPr>
        <w:spacing w:after="140" w:line="300"/>
        <w:jc w:val="both"/>
      </w:pPr>
      <w:r>
        <w:t xml:space="preserve">No work reviewed here measures or operationalises the cyber offence-defence balance. The canonical treatment, Slayton (2017), appears only within Maschmeyer's bibliography.</w:t>
      </w:r>
    </w:p>
    <w:p>
      <w:pPr>
        <w:spacing w:after="140" w:line="300"/>
        <w:jc w:val="both"/>
      </w:pPr>
      <w:r>
        <w:t xml:space="preserve">The implication for this study is that a paper asking how autonomy shifts the balance must first establish which baseline it is shifting from, and the literature does not supply one.</w:t>
      </w:r>
    </w:p>
    <w:p>
      <w:pPr>
        <w:pStyle w:val="Heading2"/>
        <w:keepNext/>
        <w:spacing w:after="140" w:before="240"/>
      </w:pPr>
      <w:r>
        <w:t xml:space="preserve">2.3 Theme two: pre-positioning as espionage, preparation or signal</w:t>
      </w:r>
    </w:p>
    <w:p>
      <w:pPr>
        <w:spacing w:after="140" w:line="300"/>
        <w:jc w:val="both"/>
      </w:pPr>
      <w:r>
        <w:t xml:space="preserve">Persistent access to critical infrastructure is ambiguous on its face. The same implant supports intelligence collection, attack preparation and coercive signalling.</w:t>
      </w:r>
    </w:p>
    <w:p>
      <w:pPr>
        <w:spacing w:after="140" w:line="300"/>
        <w:jc w:val="both"/>
      </w:pPr>
      <w:r>
        <w:t xml:space="preserve">Guttieri (2025) makes the ambiguity her subject. Pre-positioned actors, she writes, "maintain a portfolio of future options", choosing among "escalating the attack, disrupting services, conducting surveillance, or withdrawing", and over time they "accumulate a form of latent power on the network". Her rule for reading such access follows from the assessments of Nakasone and the analyst James Lewis. Taken together, she argues, their insights "offer a strong interpretive signal: when persistent access offers low intelligence gain but high leverage, it likely reflects preparation for conflict".</w:t>
      </w:r>
    </w:p>
    <w:p>
      <w:pPr>
        <w:spacing w:after="140" w:line="300"/>
        <w:jc w:val="both"/>
      </w:pPr>
      <w:r>
        <w:t xml:space="preserve">Codreanu (2025) reaches the same criterion independently and from a different institutional vantage. United States authorities held that the goal "was not the extraction of data for conventional espionage but rather the pre-positioning in key points of critical infrastructure to prepare for possible future acts of sabotage". Two independent statements of one criterion strengthen it.</w:t>
      </w:r>
    </w:p>
    <w:p>
      <w:pPr>
        <w:spacing w:after="140" w:line="300"/>
        <w:jc w:val="both"/>
      </w:pPr>
      <w:r>
        <w:t xml:space="preserve">Two further works take opposing positions on what the criterion licenses.</w:t>
      </w:r>
    </w:p>
    <w:p>
      <w:pPr>
        <w:spacing w:after="140" w:line="300"/>
        <w:jc w:val="both"/>
      </w:pPr>
      <w:r>
        <w:t xml:space="preserve">Dimitrov and Andreev (2025) hold that pre-positioning functions coercively. Volt Typhoon, they argue, reflects China's "increasing reliance on the prepositioning of cyber assets in U.S. critical infrastructure as a means of deterrence and coercion", and constitutes not intelligence gathering but "pre-emptive measures designed to embed China's cyber capabilities into critical infrastructure, ensuring its influence in times of crisis". Their own evidence sits awkwardly with this reading. They concede that at Guam "forensic investigations did not reveal immediate sabotage" and that the intrusions "pointed to intelligence gathering and strategic mapping", which is consistent with the espionage interpretation they reject.</w:t>
      </w:r>
    </w:p>
    <w:p>
      <w:pPr>
        <w:spacing w:after="140" w:line="300"/>
        <w:jc w:val="both"/>
      </w:pPr>
      <w:r>
        <w:t xml:space="preserve">Braccia (2025) holds the opposite. Grey zone operations, on this account, "target strategically significant systems while carefully calibrating effects to remain below use-of-force thresholds established in international law". Rather than causing damage that might trigger a collective defence response, they "focus on persistent access, intelligence gathering, and pre-positioning for potential future activation". If operations are designed to remain below the threshold of response, then illegibility is the objective rather than a defect. This work is an unreviewed preprint carrying no institutional affiliation, and its factual claims should be taken from the government advisories it cites rather than from the preprint itself. The conceptual point, drawn from the wider grey zone literature, is nonetheless serious.</w:t>
      </w:r>
    </w:p>
    <w:p>
      <w:pPr>
        <w:spacing w:after="140" w:line="300"/>
        <w:jc w:val="both"/>
      </w:pPr>
      <w:r>
        <w:t xml:space="preserve">Three obstacles to the signalling reading appear in the literature, each documented independently.</w:t>
      </w:r>
    </w:p>
    <w:p>
      <w:pPr>
        <w:spacing w:after="140" w:line="300"/>
        <w:jc w:val="both"/>
      </w:pPr>
      <w:r>
        <w:t xml:space="preserve">The first is non-reception. Sullivan (2025) observes that cyber operations "rarely possess sufficient political salience to activate political institutions to punish the perpetrator in any way that might provoke meaningful blowback", and that campaigns such as Volt Typhoon and Salt Typhoon "lurk in the shadows, compromising entire populations while leaving little trace".</w:t>
      </w:r>
    </w:p>
    <w:p>
      <w:pPr>
        <w:spacing w:after="140" w:line="300"/>
        <w:jc w:val="both"/>
      </w:pPr>
      <w:r>
        <w:t xml:space="preserve">The second is denial. Singh, Jash and Nanjappa (2025) record that China's National Computer Virus Emergency Response Centre answered the attribution by accusing the United States of operating a toolkit to erase digital footprints, and that the Chinese Ministry of Foreign Affairs issued remarks on the "hyping up" of Volt Typhoon. Codreanu (2025) records the ministry spokesperson dismissing the allegations as disinformation.</w:t>
      </w:r>
    </w:p>
    <w:p>
      <w:pPr>
        <w:spacing w:after="140" w:line="300"/>
        <w:jc w:val="both"/>
      </w:pPr>
      <w:r>
        <w:t xml:space="preserve">The third is misdirection of the response. Baram (2026) codes Volt Typhoon as a joint technical advisory, noting that "no alliance-led endorsement or sanctions package followed", and that for advisories of this type the "primary audience here is network defenders, not only state elites". A coercive signal must reach political decision-makers to work. This one reached system administrators.</w:t>
      </w:r>
    </w:p>
    <w:p>
      <w:pPr>
        <w:spacing w:after="140" w:line="300"/>
        <w:jc w:val="both"/>
      </w:pPr>
      <w:r>
        <w:t xml:space="preserve">Urbanczyk et al. (2025) supply a comparison that sharpens the point. The Salt Typhoon campaign, which compromised telecommunications providers and obtained access to law enforcement surveillance systems, produced "sanctions imposed by the U.S. Treasury on PRC-linked cyber entities". The same adversary, in the same period, against the same target state, drew financial sanctions for espionage and a technical advisory for pre-positioning. On any strategic reading the severity ordering is inverted, since implants in water and power systems are graver than the collection of metadata. State response appears to track the legibility of an act and the availability of precedent rather than its gravity.</w:t>
      </w:r>
    </w:p>
    <w:p>
      <w:pPr>
        <w:spacing w:after="140" w:line="300"/>
        <w:jc w:val="both"/>
      </w:pPr>
      <w:r>
        <w:t xml:space="preserve">Codreanu (2025) records the only case of pre-positioning followed by prolonged non-use. Reporting Lonergan and Poznansky (2025), he notes that in 2018 the United States accused Russia of infiltrating nuclear, energy, aviation and water infrastructure, and that "so far, however, Russia has not exploited these footholds to launch direct cyberattacks on the US". Seven years of maintained access without use qualifies the inference from access to intent. If persistent access indicates preparation for conflict, preparation can evidently continue for years without conflict.</w:t>
      </w:r>
    </w:p>
    <w:p>
      <w:pPr>
        <w:spacing w:after="140" w:line="300"/>
        <w:jc w:val="both"/>
      </w:pPr>
      <w:r>
        <w:t xml:space="preserve">Willett (2022) records the one case in which pre-positioning was converted to attack. Russia had been "conducting reconnaissance of, and pre-positioning cyber capabilities on, certain Ukrainian energy and communications networks from at least March 2021". In April 2022 an intrusion into a major Ukrainian energy facility was set to deliver disruptive effect. "Ukrainian cyber security neutralised it." The malware "would have shut off power for two million people had the attack succeeded", but "no power outages in fact occurred". Malware targeting liquefied natural gas safety controllers was likewise detected before use, and the Federal Bureau of Investigation disabled a Russian router network before it could be employed.</w:t>
      </w:r>
    </w:p>
    <w:p>
      <w:pPr>
        <w:spacing w:after="140" w:line="300"/>
        <w:jc w:val="both"/>
      </w:pPr>
      <w:r>
        <w:t xml:space="preserve">The literature therefore contains three cases of pre-positioning, one attempted use, and no instance of successful strategic effect.</w:t>
      </w:r>
    </w:p>
    <w:p>
      <w:pPr>
        <w:pStyle w:val="Heading2"/>
        <w:keepNext/>
        <w:spacing w:after="140" w:before="240"/>
      </w:pPr>
      <w:r>
        <w:t xml:space="preserve">2.4 Theme three: machine autonomy and the absence of strategic analysis</w:t>
      </w:r>
    </w:p>
    <w:p>
      <w:pPr>
        <w:spacing w:after="140" w:line="300"/>
        <w:jc w:val="both"/>
      </w:pPr>
      <w:r>
        <w:t xml:space="preserve">Butt and Ulina (2026) provide the only treatment among the works reviewed that connects autonomy to offensive operations. Their assessment is conservative. "While fully autonomous offensive cyber weapons are still largely theoretical, AI is being used to aid in reconnaissance, vulnerability discovery, phishing, malware development, and the adaptation of cyber exploits." Future systems, they suggest, "could recognize targets, determine attack routes, and conduct portions of an operation without human participation". The value of the statement lies in its caution, since the authors have no incentive to understate the pace of change.</w:t>
      </w:r>
    </w:p>
    <w:p>
      <w:pPr>
        <w:spacing w:after="140" w:line="300"/>
        <w:jc w:val="both"/>
      </w:pPr>
      <w:r>
        <w:t xml:space="preserve">Yigit et al. (2025), writing from Edinburgh Napier University and the University of Liverpool, supply the definition of agentic artificial intelligence used in this paper and identify a means of measuring the capability in question. The CYBERSECEVAL 3 benchmark, they note, incorporates "offensive security capabilities, such as automated social engineering, scaling manual offensive operations, and autonomous offensive strategies", and covers "autonomous offensive cyber operations". Benchmark results across successive model generations would constitute a time series for the pace question, replacing estimation with measurement. The authors also record limits, confirming earlier observations of "limitations in zero-shot LLMs for adversarial attack detection" and dataset constraints in evaluating such tools.</w:t>
      </w:r>
    </w:p>
    <w:p>
      <w:pPr>
        <w:spacing w:after="140" w:line="300"/>
        <w:jc w:val="both"/>
      </w:pPr>
      <w:r>
        <w:t xml:space="preserve">Two features of this work bear on the argument. Autonomy is presented almost entirely as a defensive capability. Yigit et al. describe agentic systems as enabling "proactive defence and resilience in real time by autonomously learning, adapting, and orchestrating multi-step mitigation strategies". Kabir et al. (2026) likewise propose an autonomous response function within a national defensive framework.</w:t>
      </w:r>
    </w:p>
    <w:p>
      <w:pPr>
        <w:spacing w:after="140" w:line="300"/>
        <w:jc w:val="both"/>
      </w:pPr>
      <w:r>
        <w:t xml:space="preserve">Kabir et al. (2026) also provide two figures useful to this study, subject to a caution. Coding nation-state intrusions from 2020 to 2024, they report a mean dwell time of 197 days, and characterise Volt Typhoon as having persisted "up to 5 years", "pre-positioned for destructive action". They further report that "73.6% of events were first discovered by entities other than the victim organisation's security teams". The caution is that the study's incident counts do not reconcile. The abstract reports 847 confirmed intrusions, while the results section reports 89 confirmed attacks and 253 confirmed events, with no explanation offered. The counts should not be cited. The dwell time and detection figures should be corroborated against independent industry reporting before use.</w:t>
      </w:r>
    </w:p>
    <w:p>
      <w:pPr>
        <w:spacing w:after="140" w:line="300"/>
        <w:jc w:val="both"/>
      </w:pPr>
      <w:r>
        <w:t xml:space="preserve">The detection figure carries an implication that runs against the intuitive reading of autonomy. If most intrusions are found by third parties rather than by victims, persistence is currently sustained in part by the weakness of defensive detection. Improved autonomous detection would raise the cost of persistence rather than lower it.</w:t>
      </w:r>
    </w:p>
    <w:p>
      <w:pPr>
        <w:spacing w:after="140" w:line="300"/>
        <w:jc w:val="both"/>
      </w:pPr>
      <w:r>
        <w:t xml:space="preserve">Fifteen of the sixteen works reviewed do not connect machine autonomy to the offence-defence balance. Those that theorise cyber strategy, including Maschmeyer, Guttieri, Sullivan, Baram, Willett and Codreanu, make no reference to artificial intelligence. Those that examine artificial intelligence, including Yigit et al. and Kabir et al., make no reference to deterrence, signalling or the balance.</w:t>
      </w:r>
    </w:p>
    <w:p>
      <w:pPr>
        <w:pStyle w:val="Heading2"/>
        <w:keepNext/>
        <w:spacing w:after="140" w:before="240"/>
      </w:pPr>
      <w:r>
        <w:t xml:space="preserve">2.5 Theme four: deterrence, denial and the security dilemma</w:t>
      </w:r>
    </w:p>
    <w:p>
      <w:pPr>
        <w:spacing w:after="140" w:line="300"/>
        <w:jc w:val="both"/>
      </w:pPr>
      <w:r>
        <w:t xml:space="preserve">Guttieri (2025) situates pre-positioning within Buchanan's cybersecurity dilemma, "an extension of the traditional security dilemma in which a state's efforts to secure itself provoke escalation from others". Her policy conclusion favours denial over punishment. "Deterrence by punishment is difficult to execute when adversaries can exploit ambiguity. In contrast, preventing adversaries from achieving their goals through resilience remains insufficiently emphasized."</w:t>
      </w:r>
    </w:p>
    <w:p>
      <w:pPr>
        <w:spacing w:after="140" w:line="300"/>
        <w:jc w:val="both"/>
      </w:pPr>
      <w:r>
        <w:t xml:space="preserve">She also identifies a mechanism by which pre-positioning becomes destabilising. Reporting Cunningham (2022), she notes that China employs cyber, counter-space and precision systems "as stand-ins for nuclear escalation, leveraging them for signaling and coercion", and concludes that "rather than deterring escalation, China's use of cyber operations appears designed to shape conditions for conflict". The interdependence of cyber, space and nuclear systems, however, "undermines their reliability as controlled instruments of deterrence or coercion", such that "even a limited cyberattack could inadvertently disrupt critical infrastructure and escalate tensions far beyond its intended scope".</w:t>
      </w:r>
    </w:p>
    <w:p>
      <w:pPr>
        <w:spacing w:after="140" w:line="300"/>
        <w:jc w:val="both"/>
      </w:pPr>
      <w:r>
        <w:t xml:space="preserve">Sullivan (2025) traces the doctrinal shift from deterrence to persistent engagement and draws out its consequences for communication between adversaries. Deterrence "is reactive and punitive", while persistent engagement "is proactively preventive"; deterrence "is episodic in nature", while persistence theory's "defining trait is the continuous operations that it requires". Where deterrence favoured strategic ambiguity, continuous contact "both facilitates and benefits from clarity over ambiguity". Operations themselves become a medium of communication, since "defend forward operations to dismantle specific foreign threats and not others signal to an adversary a sense of the types of most threatening or inappropriate cyber threats". Sullivan calls this tacit bargaining.</w:t>
      </w:r>
    </w:p>
    <w:p>
      <w:pPr>
        <w:spacing w:after="140" w:line="300"/>
        <w:jc w:val="both"/>
      </w:pPr>
      <w:r>
        <w:t xml:space="preserve">Sullivan also distinguishes technical from political attribution. "Even when technical attribution is possible, political attribution rarely follows", because public identification of a perpetrating state "is subject to political considerations that may counsel against attribution" (Eichensehr, 2020, as reported in Sullivan, 2025).</w:t>
      </w:r>
    </w:p>
    <w:p>
      <w:pPr>
        <w:spacing w:after="140" w:line="300"/>
        <w:jc w:val="both"/>
      </w:pPr>
      <w:r>
        <w:t xml:space="preserve">Willett (2022) records the escalation stakes. President Biden identified a cyber breach as the most likely cause of the United States entering "a real shooting war" with a major power, and NATO has stated that it would assess Article 5 thresholds case by case and "could consider an accumulation of minor attacks as crossing that threshold". Willett also notes that after the 2007 operations against Estonia the Russians "probably learned what sorts of cyber attacks on a NATO state the Alliance would not consider close to its threshold", which describes a form of threshold discovery through probing that is distinct from pre-positioning.</w:t>
      </w:r>
    </w:p>
    <w:p>
      <w:pPr>
        <w:spacing w:after="140" w:line="300"/>
        <w:jc w:val="both"/>
      </w:pPr>
      <w:r>
        <w:t xml:space="preserve">Sullivan (2025) and Pokorny (2026) converge on a related gap. Sullivan describes a persistent fog of law surrounding cyber operations. Pokorny observes that "a significant gap in the public literature concerns the precise rules of engagement governing forward operations, the potential for miscalculation, and the legal implications of continuously operating within the sovereign networks of other states".</w:t>
      </w:r>
    </w:p>
    <w:p>
      <w:pPr>
        <w:pStyle w:val="Heading2"/>
        <w:keepNext/>
        <w:spacing w:after="140" w:before="240"/>
      </w:pPr>
      <w:r>
        <w:t xml:space="preserve">2.6 Summary of the review</w:t>
      </w:r>
    </w:p>
    <w:p>
      <w:pPr>
        <w:spacing w:after="140" w:line="300"/>
        <w:jc w:val="both"/>
      </w:pPr>
      <w:r>
        <w:t xml:space="preserve">The literature agrees that cyber competition is continuous rather than episodic, that critical infrastructure is the contested object, and that pre-positioning is analytically distinct from espionage. It disagrees on the direction of the offence-defence balance, on whether pre-positioning communicates intent, and on whether cyber operations are cheap or costly to sustain. It does not connect machine autonomy to any of these questions.</w:t>
      </w:r>
    </w:p>
    <w:p>
      <w:pPr>
        <w:pBdr>
          <w:bottom w:val="single" w:color="BBBBBB" w:sz="6" w:space="1"/>
        </w:pBdr>
        <w:spacing w:after="120" w:before="120"/>
      </w:pPr>
      <w:r>
        <w:t xml:space="preserve"/>
      </w:r>
    </w:p>
    <w:p>
      <w:pPr>
        <w:pStyle w:val="Heading1"/>
        <w:keepNext/>
        <w:spacing w:after="140" w:before="360"/>
      </w:pPr>
      <w:r>
        <w:t xml:space="preserve">3. Research Gap</w:t>
      </w:r>
    </w:p>
    <w:p>
      <w:pPr>
        <w:pStyle w:val="Heading2"/>
        <w:keepNext/>
        <w:spacing w:after="140" w:before="240"/>
      </w:pPr>
      <w:r>
        <w:t xml:space="preserve">3.1 The gap stated</w:t>
      </w:r>
    </w:p>
    <w:p>
      <w:pPr>
        <w:spacing w:after="140" w:line="300"/>
        <w:jc w:val="both"/>
      </w:pPr>
      <w:r>
        <w:t xml:space="preserve">The intersection of machine autonomy and the offence-defence balance has been identified as a research direction within this literature and remains uninvestigated, including by the author who identified it.</w:t>
      </w:r>
    </w:p>
    <w:p>
      <w:pPr>
        <w:spacing w:after="140" w:line="300"/>
        <w:jc w:val="both"/>
      </w:pPr>
      <w:r>
        <w:t xml:space="preserve">Melella (n.d.) devotes a chapter section to the offence-defence balance in cyberspace, examines artificial intelligence in a chapter on the NATO Locked Shields exercise, and writes that "the advancement of technologies, particularly artificial intelligence, is changing the landscape of cyberspace" and that "studying how these emerging technologies affect the offensive-defensive balance could reveal new dynamics and challenges". He adds that "an under-explored area is how actors perceive the offensive-defensive balance and how these perceptions influence their policy and strategy decisions".</w:t>
      </w:r>
    </w:p>
    <w:p>
      <w:pPr>
        <w:spacing w:after="140" w:line="300"/>
        <w:jc w:val="both"/>
      </w:pPr>
      <w:r>
        <w:t xml:space="preserve">He names the intersection and then examines coordination instead. His dependent variable is coordination, not the balance. His treatment of artificial intelligence concerns machine learning for intrusion detection in an exercise setting rather than strategic consequence. The offence-defence material is literature review and the artificial intelligence material is dataset development, and the two are not joined analytically.</w:t>
      </w:r>
    </w:p>
    <w:p>
      <w:pPr>
        <w:spacing w:after="140" w:line="300"/>
        <w:jc w:val="both"/>
      </w:pPr>
      <w:r>
        <w:t xml:space="preserve">That an independent researcher in security studies arrived at the same question and recorded it as needing research is stronger warrant for the study than an absence of mentions would be. It also means the paper answers a recognised open question rather than discovering an unnoticed one.</w:t>
      </w:r>
    </w:p>
    <w:p>
      <w:pPr>
        <w:pStyle w:val="Heading2"/>
        <w:keepNext/>
        <w:spacing w:after="140" w:before="240"/>
      </w:pPr>
      <w:r>
        <w:t xml:space="preserve">3.2 Conceptual gap</w:t>
      </w:r>
    </w:p>
    <w:p>
      <w:pPr>
        <w:spacing w:after="140" w:line="300"/>
        <w:jc w:val="both"/>
      </w:pPr>
      <w:r>
        <w:t xml:space="preserve">No work reviewed defines the unit in which a shift in the offence-defence balance would be measured for cyberspace. Maschmeyer (2023) argues that the concept may not apply to the domain at all. Without a defined dependent variable, a shift in the balance is not yet a researchable proposition.</w:t>
      </w:r>
    </w:p>
    <w:p>
      <w:pPr>
        <w:pStyle w:val="Heading2"/>
        <w:keepNext/>
        <w:spacing w:after="140" w:before="240"/>
      </w:pPr>
      <w:r>
        <w:t xml:space="preserve">3.3 Theoretical gap</w:t>
      </w:r>
    </w:p>
    <w:p>
      <w:pPr>
        <w:spacing w:after="140" w:line="300"/>
        <w:jc w:val="both"/>
      </w:pPr>
      <w:r>
        <w:t xml:space="preserve">Guttieri's (2025) reading of pre-positioning rests on the premise that persistence requires strategic patience. This is a costly signalling logic. The act carries information because it is expensive.</w:t>
      </w:r>
    </w:p>
    <w:p>
      <w:pPr>
        <w:spacing w:after="140" w:line="300"/>
        <w:jc w:val="both"/>
      </w:pPr>
      <w:r>
        <w:t xml:space="preserve">Sullivan (2025), writing in the same issue of the same journal, states the opposite baseline. Cyber operations are conducted "inexpensively", most "do not" require significant investment, and "the low cost of cyber operations extends far beyond the financial realm". Two authors at the same institution, publishing together, hold incompatible cost assumptions.</w:t>
      </w:r>
    </w:p>
    <w:p>
      <w:pPr>
        <w:spacing w:after="140" w:line="300"/>
        <w:jc w:val="both"/>
      </w:pPr>
      <w:r>
        <w:t xml:space="preserve">The tension resolves if cost is disaggregated. Sullivan addresses the cost of entry. Guttieri addresses the cost of undetected multi-year persistence in hardened infrastructure. The signalling inference rests on the second. Pre-positioning indicates intent not because intrusion is difficult but because remaining undetected is. Neither author draws the distinction, and no work asks what happens to the inference when the cost of remaining falls.</w:t>
      </w:r>
    </w:p>
    <w:p>
      <w:pPr>
        <w:pStyle w:val="Heading2"/>
        <w:keepNext/>
        <w:spacing w:after="140" w:before="240"/>
      </w:pPr>
      <w:r>
        <w:t xml:space="preserve">3.4 Empirical gap</w:t>
      </w:r>
    </w:p>
    <w:p>
      <w:pPr>
        <w:spacing w:after="140" w:line="300"/>
        <w:jc w:val="both"/>
      </w:pPr>
      <w:r>
        <w:t xml:space="preserve">No work reviewed codes pre-positioning incidents on the dimensions its own theory identifies as decisive. Guttieri (2025) supplies a decision rule and applies it to one case in argument rather than in systematic coding. Baram (2026) supplies the coding method but applies it to attribution responses rather than to the acts themselves. Joining the two is available and has not been done. No time series exists for the cost of persistence, and no dataset records autonomy in operational campaigns.</w:t>
      </w:r>
    </w:p>
    <w:p>
      <w:pPr>
        <w:pStyle w:val="Heading2"/>
        <w:keepNext/>
        <w:spacing w:after="140" w:before="240"/>
      </w:pPr>
      <w:r>
        <w:t xml:space="preserve">3.5 Methodological gap</w:t>
      </w:r>
    </w:p>
    <w:p>
      <w:pPr>
        <w:spacing w:after="140" w:line="300"/>
        <w:jc w:val="both"/>
      </w:pPr>
      <w:r>
        <w:t xml:space="preserve">One of the sixteen works tests propositions against a coded population. Baram (2026) codes twenty joint attribution cases from the European Repository of Cyber Incidents. Every other work is a review, a doctrinal analysis, an expert assessment, or theory building with illustrative cases. Maschmeyer (2023) describes his own empirical component as a plausibility probe.</w:t>
      </w:r>
    </w:p>
    <w:p>
      <w:pPr>
        <w:pStyle w:val="Heading2"/>
        <w:keepNext/>
        <w:spacing w:after="140" w:before="240"/>
      </w:pPr>
      <w:r>
        <w:t xml:space="preserve">3.6 Geographic gap</w:t>
      </w:r>
    </w:p>
    <w:p>
      <w:pPr>
        <w:spacing w:after="140" w:line="300"/>
        <w:jc w:val="both"/>
      </w:pPr>
      <w:r>
        <w:t xml:space="preserve">The literature is oriented toward the United States, with China as object rather than subject. Three partial exceptions exist. Singh, Jash and Nanjappa (2025) record China's stated position, Codreanu (2025) quotes the ministry denial, and Pokorny (2026) describes the 2024 restructuring of the Strategic Support Force into the Information Support Force, the Aerospace Force and the Cyberspace Force. No work reviewed engages Chinese-language doctrinal sources. Baram (2026) declares the equivalent bias in her own data, noting that her findings "map Western-led joint public attributions rather than global practices". Any study built on this literature inherits that bias and should declare it.</w:t>
      </w:r>
    </w:p>
    <w:p>
      <w:pPr>
        <w:pStyle w:val="Heading2"/>
        <w:keepNext/>
        <w:spacing w:after="140" w:before="240"/>
      </w:pPr>
      <w:r>
        <w:t xml:space="preserve">3.7 Temporal gap</w:t>
      </w:r>
    </w:p>
    <w:p>
      <w:pPr>
        <w:spacing w:after="140" w:line="300"/>
        <w:jc w:val="both"/>
      </w:pPr>
      <w:r>
        <w:t xml:space="preserve">Butt and Ulina (2026) hold that fully autonomous offensive operations remain largely theoretical. The literature contains nothing on the rate at which this changes, offering no projections, thresholds or indicators. It does contain the instrument. Yigit et al. (2025) identify CYBERSECEVAL 3 as benchmarking autonomous offensive cyber operations, and results across model generations would constitute a time series. No work uses it for that purpose.</w:t>
      </w:r>
    </w:p>
    <w:p>
      <w:pPr>
        <w:pStyle w:val="Heading2"/>
        <w:keepNext/>
        <w:spacing w:after="140" w:before="240"/>
      </w:pPr>
      <w:r>
        <w:t xml:space="preserve">3.8 Policy gap</w:t>
      </w:r>
    </w:p>
    <w:p>
      <w:pPr>
        <w:spacing w:after="140" w:line="300"/>
        <w:jc w:val="both"/>
      </w:pPr>
      <w:r>
        <w:t xml:space="preserve">Guttieri (2025) argues for deterrence by denial. Butt and Ulina (2026) offer a table of recommendations. Neither addresses how attribution, signalling or escalation management function when operations proceed at machine speed.</w:t>
      </w:r>
    </w:p>
    <w:p>
      <w:pPr>
        <w:pBdr>
          <w:bottom w:val="single" w:color="BBBBBB" w:sz="6" w:space="1"/>
        </w:pBdr>
        <w:spacing w:after="120" w:before="120"/>
      </w:pPr>
      <w:r>
        <w:t xml:space="preserve"/>
      </w:r>
    </w:p>
    <w:p>
      <w:pPr>
        <w:pStyle w:val="Heading1"/>
        <w:keepNext/>
        <w:spacing w:after="140" w:before="360"/>
      </w:pPr>
      <w:r>
        <w:t xml:space="preserve">4. Theoretical Framework</w:t>
      </w:r>
    </w:p>
    <w:p>
      <w:pPr>
        <w:pStyle w:val="Heading2"/>
        <w:keepNext/>
        <w:spacing w:after="140" w:before="240"/>
      </w:pPr>
      <w:r>
        <w:t xml:space="preserve">4.1 Requirements</w:t>
      </w:r>
    </w:p>
    <w:p>
      <w:pPr>
        <w:spacing w:after="140" w:line="300"/>
        <w:jc w:val="both"/>
      </w:pPr>
      <w:r>
        <w:t xml:space="preserve">The framework must specify a dependent variable that can be measured, accommodate a balance that varies by adversary pairing rather than being fixed, and distinguish between two live explanations of what pre-positioning is.</w:t>
      </w:r>
    </w:p>
    <w:p>
      <w:pPr>
        <w:pStyle w:val="Heading2"/>
        <w:keepNext/>
        <w:spacing w:after="140" w:before="240"/>
      </w:pPr>
      <w:r>
        <w:t xml:space="preserve">4.2 Primary framework: costly signalling within a security dilemma</w:t>
      </w:r>
    </w:p>
    <w:p>
      <w:pPr>
        <w:spacing w:after="140" w:line="300"/>
        <w:jc w:val="both"/>
      </w:pPr>
      <w:r>
        <w:t xml:space="preserve">Guttieri's (2025) use of the cybersecurity dilemma, and her grounding of the signalling inference in strategic patience, make costly signalling the implicit frame of the literature. Its value is that it treats cost as the independent variable and signal credibility as the dependent one. This converts an unmeasurable question about the balance into a tractable question about the information content of an observable act.</w:t>
      </w:r>
    </w:p>
    <w:p>
      <w:pPr>
        <w:spacing w:after="140" w:line="300"/>
        <w:jc w:val="both"/>
      </w:pPr>
      <w:r>
        <w:t xml:space="preserve">Costly signalling also supplies the null case. If an act is not costly it conveys nothing about intent, which is what the second hypothesis below asserts.</w:t>
      </w:r>
    </w:p>
    <w:p>
      <w:pPr>
        <w:pStyle w:val="Heading2"/>
        <w:keepNext/>
        <w:spacing w:after="140" w:before="240"/>
      </w:pPr>
      <w:r>
        <w:t xml:space="preserve">4.3 Competing hypotheses</w:t>
      </w:r>
    </w:p>
    <w:p>
      <w:pPr>
        <w:spacing w:after="140" w:line="300"/>
        <w:jc w:val="both"/>
      </w:pPr>
      <w:r>
        <w:rPr>
          <w:b/>
          <w:bCs/>
        </w:rPr>
        <w:t xml:space="preserve">Hypothesis 1, signal degradation.</w:t>
      </w:r>
      <w:r>
        <w:t xml:space="preserve"> Pre-positioning indicated intent because persistence was expensive to sustain. Machine autonomy reduces that cost and therefore erodes the signal. Dimitrov and Andreev (2025) hold the underlying position, reading pre-positioning as a means of deterrence and coercion.</w:t>
      </w:r>
    </w:p>
    <w:p>
      <w:pPr>
        <w:spacing w:after="140" w:line="300"/>
        <w:jc w:val="both"/>
      </w:pPr>
      <w:r>
        <w:rPr>
          <w:b/>
          <w:bCs/>
        </w:rPr>
        <w:t xml:space="preserve">Hypothesis 2, deliberate non-signal.</w:t>
      </w:r>
      <w:r>
        <w:t xml:space="preserve"> Pre-positioning never indicated intent. Calibration below the threshold of response is the design objective, and illegibility is a feature rather than a defect. Braccia (2025) holds this position, describing operations calibrated to remain below use-of-force thresholds.</w:t>
      </w:r>
    </w:p>
    <w:p>
      <w:pPr>
        <w:spacing w:after="140" w:line="300"/>
        <w:jc w:val="both"/>
      </w:pPr>
      <w:r>
        <w:t xml:space="preserve">The two make different predictions about autonomy. Under the first, autonomy degrades a channel that once carried information. Under the second, autonomy increases the rate at which options are acquired, and no channel is lost because none existed.</w:t>
      </w:r>
    </w:p>
    <w:p>
      <w:pPr>
        <w:spacing w:after="140" w:line="300"/>
        <w:jc w:val="both"/>
      </w:pPr>
      <w:r>
        <w:t xml:space="preserve">Present evidence is at least as consistent with the second. Pre-positioning has twice been followed by prolonged non-use, it drew no sanctions in the one case where response has been coded systematically, and its effects appear calibrated below the threshold that would trigger collective defence.</w:t>
      </w:r>
    </w:p>
    <w:p>
      <w:pPr>
        <w:pStyle w:val="Heading2"/>
        <w:keepNext/>
        <w:spacing w:after="140" w:before="240"/>
      </w:pPr>
      <w:r>
        <w:t xml:space="preserve">4.4 Secondary framework: cyber persistence theory</w:t>
      </w:r>
    </w:p>
    <w:p>
      <w:pPr>
        <w:spacing w:after="140" w:line="300"/>
        <w:jc w:val="both"/>
      </w:pPr>
      <w:r>
        <w:t xml:space="preserve">Cyber persistence theory, developed by Fischerkeller, Goldman and Harknett and reported by Guttieri (2025) and Sullivan (2025), supplies the baseline of continuous contact against which pre-positioning is structural rather than exceptional. It explains why extracting a signal from persistent access is difficult in principle and not only in practice.</w:t>
      </w:r>
    </w:p>
    <w:p>
      <w:pPr>
        <w:pStyle w:val="Heading2"/>
        <w:keepNext/>
        <w:spacing w:after="140" w:before="240"/>
      </w:pPr>
      <w:r>
        <w:t xml:space="preserve">4.5 Scope condition: the balance varies by pairing</w:t>
      </w:r>
    </w:p>
    <w:p>
      <w:pPr>
        <w:spacing w:after="140" w:line="300"/>
        <w:jc w:val="both"/>
      </w:pPr>
      <w:r>
        <w:t xml:space="preserve">Willett (2022) establishes that a conflict against a less capable defender would show a different balance. The framework must therefore index its findings to defender capability rather than treating the balance as a single global property. The consequence is that the claims of the study are claims about pairings, and its distributional expectation is that autonomy widens the distance between well-resourced and poorly-resourced defenders rather than shifting one aggregate balance.</w:t>
      </w:r>
    </w:p>
    <w:p>
      <w:pPr>
        <w:pStyle w:val="Heading2"/>
        <w:keepNext/>
        <w:spacing w:after="140" w:before="240"/>
      </w:pPr>
      <w:r>
        <w:t xml:space="preserve">4.6 Rival framework to be engaged</w:t>
      </w:r>
    </w:p>
    <w:p>
      <w:pPr>
        <w:spacing w:after="140" w:line="300"/>
        <w:jc w:val="both"/>
      </w:pPr>
      <w:r>
        <w:t xml:space="preserve">Maschmeyer's (2023) subversion framework should be engaged directly rather than assumed away. If cyber operations are subversion rather than warfare, offence-defence framing is a category error and the question requires reformulation in terms of structural exploitation. This is the most likely ground for objection and should be met in the review rather than in a footnote.</w:t>
      </w:r>
    </w:p>
    <w:p>
      <w:pPr>
        <w:pStyle w:val="Heading2"/>
        <w:keepNext/>
        <w:spacing w:after="140" w:before="240"/>
      </w:pPr>
      <w:r>
        <w:t xml:space="preserve">4.7 Framework not recommended</w:t>
      </w:r>
    </w:p>
    <w:p>
      <w:pPr>
        <w:spacing w:after="140" w:line="300"/>
        <w:jc w:val="both"/>
      </w:pPr>
      <w:r>
        <w:t xml:space="preserve">Offence-defence theory is not recommended as the primary lens. The strongest theoretical voice in the literature rejects it, no work reviewed operationalises it, and its canonical treatment is absent. Adopting it would require defending a baseline the evidence does not supply. Costly signalling asks a narrower question the evidence can answer.</w:t>
      </w:r>
    </w:p>
    <w:p>
      <w:pPr>
        <w:pBdr>
          <w:bottom w:val="single" w:color="BBBBBB" w:sz="6" w:space="1"/>
        </w:pBdr>
        <w:spacing w:after="120" w:before="120"/>
      </w:pPr>
      <w:r>
        <w:t xml:space="preserve"/>
      </w:r>
    </w:p>
    <w:p>
      <w:pPr>
        <w:pStyle w:val="Heading1"/>
        <w:keepNext/>
        <w:spacing w:after="140" w:before="360"/>
      </w:pPr>
      <w:r>
        <w:t xml:space="preserve">5. Methodology</w:t>
      </w:r>
    </w:p>
    <w:p>
      <w:pPr>
        <w:pStyle w:val="Heading2"/>
        <w:keepNext/>
        <w:spacing w:after="140" w:before="240"/>
      </w:pPr>
      <w:r>
        <w:t xml:space="preserve">5.1 Research design</w:t>
      </w:r>
    </w:p>
    <w:p>
      <w:pPr>
        <w:spacing w:after="140" w:line="300"/>
        <w:jc w:val="both"/>
      </w:pPr>
      <w:r>
        <w:t xml:space="preserve">A theory-guided structured comparison of pre-positioning campaigns, combined with process tracing of how each campaign was interpreted by officials of the target state. The dependent variable is signal credibility rather than the balance itself.</w:t>
      </w:r>
    </w:p>
    <w:p>
      <w:pPr>
        <w:pStyle w:val="Heading2"/>
        <w:keepNext/>
        <w:spacing w:after="140" w:before="240"/>
      </w:pPr>
      <w:r>
        <w:t xml:space="preserve">5.2 Case selection</w:t>
      </w:r>
    </w:p>
    <w:p>
      <w:pPr>
        <w:spacing w:after="140" w:line="300"/>
        <w:jc w:val="both"/>
      </w:pPr>
      <w:r>
        <w:rPr>
          <w:b/>
          <w:bCs/>
        </w:rPr>
        <w:t xml:space="preserve">Table 2.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52"/>
        <w:gridCol w:w="1296"/>
        <w:gridCol w:w="2062"/>
        <w:gridCol w:w="2850"/>
      </w:tblGrid>
      <w:tr>
        <w:trPr>
          <w:cantSplit w:val="false"/>
          <w:tblHeader/>
        </w:trPr>
        <w:tc>
          <w:tcPr>
            <w:tcW w:type="dxa" w:w="3152"/>
            <w:shd w:fill="E8EDF2" w:color="auto" w:val="clear"/>
            <w:tcMar>
              <w:top w:type="dxa" w:w="50"/>
              <w:left w:type="dxa" w:w="80"/>
              <w:bottom w:type="dxa" w:w="50"/>
              <w:right w:type="dxa" w:w="80"/>
            </w:tcMar>
          </w:tcPr>
          <w:p>
            <w:pPr>
              <w:spacing w:after="15" w:before="15" w:line="240"/>
              <w:jc w:val="left"/>
            </w:pPr>
            <w:r>
              <w:rPr>
                <w:b/>
                <w:bCs/>
                <w:sz w:val="18"/>
                <w:szCs w:val="18"/>
              </w:rPr>
              <w:t xml:space="preserve">Case</w:t>
            </w:r>
          </w:p>
        </w:tc>
        <w:tc>
          <w:tcPr>
            <w:tcW w:type="dxa" w:w="1296"/>
            <w:shd w:fill="E8EDF2" w:color="auto" w:val="clear"/>
            <w:tcMar>
              <w:top w:type="dxa" w:w="50"/>
              <w:left w:type="dxa" w:w="80"/>
              <w:bottom w:type="dxa" w:w="50"/>
              <w:right w:type="dxa" w:w="80"/>
            </w:tcMar>
          </w:tcPr>
          <w:p>
            <w:pPr>
              <w:spacing w:after="15" w:before="15" w:line="240"/>
              <w:jc w:val="left"/>
            </w:pPr>
            <w:r>
              <w:rPr>
                <w:b/>
                <w:bCs/>
                <w:sz w:val="18"/>
                <w:szCs w:val="18"/>
              </w:rPr>
              <w:t xml:space="preserve">Pre-positioned</w:t>
            </w:r>
          </w:p>
        </w:tc>
        <w:tc>
          <w:tcPr>
            <w:tcW w:type="dxa" w:w="2062"/>
            <w:shd w:fill="E8EDF2" w:color="auto" w:val="clear"/>
            <w:tcMar>
              <w:top w:type="dxa" w:w="50"/>
              <w:left w:type="dxa" w:w="80"/>
              <w:bottom w:type="dxa" w:w="50"/>
              <w:right w:type="dxa" w:w="80"/>
            </w:tcMar>
          </w:tcPr>
          <w:p>
            <w:pPr>
              <w:spacing w:after="15" w:before="15" w:line="240"/>
              <w:jc w:val="left"/>
            </w:pPr>
            <w:r>
              <w:rPr>
                <w:b/>
                <w:bCs/>
                <w:sz w:val="18"/>
                <w:szCs w:val="18"/>
              </w:rPr>
              <w:t xml:space="preserve">Used</w:t>
            </w:r>
          </w:p>
        </w:tc>
        <w:tc>
          <w:tcPr>
            <w:tcW w:type="dxa" w:w="2850"/>
            <w:shd w:fill="E8EDF2" w:color="auto" w:val="clear"/>
            <w:tcMar>
              <w:top w:type="dxa" w:w="50"/>
              <w:left w:type="dxa" w:w="80"/>
              <w:bottom w:type="dxa" w:w="50"/>
              <w:right w:type="dxa" w:w="80"/>
            </w:tcMar>
          </w:tcPr>
          <w:p>
            <w:pPr>
              <w:spacing w:after="15" w:before="15" w:line="240"/>
              <w:jc w:val="left"/>
            </w:pPr>
            <w:r>
              <w:rPr>
                <w:b/>
                <w:bCs/>
                <w:sz w:val="18"/>
                <w:szCs w:val="18"/>
              </w:rPr>
              <w:t xml:space="preserve">Outcome or response</w:t>
            </w:r>
          </w:p>
        </w:tc>
      </w:tr>
      <w:tr>
        <w:trPr>
          <w:cantSplit w:val="false"/>
          <w:tblHeader w:val="false"/>
        </w:trPr>
        <w:tc>
          <w:tcPr>
            <w:tcW w:type="dxa" w:w="3152"/>
            <w:tcMar>
              <w:top w:type="dxa" w:w="50"/>
              <w:left w:type="dxa" w:w="80"/>
              <w:bottom w:type="dxa" w:w="50"/>
              <w:right w:type="dxa" w:w="80"/>
            </w:tcMar>
          </w:tcPr>
          <w:p>
            <w:pPr>
              <w:spacing w:after="15" w:before="15" w:line="240"/>
              <w:jc w:val="left"/>
            </w:pPr>
            <w:r>
              <w:rPr>
                <w:sz w:val="18"/>
                <w:szCs w:val="18"/>
              </w:rPr>
              <w:t xml:space="preserve">Russia against United States infrastructure, 2018 onwards</w:t>
            </w:r>
          </w:p>
        </w:tc>
        <w:tc>
          <w:tcPr>
            <w:tcW w:type="dxa" w:w="1296"/>
            <w:tcMar>
              <w:top w:type="dxa" w:w="50"/>
              <w:left w:type="dxa" w:w="80"/>
              <w:bottom w:type="dxa" w:w="50"/>
              <w:right w:type="dxa" w:w="80"/>
            </w:tcMar>
          </w:tcPr>
          <w:p>
            <w:pPr>
              <w:spacing w:after="15" w:before="15" w:line="240"/>
              <w:jc w:val="left"/>
            </w:pPr>
            <w:r>
              <w:rPr>
                <w:sz w:val="18"/>
                <w:szCs w:val="18"/>
              </w:rPr>
              <w:t xml:space="preserve">Yes</w:t>
            </w:r>
          </w:p>
        </w:tc>
        <w:tc>
          <w:tcPr>
            <w:tcW w:type="dxa" w:w="2062"/>
            <w:tcMar>
              <w:top w:type="dxa" w:w="50"/>
              <w:left w:type="dxa" w:w="80"/>
              <w:bottom w:type="dxa" w:w="50"/>
              <w:right w:type="dxa" w:w="80"/>
            </w:tcMar>
          </w:tcPr>
          <w:p>
            <w:pPr>
              <w:spacing w:after="15" w:before="15" w:line="240"/>
              <w:jc w:val="left"/>
            </w:pPr>
            <w:r>
              <w:rPr>
                <w:sz w:val="18"/>
                <w:szCs w:val="18"/>
              </w:rPr>
              <w:t xml:space="preserve">No, over seven years</w:t>
            </w:r>
          </w:p>
        </w:tc>
        <w:tc>
          <w:tcPr>
            <w:tcW w:type="dxa" w:w="2850"/>
            <w:tcMar>
              <w:top w:type="dxa" w:w="50"/>
              <w:left w:type="dxa" w:w="80"/>
              <w:bottom w:type="dxa" w:w="50"/>
              <w:right w:type="dxa" w:w="80"/>
            </w:tcMar>
          </w:tcPr>
          <w:p>
            <w:pPr>
              <w:spacing w:after="15" w:before="15" w:line="240"/>
              <w:jc w:val="left"/>
            </w:pPr>
            <w:r>
              <w:rPr>
                <w:sz w:val="18"/>
                <w:szCs w:val="18"/>
              </w:rPr>
              <w:t xml:space="preserve">No response recorded</w:t>
            </w:r>
          </w:p>
        </w:tc>
      </w:tr>
      <w:tr>
        <w:trPr>
          <w:cantSplit w:val="false"/>
          <w:tblHeader w:val="false"/>
        </w:trPr>
        <w:tc>
          <w:tcPr>
            <w:tcW w:type="dxa" w:w="3152"/>
            <w:tcMar>
              <w:top w:type="dxa" w:w="50"/>
              <w:left w:type="dxa" w:w="80"/>
              <w:bottom w:type="dxa" w:w="50"/>
              <w:right w:type="dxa" w:w="80"/>
            </w:tcMar>
          </w:tcPr>
          <w:p>
            <w:pPr>
              <w:spacing w:after="15" w:before="15" w:line="240"/>
              <w:jc w:val="left"/>
            </w:pPr>
            <w:r>
              <w:rPr>
                <w:sz w:val="18"/>
                <w:szCs w:val="18"/>
              </w:rPr>
              <w:t xml:space="preserve">Volt Typhoon, 2023 onwards</w:t>
            </w:r>
          </w:p>
        </w:tc>
        <w:tc>
          <w:tcPr>
            <w:tcW w:type="dxa" w:w="1296"/>
            <w:tcMar>
              <w:top w:type="dxa" w:w="50"/>
              <w:left w:type="dxa" w:w="80"/>
              <w:bottom w:type="dxa" w:w="50"/>
              <w:right w:type="dxa" w:w="80"/>
            </w:tcMar>
          </w:tcPr>
          <w:p>
            <w:pPr>
              <w:spacing w:after="15" w:before="15" w:line="240"/>
              <w:jc w:val="left"/>
            </w:pPr>
            <w:r>
              <w:rPr>
                <w:sz w:val="18"/>
                <w:szCs w:val="18"/>
              </w:rPr>
              <w:t xml:space="preserve">Yes</w:t>
            </w:r>
          </w:p>
        </w:tc>
        <w:tc>
          <w:tcPr>
            <w:tcW w:type="dxa" w:w="2062"/>
            <w:tcMar>
              <w:top w:type="dxa" w:w="50"/>
              <w:left w:type="dxa" w:w="80"/>
              <w:bottom w:type="dxa" w:w="50"/>
              <w:right w:type="dxa" w:w="80"/>
            </w:tcMar>
          </w:tcPr>
          <w:p>
            <w:pPr>
              <w:spacing w:after="15" w:before="15" w:line="240"/>
              <w:jc w:val="left"/>
            </w:pPr>
            <w:r>
              <w:rPr>
                <w:sz w:val="18"/>
                <w:szCs w:val="18"/>
              </w:rPr>
              <w:t xml:space="preserve">No to date</w:t>
            </w:r>
          </w:p>
        </w:tc>
        <w:tc>
          <w:tcPr>
            <w:tcW w:type="dxa" w:w="2850"/>
            <w:tcMar>
              <w:top w:type="dxa" w:w="50"/>
              <w:left w:type="dxa" w:w="80"/>
              <w:bottom w:type="dxa" w:w="50"/>
              <w:right w:type="dxa" w:w="80"/>
            </w:tcMar>
          </w:tcPr>
          <w:p>
            <w:pPr>
              <w:spacing w:after="15" w:before="15" w:line="240"/>
              <w:jc w:val="left"/>
            </w:pPr>
            <w:r>
              <w:rPr>
                <w:sz w:val="18"/>
                <w:szCs w:val="18"/>
              </w:rPr>
              <w:t xml:space="preserve">Technical advisory, no sanctions</w:t>
            </w:r>
          </w:p>
        </w:tc>
      </w:tr>
      <w:tr>
        <w:trPr>
          <w:cantSplit w:val="false"/>
          <w:tblHeader w:val="false"/>
        </w:trPr>
        <w:tc>
          <w:tcPr>
            <w:tcW w:type="dxa" w:w="3152"/>
            <w:tcMar>
              <w:top w:type="dxa" w:w="50"/>
              <w:left w:type="dxa" w:w="80"/>
              <w:bottom w:type="dxa" w:w="50"/>
              <w:right w:type="dxa" w:w="80"/>
            </w:tcMar>
          </w:tcPr>
          <w:p>
            <w:pPr>
              <w:spacing w:after="15" w:before="15" w:line="240"/>
              <w:jc w:val="left"/>
            </w:pPr>
            <w:r>
              <w:rPr>
                <w:sz w:val="18"/>
                <w:szCs w:val="18"/>
              </w:rPr>
              <w:t xml:space="preserve">Russia against Ukraine, 2021 to 2022</w:t>
            </w:r>
          </w:p>
        </w:tc>
        <w:tc>
          <w:tcPr>
            <w:tcW w:type="dxa" w:w="1296"/>
            <w:tcMar>
              <w:top w:type="dxa" w:w="50"/>
              <w:left w:type="dxa" w:w="80"/>
              <w:bottom w:type="dxa" w:w="50"/>
              <w:right w:type="dxa" w:w="80"/>
            </w:tcMar>
          </w:tcPr>
          <w:p>
            <w:pPr>
              <w:spacing w:after="15" w:before="15" w:line="240"/>
              <w:jc w:val="left"/>
            </w:pPr>
            <w:r>
              <w:rPr>
                <w:sz w:val="18"/>
                <w:szCs w:val="18"/>
              </w:rPr>
              <w:t xml:space="preserve">Yes</w:t>
            </w:r>
          </w:p>
        </w:tc>
        <w:tc>
          <w:tcPr>
            <w:tcW w:type="dxa" w:w="2062"/>
            <w:tcMar>
              <w:top w:type="dxa" w:w="50"/>
              <w:left w:type="dxa" w:w="80"/>
              <w:bottom w:type="dxa" w:w="50"/>
              <w:right w:type="dxa" w:w="80"/>
            </w:tcMar>
          </w:tcPr>
          <w:p>
            <w:pPr>
              <w:spacing w:after="15" w:before="15" w:line="240"/>
              <w:jc w:val="left"/>
            </w:pPr>
            <w:r>
              <w:rPr>
                <w:sz w:val="18"/>
                <w:szCs w:val="18"/>
              </w:rPr>
              <w:t xml:space="preserve">Yes, April 2022</w:t>
            </w:r>
          </w:p>
        </w:tc>
        <w:tc>
          <w:tcPr>
            <w:tcW w:type="dxa" w:w="2850"/>
            <w:tcMar>
              <w:top w:type="dxa" w:w="50"/>
              <w:left w:type="dxa" w:w="80"/>
              <w:bottom w:type="dxa" w:w="50"/>
              <w:right w:type="dxa" w:w="80"/>
            </w:tcMar>
          </w:tcPr>
          <w:p>
            <w:pPr>
              <w:spacing w:after="15" w:before="15" w:line="240"/>
              <w:jc w:val="left"/>
            </w:pPr>
            <w:r>
              <w:rPr>
                <w:sz w:val="18"/>
                <w:szCs w:val="18"/>
              </w:rPr>
              <w:t xml:space="preserve">Attempt defeated by defence</w:t>
            </w:r>
          </w:p>
        </w:tc>
      </w:tr>
    </w:tbl>
    <w:p>
      <w:pPr>
        <w:spacing w:after="160"/>
      </w:pPr>
      <w:r>
        <w:t xml:space="preserve"/>
      </w:r>
    </w:p>
    <w:p>
      <w:pPr>
        <w:spacing w:after="140" w:line="300"/>
        <w:jc w:val="both"/>
      </w:pPr>
      <w:r>
        <w:t xml:space="preserve">The Russian case of 2018, reported by Codreanu (2025) from Lonergan and Poznansky (2025), supplies the negative instance. The Ukrainian case, reported by Willett (2022), supplies the only conversion to attack. Comparisons within the same family are available in the Flax, Salt and Silk Typhoon campaigns identified by Singh, Jash and Nanjappa (2025). Estonia in 2007 offers a control case of threshold discovery by probing rather than by presence.</w:t>
      </w:r>
    </w:p>
    <w:p>
      <w:pPr>
        <w:pStyle w:val="Heading2"/>
        <w:keepNext/>
        <w:spacing w:after="140" w:before="240"/>
      </w:pPr>
      <w:r>
        <w:t xml:space="preserve">5.3 Data sources</w:t>
      </w:r>
    </w:p>
    <w:p>
      <w:pPr>
        <w:spacing w:after="140" w:line="300"/>
        <w:jc w:val="both"/>
      </w:pPr>
      <w:r>
        <w:t xml:space="preserve">The European Repository of Cyber Incidents, compiled by Zettl-Schabath et al. (2025) and used by Baram (2026), supplies a structured incident base and removes the need to construct one. This is supplemented by official attribution statements and advisories. Commercial threat reports are treated as interested evidence rather than as neutral fact, a caution the literature itself warrants given the uncritical use of vendor trend data by Butt and Ulina (2026).</w:t>
      </w:r>
    </w:p>
    <w:p>
      <w:pPr>
        <w:pStyle w:val="Heading2"/>
        <w:keepNext/>
        <w:spacing w:after="140" w:before="240"/>
      </w:pPr>
      <w:r>
        <w:t xml:space="preserve">5.4 Analytical framework</w:t>
      </w:r>
    </w:p>
    <w:p>
      <w:pPr>
        <w:spacing w:after="140" w:line="300"/>
        <w:jc w:val="both"/>
      </w:pPr>
      <w:r>
        <w:t xml:space="preserve">Coding proceeds on two levels, following the design used by Baram (2026), in which typology construction precedes case coding.</w:t>
      </w:r>
    </w:p>
    <w:p>
      <w:pPr>
        <w:spacing w:after="140" w:line="300"/>
        <w:jc w:val="both"/>
      </w:pPr>
      <w:r>
        <w:t xml:space="preserve">At the level of the act, each campaign is coded on four dimensions: intelligence yield and operational leverage, following Guttieri (2025); estimated persistence cost, proxied by dwell time, tradecraft and degree of automation; and target contingency specificity, meaning whether the value of the compromised node is tied to a named contingency, as with Guam and a Taiwan scenario (Dimitrov and Andreev, 2025), or is generic.</w:t>
      </w:r>
    </w:p>
    <w:p>
      <w:pPr>
        <w:spacing w:after="140" w:line="300"/>
        <w:jc w:val="both"/>
      </w:pPr>
      <w:r>
        <w:t xml:space="preserve">At the level of the response, the reaction of the target state is coded using the four modes of jointness set out by Baram (2026), which distinguish technical from diplomatic action.</w:t>
      </w:r>
    </w:p>
    <w:p>
      <w:pPr>
        <w:spacing w:after="140" w:line="300"/>
        <w:jc w:val="both"/>
      </w:pPr>
      <w:r>
        <w:t xml:space="preserve">The dependent variable is the distance between the two levels, that is, whether an act coded as high leverage and low intelligence yield draws a correspondingly political response or is directed to network defenders.</w:t>
      </w:r>
    </w:p>
    <w:p>
      <w:pPr>
        <w:pStyle w:val="Heading2"/>
        <w:keepNext/>
        <w:spacing w:after="140" w:before="240"/>
      </w:pPr>
      <w:r>
        <w:t xml:space="preserve">5.5 Discriminating between the hypotheses</w:t>
      </w:r>
    </w:p>
    <w:p>
      <w:pPr>
        <w:spacing w:after="140" w:line="300"/>
        <w:jc w:val="both"/>
      </w:pPr>
      <w:r>
        <w:t xml:space="preserve">The first hypothesis predicts that the distance between interpretation and response widens over time as persistence cost falls. The second predicts that the distance is constant and tracks threshold calibration rather than cost. Coding response mode against estimated persistence cost across the case set distinguishes them.</w:t>
      </w:r>
    </w:p>
    <w:p>
      <w:pPr>
        <w:pStyle w:val="Heading2"/>
        <w:keepNext/>
        <w:spacing w:after="140" w:before="240"/>
      </w:pPr>
      <w:r>
        <w:t xml:space="preserve">5.6 Limitations</w:t>
      </w:r>
    </w:p>
    <w:p>
      <w:pPr>
        <w:spacing w:after="140" w:line="300"/>
        <w:jc w:val="both"/>
      </w:pPr>
      <w:r>
        <w:t xml:space="preserve">Persistence cost cannot be observed directly and must be proxied. Adversary intent is inaccessible. The literature is oriented toward the United States and contains no Chinese-language sources. Claims about the pace of autonomy rest on a small number of sources and will require supplementary material, principally benchmark results. The case set is small, which supports structured comparison but not statistical inference.</w:t>
      </w:r>
    </w:p>
    <w:p>
      <w:pPr>
        <w:pBdr>
          <w:bottom w:val="single" w:color="BBBBBB" w:sz="6" w:space="1"/>
        </w:pBdr>
        <w:spacing w:after="120" w:before="120"/>
      </w:pPr>
      <w:r>
        <w:t xml:space="preserve"/>
      </w:r>
    </w:p>
    <w:p>
      <w:pPr>
        <w:pStyle w:val="Heading1"/>
        <w:keepNext/>
        <w:spacing w:after="140" w:before="360"/>
      </w:pPr>
      <w:r>
        <w:t xml:space="preserve">6. Findings from the Literature</w:t>
      </w:r>
    </w:p>
    <w:p>
      <w:pPr>
        <w:pStyle w:val="Heading2"/>
        <w:keepNext/>
        <w:spacing w:after="140" w:before="240"/>
      </w:pPr>
      <w:r>
        <w:t xml:space="preserve">6.1 Established</w:t>
      </w:r>
    </w:p>
    <w:p>
      <w:pPr>
        <w:spacing w:after="140" w:line="300"/>
        <w:jc w:val="both"/>
      </w:pPr>
      <w:r>
        <w:t xml:space="preserve">Cyber competition is continuous rather than episodic (Guttieri, 2025; Sullivan, 2025). Critical infrastructure is the contested object. Pre-positioning in United States infrastructure occurred and was officially attributed (Guttieri, 2025; Codreanu, 2025; Baram, 2026). Defensive automation is being developed and deployed (Yigit et al., 2025; Kabir et al., 2026).</w:t>
      </w:r>
    </w:p>
    <w:p>
      <w:pPr>
        <w:pStyle w:val="Heading2"/>
        <w:keepNext/>
        <w:spacing w:after="140" w:before="240"/>
      </w:pPr>
      <w:r>
        <w:t xml:space="preserve">6.2 Contested</w:t>
      </w:r>
    </w:p>
    <w:p>
      <w:pPr>
        <w:spacing w:after="140" w:line="300"/>
        <w:jc w:val="both"/>
      </w:pPr>
      <w:r>
        <w:t xml:space="preserve">Whether offence-defence theory applies to cyberspace, with Maschmeyer (2023) against. The direction of the balance, with Butt and Ulina (2026) for offence, and Lindsay via Pokorny (2026) together with Willett (2022) for defence. Whether pre-positioning communicates intent, with Dimitrov and Andreev (2025) for and Braccia (2025) against. Whether cyber operations are cheap, with Sullivan (2025) and Guttieri (2025) in tension.</w:t>
      </w:r>
    </w:p>
    <w:p>
      <w:pPr>
        <w:pStyle w:val="Heading2"/>
        <w:keepNext/>
        <w:spacing w:after="140" w:before="240"/>
      </w:pPr>
      <w:r>
        <w:t xml:space="preserve">6.3 Emerging</w:t>
      </w:r>
    </w:p>
    <w:p>
      <w:pPr>
        <w:spacing w:after="140" w:line="300"/>
        <w:jc w:val="both"/>
      </w:pPr>
      <w:r>
        <w:t xml:space="preserve">Artificial intelligence assisted offensive tooling at the level of task support (Butt and Ulina, 2026). Resilience reframed as an operational capability rather than an information technology function (Guttieri, 2025). Attribution understood as an instrument of signalling in its own right (Baram, 2026; Sullivan, 2025).</w:t>
      </w:r>
    </w:p>
    <w:p>
      <w:pPr>
        <w:pStyle w:val="Heading2"/>
        <w:keepNext/>
        <w:spacing w:after="140" w:before="240"/>
      </w:pPr>
      <w:r>
        <w:t xml:space="preserve">6.4 Insufficient evidence</w:t>
      </w:r>
    </w:p>
    <w:p>
      <w:pPr>
        <w:spacing w:after="140" w:line="300"/>
        <w:jc w:val="both"/>
      </w:pPr>
      <w:r>
        <w:t xml:space="preserve">The rate at which autonomy diffuses. Any measurement of the offence-defence balance. The cost structure of persistent access. Adversary intent behind pre-positioning. Chinese doctrinal reasoning.</w:t>
      </w:r>
    </w:p>
    <w:p>
      <w:pPr>
        <w:spacing w:after="140" w:line="300"/>
        <w:jc w:val="both"/>
      </w:pPr>
      <w:r>
        <w:t xml:space="preserve">One absence constrains the whole field. Pre-positioning has twice been followed by prolonged non-use and once by a defeated attempt. There is no case of pre-positioning followed by successful strategic effect. Every inference in this literature about what pre-positioning portends therefore rests on no positive instances.</w:t>
      </w:r>
    </w:p>
    <w:p>
      <w:pPr>
        <w:pStyle w:val="Heading2"/>
        <w:keepNext/>
        <w:spacing w:after="140" w:before="240"/>
      </w:pPr>
      <w:r>
        <w:t xml:space="preserve">6.5 Implications for strategy and policy</w:t>
      </w:r>
    </w:p>
    <w:p>
      <w:pPr>
        <w:spacing w:after="140" w:line="300"/>
        <w:jc w:val="both"/>
      </w:pPr>
      <w:r>
        <w:t xml:space="preserve">Two risks follow, running in opposite directions, and the evidence supports both.</w:t>
      </w:r>
    </w:p>
    <w:p>
      <w:pPr>
        <w:spacing w:after="140" w:line="300"/>
        <w:jc w:val="both"/>
      </w:pPr>
      <w:r>
        <w:t xml:space="preserve">Under the first hypothesis, if Guttieri's rule is the operative heuristic of doctrine and autonomy erodes its cost premise, the risk is misattributed intent at scale, meaning automated persistence read as deliberate warning. Given the interdependence of cyber, space and nuclear systems that Guttieri describes, such a misreading is escalatory.</w:t>
      </w:r>
    </w:p>
    <w:p>
      <w:pPr>
        <w:spacing w:after="140" w:line="300"/>
        <w:jc w:val="both"/>
      </w:pPr>
      <w:r>
        <w:t xml:space="preserve">Under the second hypothesis, the risk runs the other way. If pre-positioning is calibrated to remain below the threshold of response, and states duly answer with technical advisories, then genuine preparation is being processed as a matter of network defence. The risk is failure of warning, and the difference in response between Volt Typhoon and Salt Typhoon suggests it may already be occurring.</w:t>
      </w:r>
    </w:p>
    <w:p>
      <w:pPr>
        <w:spacing w:after="140" w:line="300"/>
        <w:jc w:val="both"/>
      </w:pPr>
      <w:r>
        <w:t xml:space="preserve">These are not alternatives to choose between. They are the two ways in which a degraded signal fails. Degradation of the signal, rather than dominance of offence, is the mechanism by which autonomy would destabilise, and this is the reframing the literature can support.</w:t>
      </w:r>
    </w:p>
    <w:p>
      <w:pPr>
        <w:pBdr>
          <w:bottom w:val="single" w:color="BBBBBB" w:sz="6" w:space="1"/>
        </w:pBdr>
        <w:spacing w:after="120" w:before="120"/>
      </w:pPr>
      <w:r>
        <w:t xml:space="preserve"/>
      </w:r>
    </w:p>
    <w:p>
      <w:pPr>
        <w:pStyle w:val="Heading1"/>
        <w:keepNext/>
        <w:spacing w:after="140" w:before="360"/>
      </w:pPr>
      <w:r>
        <w:t xml:space="preserve">7. Research Contribution</w:t>
      </w:r>
    </w:p>
    <w:p>
      <w:pPr>
        <w:pStyle w:val="Heading2"/>
        <w:keepNext/>
        <w:spacing w:after="140" w:before="240"/>
      </w:pPr>
      <w:r>
        <w:t xml:space="preserve">7.1 Contribution to scholarship</w:t>
      </w:r>
    </w:p>
    <w:p>
      <w:pPr>
        <w:spacing w:after="140" w:line="300"/>
        <w:jc w:val="both"/>
      </w:pPr>
      <w:r>
        <w:t xml:space="preserve">The study examines an intersection the literature has named but not investigated. Melella (n.d.) proposes examining how emerging technologies affect the offence-defence balance and then examines coordination. Fifteen of the sixteen works reviewed sustain the separation from both sides, since those that theorise strategy do not discuss artificial intelligence and those that examine artificial intelligence do not discuss deterrence, signalling or the balance.</w:t>
      </w:r>
    </w:p>
    <w:p>
      <w:pPr>
        <w:spacing w:after="140" w:line="300"/>
        <w:jc w:val="both"/>
      </w:pPr>
      <w:r>
        <w:t xml:space="preserve">The study identifies and examines the cost premise in the leading account of pre-positioning as signal, a premise Guttieri (2025) states without examining and Sullivan (2025) contradicts from within the same journal issue.</w:t>
      </w:r>
    </w:p>
    <w:p>
      <w:pPr>
        <w:spacing w:after="140" w:line="300"/>
        <w:jc w:val="both"/>
      </w:pPr>
      <w:r>
        <w:t xml:space="preserve">It reconciles a discrepancy between interpretation and response. Guttieri establishes that pre-positioning reads as preparation for conflict. Baram (2026) demonstrates that states do not respond as though it does. The difference between the responses to Volt Typhoon and Salt Typhoon sharpens the point. No existing work joins these findings.</w:t>
      </w:r>
    </w:p>
    <w:p>
      <w:pPr>
        <w:spacing w:after="140" w:line="300"/>
        <w:jc w:val="both"/>
      </w:pPr>
      <w:r>
        <w:t xml:space="preserve">It records an evidentiary fact the field has not confronted, namely that no documented case exists of pre-positioning followed by successful strategic effect.</w:t>
      </w:r>
    </w:p>
    <w:p>
      <w:pPr>
        <w:pStyle w:val="Heading2"/>
        <w:keepNext/>
        <w:spacing w:after="140" w:before="240"/>
      </w:pPr>
      <w:r>
        <w:t xml:space="preserve">7.2 Academic significance</w:t>
      </w:r>
    </w:p>
    <w:p>
      <w:pPr>
        <w:spacing w:after="140" w:line="300"/>
        <w:jc w:val="both"/>
      </w:pPr>
      <w:r>
        <w:t xml:space="preserve">The study reframes the offence-defence question in terms the literature can sustain. Rather than asking whether autonomy favours attack or defence, which the literature offers no means of measuring, it asks what autonomy does to the information content of observable acts. That question can be answered.</w:t>
      </w:r>
    </w:p>
    <w:p>
      <w:pPr>
        <w:pStyle w:val="Heading2"/>
        <w:keepNext/>
        <w:spacing w:after="140" w:before="240"/>
      </w:pPr>
      <w:r>
        <w:t xml:space="preserve">7.3 Significance for policymakers and planners</w:t>
      </w:r>
    </w:p>
    <w:p>
      <w:pPr>
        <w:spacing w:after="140" w:line="300"/>
        <w:jc w:val="both"/>
      </w:pPr>
      <w:r>
        <w:t xml:space="preserve">Doctrine treats infrastructure pre-positioning as strategic warning. The two hypotheses carry opposite policy implications and both are live. Distinguishing them determines whether the appropriate correction is restraint in response or escalation of it. Given that limited cyber effects can, in Guttieri's account, escalate tensions beyond their intended scope, the cost of choosing wrongly is high.</w:t>
      </w:r>
    </w:p>
    <w:p>
      <w:pPr>
        <w:pBdr>
          <w:bottom w:val="single" w:color="BBBBBB" w:sz="6" w:space="1"/>
        </w:pBdr>
        <w:spacing w:after="120" w:before="120"/>
      </w:pPr>
      <w:r>
        <w:t xml:space="preserve"/>
      </w:r>
    </w:p>
    <w:p>
      <w:pPr>
        <w:pStyle w:val="Heading1"/>
        <w:keepNext/>
        <w:spacing w:after="140" w:before="360"/>
      </w:pPr>
      <w:r>
        <w:t xml:space="preserve">8. Conclusion</w:t>
      </w:r>
    </w:p>
    <w:p>
      <w:pPr>
        <w:spacing w:after="140" w:line="300"/>
        <w:jc w:val="both"/>
      </w:pPr>
      <w:r>
        <w:t xml:space="preserve">The strategic meaning of cyber pre-positioning rests on an assumption about cost that the literature states without examining. Persistent access is read as preparation for conflict because remaining undetected is held to be expensive. Machine autonomy bears directly on that assumption, and no study has asked how.</w:t>
      </w:r>
    </w:p>
    <w:p>
      <w:pPr>
        <w:spacing w:after="140" w:line="300"/>
        <w:jc w:val="both"/>
      </w:pPr>
      <w:r>
        <w:t xml:space="preserve">The evidence assembled here suggests the problem is more fundamental than the erosion of a working signal. Pre-positioning already performs poorly as a signal. It fails to reach political decision-makers, it is denied by the state to which it is attributed, and it draws a technical response where a graver reading would require a political one. The one case in which response has been coded systematically produced no sanctions, while a lesser campaign by the same adversary in the same period produced them.</w:t>
      </w:r>
    </w:p>
    <w:p>
      <w:pPr>
        <w:spacing w:after="140" w:line="300"/>
        <w:jc w:val="both"/>
      </w:pPr>
      <w:r>
        <w:t xml:space="preserve">Whether autonomy degrades a channel that once carried information, or increases the rate at which options are acquired through a channel that never carried any, is the open question. This paper does not settle it. It establishes that the question is answerable, specifies the two explanations that contend, and proposes a design capable of separating them.</w:t>
      </w:r>
    </w:p>
    <w:p>
      <w:pPr>
        <w:spacing w:after="140" w:line="300"/>
        <w:jc w:val="both"/>
      </w:pPr>
      <w:r>
        <w:t xml:space="preserve">The stakes are not academic. If states read automated persistence as deliberate warning, they may escalate against activity that carries no message. If they continue to treat genuine preparation as a matter for network defenders, they may fail to answer activity that does. Both errors follow from the same weakness in the signal, and neither can be corrected without first establishing whether the signal exists.</w:t>
      </w:r>
    </w:p>
    <w:p>
      <w:pPr>
        <w:pBdr>
          <w:bottom w:val="single" w:color="BBBBBB" w:sz="6" w:space="1"/>
        </w:pBdr>
        <w:spacing w:after="120" w:before="120"/>
      </w:pPr>
      <w:r>
        <w:t xml:space="preserve"/>
      </w:r>
    </w:p>
    <w:p>
      <w:pPr>
        <w:pStyle w:val="Heading1"/>
        <w:keepNext/>
        <w:spacing w:after="140" w:before="360"/>
      </w:pPr>
      <w:r>
        <w:t xml:space="preserve">References</w:t>
      </w:r>
    </w:p>
    <w:p>
      <w:pPr>
        <w:spacing w:after="140" w:line="300"/>
        <w:jc w:val="both"/>
      </w:pPr>
      <w:r>
        <w:t xml:space="preserve">Baram, G. (2026). Re-ordering accountability: The significance of joint public attribution in a fragmented cyberspace. </w:t>
      </w:r>
      <w:r>
        <w:rPr>
          <w:i/>
          <w:iCs/>
        </w:rPr>
        <w:t xml:space="preserve">Contemporary Security Policy</w:t>
      </w:r>
      <w:r>
        <w:t xml:space="preserve">. Advance online publication. https://doi.org/10.1080/13523260.2026.2662220</w:t>
      </w:r>
    </w:p>
    <w:p>
      <w:pPr>
        <w:spacing w:after="140" w:line="300"/>
        <w:jc w:val="both"/>
      </w:pPr>
      <w:r>
        <w:t xml:space="preserve">Braccia, C. (2025). </w:t>
      </w:r>
      <w:r>
        <w:rPr>
          <w:i/>
          <w:iCs/>
        </w:rPr>
        <w:t xml:space="preserve">From Vietnam to Volt Typhoon: How the PRC refined grey zone cyber tactics before targeting the West</w:t>
      </w:r>
      <w:r>
        <w:t xml:space="preserve"> [Preprint]. Authorea. https://doi.org/10.22541/au.175390612.20874865/v1</w:t>
      </w:r>
    </w:p>
    <w:p>
      <w:pPr>
        <w:spacing w:after="140" w:line="300"/>
        <w:jc w:val="both"/>
      </w:pPr>
      <w:r>
        <w:t xml:space="preserve">Butt, M. S., &amp; Ulina, N. S. (2026). Cyber warfare in the AI era: Emerging attack trends, defensive strategies and policy challenges, 2022-2026. </w:t>
      </w:r>
      <w:r>
        <w:rPr>
          <w:i/>
          <w:iCs/>
        </w:rPr>
        <w:t xml:space="preserve">The Critical Review of Social Sciences Studies, 4</w:t>
      </w:r>
      <w:r>
        <w:t xml:space="preserve">(1), 6176-6192.</w:t>
      </w:r>
    </w:p>
    <w:p>
      <w:pPr>
        <w:spacing w:after="140" w:line="300"/>
        <w:jc w:val="both"/>
      </w:pPr>
      <w:r>
        <w:t xml:space="preserve">Codreanu, C. (2025). </w:t>
      </w:r>
      <w:r>
        <w:rPr>
          <w:i/>
          <w:iCs/>
        </w:rPr>
        <w:t xml:space="preserve">Typhoons, bears, and pandas: Latest major cyber espionage campaigns</w:t>
      </w:r>
      <w:r>
        <w:t xml:space="preserve"> (Policy Paper No. 43). Romanian Diplomatic Institute.</w:t>
      </w:r>
    </w:p>
    <w:p>
      <w:pPr>
        <w:spacing w:after="140" w:line="300"/>
        <w:jc w:val="both"/>
      </w:pPr>
      <w:r>
        <w:t xml:space="preserve">Dimitrov, D., &amp; Andreev, E. (2025). China's strategic competition in cyberspace: Volt Typhoon and Salt Typhoon as a projection of power, a more aggressive posture and a future beyond espionage. In </w:t>
      </w:r>
      <w:r>
        <w:rPr>
          <w:i/>
          <w:iCs/>
        </w:rPr>
        <w:t xml:space="preserve">Environment. Technology. Resources: Proceedings of the 16th International Scientific and Practical Conference</w:t>
      </w:r>
      <w:r>
        <w:t xml:space="preserve"> (Vol. 2, pp. 115-122). RTU Press. https://doi.org/10.17770/etr2025vol2.8618</w:t>
      </w:r>
    </w:p>
    <w:p>
      <w:pPr>
        <w:spacing w:after="140" w:line="300"/>
        <w:jc w:val="both"/>
      </w:pPr>
      <w:r>
        <w:t xml:space="preserve">Ferdaus, M. H., Kaosar, M. G., Alharbi, F., Ali, M. S., Islam, M. M., &amp; Buyya, R. (n.d.). </w:t>
      </w:r>
      <w:r>
        <w:rPr>
          <w:i/>
          <w:iCs/>
        </w:rPr>
        <w:t xml:space="preserve">The digital face of espionage: Analyzing cyber threats to national security</w:t>
      </w:r>
      <w:r>
        <w:t xml:space="preserve"> [Book chapter]. SSRN. https://ssrn.com/abstract=5249574</w:t>
      </w:r>
    </w:p>
    <w:p>
      <w:pPr>
        <w:spacing w:after="140" w:line="300"/>
        <w:jc w:val="both"/>
      </w:pPr>
      <w:r>
        <w:t xml:space="preserve">Guttieri, K. (2025). Fighting through disruption: Reframing cyber resilience for power projection and strategic credibility. </w:t>
      </w:r>
      <w:r>
        <w:rPr>
          <w:i/>
          <w:iCs/>
        </w:rPr>
        <w:t xml:space="preserve">The Cyber Defense Review, 10</w:t>
      </w:r>
      <w:r>
        <w:t xml:space="preserve">(1), 93-114. https://doi.org/10.55682/cdr/egvf-mkys</w:t>
      </w:r>
    </w:p>
    <w:p>
      <w:pPr>
        <w:spacing w:after="140" w:line="300"/>
        <w:jc w:val="both"/>
      </w:pPr>
      <w:r>
        <w:t xml:space="preserve">Kabir, M. H., Siddike, M. A. M., Razib, M. D., &amp; Uddin, M. R. (2026). A national-scale AI-driven cyber defense framework for protecting U.S. critical infrastructure against nation-state attacks. </w:t>
      </w:r>
      <w:r>
        <w:rPr>
          <w:i/>
          <w:iCs/>
        </w:rPr>
        <w:t xml:space="preserve">Journal of Computer Science and Technology Studies, 8</w:t>
      </w:r>
      <w:r>
        <w:t xml:space="preserve">(6), 94-107.</w:t>
      </w:r>
    </w:p>
    <w:p>
      <w:pPr>
        <w:spacing w:after="140" w:line="300"/>
        <w:jc w:val="both"/>
      </w:pPr>
      <w:r>
        <w:t xml:space="preserve">Maschmeyer, L. (2023). Subversion, cyber operations, and reverse structural power in world politics. </w:t>
      </w:r>
      <w:r>
        <w:rPr>
          <w:i/>
          <w:iCs/>
        </w:rPr>
        <w:t xml:space="preserve">European Journal of International Relations, 29</w:t>
      </w:r>
      <w:r>
        <w:t xml:space="preserve">(1), 79-103. https://doi.org/10.1177/13540661221117051</w:t>
      </w:r>
    </w:p>
    <w:p>
      <w:pPr>
        <w:spacing w:after="140" w:line="300"/>
        <w:jc w:val="both"/>
      </w:pPr>
      <w:r>
        <w:t xml:space="preserve">Melella, C. (n.d.). </w:t>
      </w:r>
      <w:r>
        <w:rPr>
          <w:i/>
          <w:iCs/>
        </w:rPr>
        <w:t xml:space="preserve">Coordination in offensive and defensive cyberoperations: Dissecting China, Russia, and NATO's approaches in cyberspace</w:t>
      </w:r>
      <w:r>
        <w:t xml:space="preserve"> [Doctoral dissertation, Universita degli Studi di Genova].</w:t>
      </w:r>
    </w:p>
    <w:p>
      <w:pPr>
        <w:spacing w:after="140" w:line="300"/>
        <w:jc w:val="both"/>
      </w:pPr>
      <w:r>
        <w:t xml:space="preserve">Pokorny, L. (2026). </w:t>
      </w:r>
      <w:r>
        <w:rPr>
          <w:i/>
          <w:iCs/>
        </w:rPr>
        <w:t xml:space="preserve">Offensive cyber and information warfare strategies targeting People's Republic of China military command, control, communications, computers, intelligence, surveillance, and reconnaissance (C4ISR) systems: A qualitative analysis</w:t>
      </w:r>
      <w:r>
        <w:t xml:space="preserve">. ICL Institute. https://doi.org/10.5281/zenodo.19234589</w:t>
      </w:r>
    </w:p>
    <w:p>
      <w:pPr>
        <w:spacing w:after="140" w:line="300"/>
        <w:jc w:val="both"/>
      </w:pPr>
      <w:r>
        <w:t xml:space="preserve">Singh, N. K., Jash, A., &amp; Nanjappa, Y. (2025). Navigating the nexus: Geopolitical, international relations and technical dimensions of US-China cyber strategic competition. </w:t>
      </w:r>
      <w:r>
        <w:rPr>
          <w:i/>
          <w:iCs/>
        </w:rPr>
        <w:t xml:space="preserve">Cogent Social Sciences, 11</w:t>
      </w:r>
      <w:r>
        <w:t xml:space="preserve">(1), 2499171. https://doi.org/10.1080/23311886.2025.2499171</w:t>
      </w:r>
    </w:p>
    <w:p>
      <w:pPr>
        <w:spacing w:after="140" w:line="300"/>
        <w:jc w:val="both"/>
      </w:pPr>
      <w:r>
        <w:t xml:space="preserve">Sullivan, S. (2025). Toward clarity in cyber's "fog of law". </w:t>
      </w:r>
      <w:r>
        <w:rPr>
          <w:i/>
          <w:iCs/>
        </w:rPr>
        <w:t xml:space="preserve">The Cyber Defense Review, 10</w:t>
      </w:r>
      <w:r>
        <w:t xml:space="preserve">(1), 59-71. https://doi.org/10.55682/cdr/v8z4-sxne</w:t>
      </w:r>
    </w:p>
    <w:p>
      <w:pPr>
        <w:spacing w:after="140" w:line="300"/>
        <w:jc w:val="both"/>
      </w:pPr>
      <w:r>
        <w:t xml:space="preserve">Urbanczyk, J., Skoumal, C., Elshareif, M., Sultana, H., &amp; Plass, M. R. (2025). </w:t>
      </w:r>
      <w:r>
        <w:rPr>
          <w:i/>
          <w:iCs/>
        </w:rPr>
        <w:t xml:space="preserve">State-sponsored intrusions and critical infrastructure: A case study of the Salt Typhoon cyberattack on U.S.</w:t>
      </w:r>
      <w:r>
        <w:t xml:space="preserve"> [Preprint]. TechRxiv. https://doi.org/10.36227/techrxiv.175085869.97198541/v1</w:t>
      </w:r>
    </w:p>
    <w:p>
      <w:pPr>
        <w:spacing w:after="140" w:line="300"/>
        <w:jc w:val="both"/>
      </w:pPr>
      <w:r>
        <w:t xml:space="preserve">Willett, M. (2022). The cyber dimension of the Russia-Ukraine war. </w:t>
      </w:r>
      <w:r>
        <w:rPr>
          <w:i/>
          <w:iCs/>
        </w:rPr>
        <w:t xml:space="preserve">Survival, 64</w:t>
      </w:r>
      <w:r>
        <w:t xml:space="preserve">(5), 7-26. https://doi.org/10.1080/00396338.2022.2126193</w:t>
      </w:r>
    </w:p>
    <w:p>
      <w:pPr>
        <w:spacing w:after="140" w:line="300"/>
        <w:jc w:val="both"/>
      </w:pPr>
      <w:r>
        <w:t xml:space="preserve">Yigit, Y., Ferrag, M. A., Ghanem, M. C., Sarker, I. H., Maglaras, L. A., Chrysoulas, C., Moradpoor, N., Tihanyi, N., &amp; Janicke, H. (2025). Generative AI and LLMs for critical infrastructure protection: Evaluation benchmarks, agentic AI, challenges, and opportunities. </w:t>
      </w:r>
      <w:r>
        <w:rPr>
          <w:i/>
          <w:iCs/>
        </w:rPr>
        <w:t xml:space="preserve">Sensors, 25</w:t>
      </w:r>
      <w:r>
        <w:t xml:space="preserve">(6), 1666. https://doi.org/10.3390/s25061666</w:t>
      </w:r>
    </w:p>
    <w:p>
      <w:pPr>
        <w:pStyle w:val="Heading2"/>
        <w:keepNext/>
        <w:spacing w:after="140" w:before="240"/>
      </w:pPr>
      <w:r>
        <w:t xml:space="preserve">Appendix to the references: works cited at second hand</w:t>
      </w:r>
    </w:p>
    <w:p>
      <w:pPr>
        <w:spacing w:after="140" w:line="300"/>
        <w:jc w:val="both"/>
      </w:pPr>
      <w:r>
        <w:t xml:space="preserve">Each work below is referred to in this paper only as reported by one of the sixteen works reviewed. None has been consulted in the original. They are listed separately from the references proper so that the distinction is clear, and each should be obtained and verified before the argument is submitted.</w:t>
      </w:r>
    </w:p>
    <w:p>
      <w:pPr>
        <w:spacing w:after="140" w:line="300"/>
        <w:jc w:val="both"/>
      </w:pPr>
      <w:r>
        <w:t xml:space="preserve">Buchanan, B. </w:t>
      </w:r>
      <w:r>
        <w:rPr>
          <w:i/>
          <w:iCs/>
        </w:rPr>
        <w:t xml:space="preserve">The cybersecurity dilemma</w:t>
      </w:r>
      <w:r>
        <w:t xml:space="preserve">. Reported in Guttieri (2025).</w:t>
      </w:r>
    </w:p>
    <w:p>
      <w:pPr>
        <w:spacing w:after="140" w:line="300"/>
        <w:jc w:val="both"/>
      </w:pPr>
      <w:r>
        <w:t xml:space="preserve">Cunningham, F. (2022). Reported in Guttieri (2025).</w:t>
      </w:r>
    </w:p>
    <w:p>
      <w:pPr>
        <w:spacing w:after="140" w:line="300"/>
        <w:jc w:val="both"/>
      </w:pPr>
      <w:r>
        <w:t xml:space="preserve">Eichensehr, K. E. (2020). The law and politics of cyberattack attribution. </w:t>
      </w:r>
      <w:r>
        <w:rPr>
          <w:i/>
          <w:iCs/>
        </w:rPr>
        <w:t xml:space="preserve">UCLA Law Review, 67</w:t>
      </w:r>
      <w:r>
        <w:t xml:space="preserve">, 520-598. Reported in Sullivan (2025).</w:t>
      </w:r>
    </w:p>
    <w:p>
      <w:pPr>
        <w:spacing w:after="140" w:line="300"/>
        <w:jc w:val="both"/>
      </w:pPr>
      <w:r>
        <w:t xml:space="preserve">Fischerkeller, M., Goldman, E., &amp; Harknett, R. </w:t>
      </w:r>
      <w:r>
        <w:rPr>
          <w:i/>
          <w:iCs/>
        </w:rPr>
        <w:t xml:space="preserve">Cyber persistence theory: Redefining national security in cyberspace</w:t>
      </w:r>
      <w:r>
        <w:t xml:space="preserve">. Reported in Guttieri (2025) and Sullivan (2025).</w:t>
      </w:r>
    </w:p>
    <w:p>
      <w:pPr>
        <w:spacing w:after="140" w:line="300"/>
        <w:jc w:val="both"/>
      </w:pPr>
      <w:r>
        <w:t xml:space="preserve">Gartzke, E., &amp; Lindsay, J. (2015). Reported in Maschmeyer (2023).</w:t>
      </w:r>
    </w:p>
    <w:p>
      <w:pPr>
        <w:spacing w:after="140" w:line="300"/>
        <w:jc w:val="both"/>
      </w:pPr>
      <w:r>
        <w:t xml:space="preserve">Libicki, M. (2009). </w:t>
      </w:r>
      <w:r>
        <w:rPr>
          <w:i/>
          <w:iCs/>
        </w:rPr>
        <w:t xml:space="preserve">Cyberdeterrence and cyberwar</w:t>
      </w:r>
      <w:r>
        <w:t xml:space="preserve">. RAND. Reported in Maschmeyer (2023).</w:t>
      </w:r>
    </w:p>
    <w:p>
      <w:pPr>
        <w:spacing w:after="140" w:line="300"/>
        <w:jc w:val="both"/>
      </w:pPr>
      <w:r>
        <w:t xml:space="preserve">Lindsay, J. R. (2013). Reported in Pokorny (2026). This is the source of the claim that the balance favours defence at the strategic level, and it requires verification.</w:t>
      </w:r>
    </w:p>
    <w:p>
      <w:pPr>
        <w:spacing w:after="140" w:line="300"/>
        <w:jc w:val="both"/>
      </w:pPr>
      <w:r>
        <w:t xml:space="preserve">Lonergan, S., &amp; Poznansky, M. (2025). Reported in Codreanu (2025). This is the source for Russian pre-positioning without use since 2018.</w:t>
      </w:r>
    </w:p>
    <w:p>
      <w:pPr>
        <w:spacing w:after="140" w:line="300"/>
        <w:jc w:val="both"/>
      </w:pPr>
      <w:r>
        <w:t xml:space="preserve">Slayton, R. (2017). What is the cyber offense-defense balance? Conceptions, causes, and assessment. </w:t>
      </w:r>
      <w:r>
        <w:rPr>
          <w:i/>
          <w:iCs/>
        </w:rPr>
        <w:t xml:space="preserve">International Security, 41</w:t>
      </w:r>
      <w:r>
        <w:t xml:space="preserve">(3), 72-109. Reported in Maschmeyer (2023). This is the canonical treatment of the concept and should be the first acquisition.</w:t>
      </w:r>
    </w:p>
    <w:p>
      <w:pPr>
        <w:spacing w:after="140" w:line="300"/>
        <w:jc w:val="both"/>
      </w:pPr>
      <w:r>
        <w:t xml:space="preserve">Smeets, M. (2022). </w:t>
      </w:r>
      <w:r>
        <w:rPr>
          <w:i/>
          <w:iCs/>
        </w:rPr>
        <w:t xml:space="preserve">No shortcuts: Why states struggle to develop a military cyber-force</w:t>
      </w:r>
      <w:r>
        <w:t xml:space="preserve">. Hurst. Reported in Maschmeyer (2023) and by Singh, Jash and Nanjappa (2025).</w:t>
      </w:r>
    </w:p>
    <w:p>
      <w:pPr>
        <w:spacing w:after="140" w:line="300"/>
        <w:jc w:val="both"/>
      </w:pPr>
      <w:r>
        <w:t xml:space="preserve">Zettl-Schabath, K., et al. (2025). European Repository of Cyber Incidents. Reported in Baram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355"/>
      <w:sz w:val="30"/>
      <w:szCs w:val="30"/>
    </w:rPr>
  </w:style>
  <w:style w:type="paragraph" w:styleId="Heading2">
    <w:name w:val="Heading 2"/>
    <w:basedOn w:val="Normal"/>
    <w:next w:val="Normal"/>
    <w:qFormat/>
    <w:rPr>
      <w:rFonts w:ascii="Calibri" w:cs="Calibri" w:eastAsia="Calibri" w:hAnsi="Calibri"/>
      <w:b/>
      <w:bCs/>
      <w:color w:val="2E4B72"/>
      <w:sz w:val="25"/>
      <w:szCs w:val="25"/>
    </w:rPr>
  </w:style>
  <w:style w:type="paragraph" w:styleId="Heading3">
    <w:name w:val="Heading 3"/>
    <w:basedOn w:val="Normal"/>
    <w:next w:val="Normal"/>
    <w:qFormat/>
    <w:rPr>
      <w:rFonts w:ascii="Calibri" w:cs="Calibri" w:eastAsia="Calibri" w:hAnsi="Calibri"/>
      <w:b/>
      <w:bCs/>
      <w:color w:val="3A5A80"/>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Price of Patience</dc:title>
  <dc:creator>Strategic Studies research</dc:creator>
  <dc:description>AI autonomy, costly signalling, and the strategic meaning of cyber pre-positioning</dc:description>
  <cp:lastModifiedBy>Un-named</cp:lastModifiedBy>
  <cp:revision>1</cp:revision>
  <dcterms:created xsi:type="dcterms:W3CDTF">2026-08-02T21:49:28.136Z</dcterms:created>
  <dcterms:modified xsi:type="dcterms:W3CDTF">2026-08-02T21:49:28.153Z</dcterms:modified>
</cp:coreProperties>
</file>

<file path=docProps/custom.xml><?xml version="1.0" encoding="utf-8"?>
<Properties xmlns="http://schemas.openxmlformats.org/officeDocument/2006/custom-properties" xmlns:vt="http://schemas.openxmlformats.org/officeDocument/2006/docPropsVTypes"/>
</file>