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 xml:space="preserve">PARECER JURÍDICO</w:t>
      </w:r>
    </w:p>
    <w:p/>
    <w:p>
      <w:r>
        <w:rPr>
          <w:b/>
        </w:rPr>
        <w:t xml:space="preserve">Assunto: </w:t>
      </w:r>
      <w:r>
        <w:t xml:space="preserve">Viabilidade de registro da marca "Psicólogos Online Brasil" perante o INPI</w:t>
      </w:r>
    </w:p>
    <w:p>
      <w:r>
        <w:rPr>
          <w:b/>
        </w:rPr>
        <w:t xml:space="preserve">Cliente: </w:t>
      </w:r>
      <w:r>
        <w:t xml:space="preserve">LRG Romani Ltda (CNPJ 69.062.912/0001-94)</w:t>
      </w:r>
    </w:p>
    <w:p/>
    <w:p>
      <w:pPr>
        <w:spacing w:before="240" w:after="120"/>
      </w:pPr>
      <w:r>
        <w:rPr>
          <w:b/>
        </w:rPr>
        <w:t xml:space="preserve">1. Do objeto</w:t>
      </w:r>
    </w:p>
    <w:p>
      <w:r>
        <w:t xml:space="preserve">O presente parecer tem por objetivo alertar sobre os riscos jurídicos envolvidos no registro da expressão "Psicólogos Online Brasil" como marca perante o Instituto Nacional da Propriedade Industrial (INPI), à luz da legislação e do entendimento dos tribunais sobre marcas de baixa distintividade.</w:t>
      </w:r>
    </w:p>
    <w:p>
      <w:pPr>
        <w:spacing w:before="240" w:after="120"/>
      </w:pPr>
      <w:r>
        <w:rPr>
          <w:b/>
        </w:rPr>
        <w:t xml:space="preserve">2. Das restrições legais ao registro de marca</w:t>
      </w:r>
    </w:p>
    <w:p>
      <w:r>
        <w:t xml:space="preserve">O art. 124, VI, da Lei nº 9.279/1996 (Lei de Propriedade Industrial) veda o registro como marca de sinal genérico, necessário, comum, vulgar ou simplesmente descritivo do produto ou serviço, quando não revestido de suficiente forma distintiva. A vedação recai sobre expressões diretamente relacionadas à natureza, qualidade ou finalidade da atividade, ou formadas por termos de uso comum, com baixo poder distintivo.</w:t>
      </w:r>
    </w:p>
    <w:p>
      <w:r>
        <w:t xml:space="preserve">A lei admite o registro quando o conjunto (nome mais elementos gráficos, por exemplo) possui forma distintiva suficiente, ainda que os termos isolados não sejam registráveis sozinhos.</w:t>
      </w:r>
    </w:p>
    <w:p>
      <w:pPr>
        <w:spacing w:before="240" w:after="120"/>
      </w:pPr>
      <w:r>
        <w:rPr>
          <w:b/>
        </w:rPr>
        <w:t xml:space="preserve">3. Da expressão "Psicólogos Online Brasil"</w:t>
      </w:r>
    </w:p>
    <w:p>
      <w:r>
        <w:t xml:space="preserve">A expressão pretendida combina três termos de uso comum e diretamente descritivos: "psicólogos" (a própria atividade profissional), "online" (o meio de prestação do serviço) e "Brasil" (a abrangência geográfica). Há risco relevante de o INPI entender a expressão como descritiva do serviço prestado e de baixa distintividade, o que pode levar ao indeferimento do pedido se depositada apenas como marca nominativa (só o nome, sem elementos gráficos).</w:t>
      </w:r>
    </w:p>
    <w:p>
      <w:r>
        <w:t xml:space="preserve">Isso não significa que o registro seja impossível. Uma marca composta pelo nome somado a um logotipo distintivo (marca mista) pode ser examinada como conjunto, e esse conjunto ser registrável. Porém, a proteção conferida tende a ser mais limitada: normalmente não há exclusividade sobre as palavras "psicólogos" ou "online" isoladamente, apenas sobre o conjunto visual e nominativo registrado.</w:t>
      </w:r>
    </w:p>
    <w:p>
      <w:pPr>
        <w:spacing w:before="240" w:after="120"/>
      </w:pPr>
      <w:r>
        <w:rPr>
          <w:b/>
        </w:rPr>
        <w:t xml:space="preserve">4. Do entendimento dos tribunais sobre marcas fracas ou evocativas</w:t>
      </w:r>
    </w:p>
    <w:p>
      <w:r>
        <w:t xml:space="preserve">Os tribunais superiores têm entendimento consolidado de que marcas fracas ou evocativas, formadas por expressões de uso comum e de pouca originalidade, atraem a mitigação da regra de exclusividade decorrente do registro, podendo coexistir com marcas semelhantes de terceiros de boa fé. O exame de colisão entre esse tipo de marca e outras semelhantes costuma ser menos rigoroso do que o aplicado a marcas mais originais e criativas.</w:t>
      </w:r>
    </w:p>
    <w:p>
      <w:r>
        <w:t xml:space="preserve">Na prática, isso significa que, mesmo que a marca "Psicólogos Online Brasil" venha a ser registrada, a proteção contra o uso de expressões semelhantes por concorrentes tende a ser fraca, dado o caráter descritivo dos termos que a compõem.</w:t>
      </w:r>
    </w:p>
    <w:p>
      <w:pPr>
        <w:spacing w:before="240" w:after="120"/>
      </w:pPr>
      <w:r>
        <w:rPr>
          <w:b/>
        </w:rPr>
        <w:t xml:space="preserve">5. Recomendação</w:t>
      </w:r>
    </w:p>
    <w:p>
      <w:r>
        <w:t xml:space="preserve">Diante do exposto, recomendamos duas alternativas, a critério do cliente:</w:t>
      </w:r>
    </w:p>
    <w:p>
      <w:pPr>
        <w:ind w:left="567"/>
      </w:pPr>
      <w:r>
        <w:rPr>
          <w:b/>
        </w:rPr>
        <w:t xml:space="preserve">a) Alterar o nome da marca, </w:t>
      </w:r>
      <w:r>
        <w:t xml:space="preserve">associando "Psicólogos Online Brasil" a um termo fantasioso ou arbitrário (ex: um nome próprio, inventado ou sem relação direta com a atividade), mantendo a expressão descritiva como um complemento, não como o núcleo da marca. Essa é a alternativa que confere maior segurança e exclusividade.</w:t>
      </w:r>
    </w:p>
    <w:p>
      <w:pPr>
        <w:ind w:left="567"/>
      </w:pPr>
      <w:r>
        <w:rPr>
          <w:b/>
        </w:rPr>
        <w:t xml:space="preserve">b) Manter o nome atual e requerer o registro como marca mista </w:t>
      </w:r>
      <w:r>
        <w:t xml:space="preserve">(nome combinado com o logotipo já desenvolvido), ciente de que:</w:t>
      </w:r>
    </w:p>
    <w:p>
      <w:pPr>
        <w:ind w:left="1134"/>
      </w:pPr>
      <w:r>
        <w:t xml:space="preserve">- há risco de indeferimento se o INPI entender que não há forma distintiva suficiente no conjunto;</w:t>
      </w:r>
    </w:p>
    <w:p>
      <w:pPr>
        <w:ind w:left="1134"/>
      </w:pPr>
      <w:r>
        <w:t xml:space="preserve">- ainda que deferido, a proteção provavelmente não impedirá que concorrentes usem expressões semelhantes (como "psicólogo online", "terapia online Brasil" etc.), desde que não copiem o conjunto visual;</w:t>
      </w:r>
    </w:p>
    <w:p>
      <w:pPr>
        <w:ind w:left="1134"/>
      </w:pPr>
      <w:r>
        <w:t xml:space="preserve">- o domínio já registrado não sofre esse mesmo risco, por seguir regras próprias de registro, distintas da marca.</w:t>
      </w:r>
    </w:p>
    <w:p>
      <w:r>
        <w:t xml:space="preserve">Recomendamos pesquisa prévia de anterioridades no INPI antes do depósito, em qualquer das alternativas, para confirmar a disponibilidade e reduzir o risco de oposição.</w:t>
      </w:r>
    </w:p>
    <w:p>
      <w:pPr>
        <w:spacing w:before="240" w:after="120"/>
      </w:pPr>
      <w:r>
        <w:rPr>
          <w:b/>
        </w:rPr>
        <w:t xml:space="preserve">6. Conclusão</w:t>
      </w:r>
    </w:p>
    <w:p>
      <w:r>
        <w:rPr/>
        <w:t>Considerando que a pesquisa prévia já realizada não localizou registro anterior com o nome pretendido, cabe ao cliente avaliar se faz sentido seguir com a proteção do conjunto (nome combinado com o logotipo) como marca mista, ciente de que, ao final do exame pelo INPI, é possível que a proteção recaia apenas sobre o desenho/logotipo, e não necessariamente sobre o nome, dado o caráter descritivo dos termos que o compõem. A viabilidade definitiva do registro depende do exame do conjunto pelo INPI quanto à distintividade apresentada.</w:t>
      </w:r>
    </w:p>
    <w:p/>
    <w:p>
      <w:r>
        <w:t xml:space="preserve">Blumenau/SC, 23 de setembro de 2026.</w:t>
      </w:r>
    </w:p>
    <w:p/>
    <w:p>
      <w:pPr>
        <w:jc w:val="center"/>
      </w:pPr>
      <w:r>
        <w:t xml:space="preserve">Paula Fernanda Corrêa de Borba</w:t>
      </w:r>
    </w:p>
    <w:p>
      <w:pPr>
        <w:jc w:val="center"/>
      </w:pPr>
      <w:r>
        <w:t xml:space="preserve">OAB/SC 28.118</w:t>
      </w:r>
    </w:p>
    <w:sectPr w:rsidR="00632F45" w:rsidRPr="00BE2F6A">
      <w:headerReference w:type="default" r:id="rId9"/>
      <w:footerReference w:type="default" r:id="rId10"/>
      <w:pgSz w:w="11909" w:h="16834"/>
      <w:pgMar w:top="1440" w:right="1440" w:bottom="1440" w:left="141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B18BA" w14:textId="77777777" w:rsidR="00D37625" w:rsidRDefault="00D37625">
      <w:pPr>
        <w:spacing w:line="240" w:lineRule="auto"/>
      </w:pPr>
      <w:r>
        <w:separator/>
      </w:r>
    </w:p>
  </w:endnote>
  <w:endnote w:type="continuationSeparator" w:id="0">
    <w:p w14:paraId="6EBACBBE" w14:textId="77777777" w:rsidR="00D37625" w:rsidRDefault="00D376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83AD" w14:textId="77777777" w:rsidR="00F459AD" w:rsidRDefault="00C77A36">
    <w:pPr>
      <w:ind w:left="-1410"/>
    </w:pPr>
    <w:r>
      <w:rPr>
        <w:noProof/>
      </w:rPr>
      <w:drawing>
        <wp:inline distT="114300" distB="114300" distL="114300" distR="114300" wp14:anchorId="101183B0" wp14:editId="101183B1">
          <wp:extent cx="7557923" cy="1641937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435" r="2435"/>
                  <a:stretch>
                    <a:fillRect/>
                  </a:stretch>
                </pic:blipFill>
                <pic:spPr>
                  <a:xfrm>
                    <a:off x="0" y="0"/>
                    <a:ext cx="7557923" cy="16419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18C3A" w14:textId="77777777" w:rsidR="00D37625" w:rsidRDefault="00D37625">
      <w:pPr>
        <w:spacing w:line="240" w:lineRule="auto"/>
      </w:pPr>
      <w:r>
        <w:separator/>
      </w:r>
    </w:p>
  </w:footnote>
  <w:footnote w:type="continuationSeparator" w:id="0">
    <w:p w14:paraId="2E2DE749" w14:textId="77777777" w:rsidR="00D37625" w:rsidRDefault="00D376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83AC" w14:textId="77777777" w:rsidR="00F459AD" w:rsidRDefault="00C77A36">
    <w:pPr>
      <w:ind w:hanging="1440"/>
    </w:pPr>
    <w:r>
      <w:rPr>
        <w:noProof/>
      </w:rPr>
      <w:drawing>
        <wp:inline distT="114300" distB="114300" distL="114300" distR="114300" wp14:anchorId="101183AE" wp14:editId="101183AF">
          <wp:extent cx="7562963" cy="1668116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963" cy="16681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AD"/>
    <w:rsid w:val="00006094"/>
    <w:rsid w:val="00066C4D"/>
    <w:rsid w:val="001826C8"/>
    <w:rsid w:val="00192F85"/>
    <w:rsid w:val="00262C7E"/>
    <w:rsid w:val="002E6B94"/>
    <w:rsid w:val="003143FE"/>
    <w:rsid w:val="003F5246"/>
    <w:rsid w:val="004022B5"/>
    <w:rsid w:val="00412A09"/>
    <w:rsid w:val="00465C40"/>
    <w:rsid w:val="004719AE"/>
    <w:rsid w:val="004E5F31"/>
    <w:rsid w:val="00533702"/>
    <w:rsid w:val="00570C16"/>
    <w:rsid w:val="00632F45"/>
    <w:rsid w:val="00664399"/>
    <w:rsid w:val="00842363"/>
    <w:rsid w:val="008478C9"/>
    <w:rsid w:val="009C704A"/>
    <w:rsid w:val="00B060E3"/>
    <w:rsid w:val="00B46E65"/>
    <w:rsid w:val="00B76EB5"/>
    <w:rsid w:val="00BA3B0A"/>
    <w:rsid w:val="00BE2E4D"/>
    <w:rsid w:val="00BE2F6A"/>
    <w:rsid w:val="00C14819"/>
    <w:rsid w:val="00C21348"/>
    <w:rsid w:val="00C6558A"/>
    <w:rsid w:val="00C77A36"/>
    <w:rsid w:val="00C81353"/>
    <w:rsid w:val="00D37625"/>
    <w:rsid w:val="00D91E7C"/>
    <w:rsid w:val="00DC0F14"/>
    <w:rsid w:val="00DE6B4F"/>
    <w:rsid w:val="00E744F9"/>
    <w:rsid w:val="00E93284"/>
    <w:rsid w:val="00ED0016"/>
    <w:rsid w:val="00F459AD"/>
    <w:rsid w:val="00FA4258"/>
    <w:rsid w:val="00FD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183A7"/>
  <w15:docId w15:val="{D6E76B31-4465-4607-B094-ED8FDC12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dvocacia"/>
    <w:qFormat/>
    <w:rsid w:val="004E5F31"/>
    <w:pPr>
      <w:spacing w:line="360" w:lineRule="auto"/>
      <w:jc w:val="both"/>
    </w:pPr>
    <w:rPr>
      <w:rFonts w:ascii="Inter" w:hAnsi="Inter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SemEspaamento">
    <w:name w:val="No Spacing"/>
    <w:basedOn w:val="Normal"/>
    <w:next w:val="Normal"/>
    <w:link w:val="SemEspaamentoChar"/>
    <w:autoRedefine/>
    <w:uiPriority w:val="1"/>
    <w:qFormat/>
    <w:rsid w:val="004E5F31"/>
  </w:style>
  <w:style w:type="character" w:customStyle="1" w:styleId="SemEspaamentoChar">
    <w:name w:val="Sem Espaçamento Char"/>
    <w:basedOn w:val="Fontepargpadro"/>
    <w:link w:val="SemEspaamento"/>
    <w:uiPriority w:val="1"/>
    <w:rsid w:val="004E5F31"/>
    <w:rPr>
      <w:rFonts w:ascii="Inter" w:hAnsi="Inter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0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dvocacia">
      <a:dk1>
        <a:srgbClr val="6D413E"/>
      </a:dk1>
      <a:lt1>
        <a:sysClr val="window" lastClr="FFFFFF"/>
      </a:lt1>
      <a:dk2>
        <a:srgbClr val="7F7F7F"/>
      </a:dk2>
      <a:lt2>
        <a:srgbClr val="F1EBDF"/>
      </a:lt2>
      <a:accent1>
        <a:srgbClr val="F26F4D"/>
      </a:accent1>
      <a:accent2>
        <a:srgbClr val="6D413E"/>
      </a:accent2>
      <a:accent3>
        <a:srgbClr val="7F7F7F"/>
      </a:accent3>
      <a:accent4>
        <a:srgbClr val="F1EBDF"/>
      </a:accent4>
      <a:accent5>
        <a:srgbClr val="F26F4D"/>
      </a:accent5>
      <a:accent6>
        <a:srgbClr val="F1EBDF"/>
      </a:accent6>
      <a:hlink>
        <a:srgbClr val="6D413E"/>
      </a:hlink>
      <a:folHlink>
        <a:srgbClr val="6D413E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9t3gg+YdR33hjmi2ik5v3Aq/Rw==">CgMxLjA4AHIhMUx2dGZhb2tTZ2JrQUVtaVB6Rk5VQ3FieVhwcVRDbFU0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1EF98C64D78D48A5DBE964E5C54D9F" ma:contentTypeVersion="19" ma:contentTypeDescription="Crie um novo documento." ma:contentTypeScope="" ma:versionID="db02b8abc055813aa56af2968c67bf3d">
  <xsd:schema xmlns:xsd="http://www.w3.org/2001/XMLSchema" xmlns:xs="http://www.w3.org/2001/XMLSchema" xmlns:p="http://schemas.microsoft.com/office/2006/metadata/properties" xmlns:ns2="850967c0-d1f7-4351-8ef3-209fd6885a10" xmlns:ns3="f7c6e59e-1fc8-4a99-846e-a68444803a94" targetNamespace="http://schemas.microsoft.com/office/2006/metadata/properties" ma:root="true" ma:fieldsID="af93618e61b5c7cddf25ca9d45ff20f2" ns2:_="" ns3:_="">
    <xsd:import namespace="850967c0-d1f7-4351-8ef3-209fd6885a10"/>
    <xsd:import namespace="f7c6e59e-1fc8-4a99-846e-a68444803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967c0-d1f7-4351-8ef3-209fd6885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41a08b-c357-4a03-891b-314f291a1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6e59e-1fc8-4a99-846e-a68444803a9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69b5704-c13f-4a60-ae9f-77d24214c3db}" ma:internalName="TaxCatchAll" ma:showField="CatchAllData" ma:web="f7c6e59e-1fc8-4a99-846e-a68444803a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0967c0-d1f7-4351-8ef3-209fd6885a10">
      <Terms xmlns="http://schemas.microsoft.com/office/infopath/2007/PartnerControls"/>
    </lcf76f155ced4ddcb4097134ff3c332f>
    <TaxCatchAll xmlns="f7c6e59e-1fc8-4a99-846e-a68444803a9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B3268C-2040-4D41-9A76-CB9030A82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FE0A09-D5D6-473D-9F2B-33C6F8547885}"/>
</file>

<file path=customXml/itemProps4.xml><?xml version="1.0" encoding="utf-8"?>
<ds:datastoreItem xmlns:ds="http://schemas.openxmlformats.org/officeDocument/2006/customXml" ds:itemID="{CF48A0A7-1501-4C33-BC21-C3DD5FE165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Paula Corrêa</cp:lastModifiedBy>
  <cp:revision>3</cp:revision>
  <dcterms:created xsi:type="dcterms:W3CDTF">2025-03-06T17:52:00Z</dcterms:created>
  <dcterms:modified xsi:type="dcterms:W3CDTF">2026-08-06T17:43:00Z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0x010100181EF98C64D78D48A5DBE964E5C54D9F</vt:lpwstr>
  </property>
  <property fmtid="{D5CDD505-2E9C-101B-9397-08002B2CF9AE}" pid="3" name="MediaServiceImageTags">
    <vt:lpwstr/>
  </property>
</Properties>
</file>