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C8A" w:rsidRDefault="002858E8" w:rsidP="00326C8A">
      <w:r w:rsidRPr="002858E8">
        <w:rPr>
          <w:rFonts w:asciiTheme="majorHAnsi" w:eastAsiaTheme="majorEastAsia" w:hAnsiTheme="majorHAnsi" w:cstheme="majorBidi"/>
          <w:b/>
          <w:bCs/>
          <w:color w:val="365F91" w:themeColor="accent1" w:themeShade="BF"/>
          <w:sz w:val="28"/>
          <w:szCs w:val="28"/>
        </w:rPr>
        <w:t>Correlazione tra sistema visivo e squilibrio muscolare orofacciale</w:t>
      </w:r>
    </w:p>
    <w:p w:rsidR="00326C8A" w:rsidRDefault="00326C8A" w:rsidP="00326C8A">
      <w:r>
        <w:t>Prima di cominciare è giusto soffermarci su cosa significa SALUTE. L’OMS ha definito la salute come:</w:t>
      </w:r>
    </w:p>
    <w:p w:rsidR="00326C8A" w:rsidRDefault="00326C8A" w:rsidP="00326C8A">
      <w:r>
        <w:t>“</w:t>
      </w:r>
      <w:r>
        <w:rPr>
          <w:i/>
        </w:rPr>
        <w:t xml:space="preserve">lo stato di completo benessere fisico, mentale e sociale e non consiste solo </w:t>
      </w:r>
      <w:r w:rsidR="005C314A">
        <w:rPr>
          <w:i/>
        </w:rPr>
        <w:t>nell’assenza di</w:t>
      </w:r>
      <w:r>
        <w:rPr>
          <w:i/>
        </w:rPr>
        <w:t xml:space="preserve"> malattia”</w:t>
      </w:r>
      <w:r>
        <w:t>.</w:t>
      </w:r>
    </w:p>
    <w:p w:rsidR="00326C8A" w:rsidRDefault="00FA5443" w:rsidP="00326C8A">
      <w:r>
        <w:t>Questo significa che è importante non</w:t>
      </w:r>
      <w:r w:rsidR="00326C8A">
        <w:t xml:space="preserve"> soffermarsi solo sul sintomo, ma affrontare tutte le problematiche </w:t>
      </w:r>
      <w:r w:rsidR="005C314A">
        <w:t xml:space="preserve">latenti </w:t>
      </w:r>
      <w:r w:rsidR="00326C8A">
        <w:t xml:space="preserve">ma che </w:t>
      </w:r>
      <w:r w:rsidR="005C314A">
        <w:t xml:space="preserve">possono essere o divenire </w:t>
      </w:r>
      <w:r w:rsidR="00326C8A">
        <w:t xml:space="preserve">causa di </w:t>
      </w:r>
      <w:r w:rsidR="005C314A">
        <w:t>vari disturbi.</w:t>
      </w:r>
    </w:p>
    <w:p w:rsidR="00326C8A" w:rsidRDefault="00326C8A" w:rsidP="00326C8A">
      <w:r>
        <w:t>Il nodo cruciale del trattamento è l’INTERDISCIPLINARIETÀ, cioè la necessità di lavorare in team. In particolare per l’optometrista può essere utile collaborare con posturologi, osteopati e logopedisti per capire da cosa è causato un problema visivo e quindi poterlo risolvere alla radice.</w:t>
      </w:r>
    </w:p>
    <w:p w:rsidR="00326C8A" w:rsidRDefault="005C314A" w:rsidP="00326C8A">
      <w:r>
        <w:t xml:space="preserve">Accenniamo ora </w:t>
      </w:r>
      <w:r w:rsidR="00326C8A">
        <w:t xml:space="preserve">allo schema di funzionamento del </w:t>
      </w:r>
      <w:r>
        <w:t xml:space="preserve">circuito neurologico  STP </w:t>
      </w:r>
      <w:r w:rsidR="00326C8A">
        <w:t xml:space="preserve">che regola la nostra postura e </w:t>
      </w:r>
      <w:r>
        <w:t xml:space="preserve">le sue </w:t>
      </w:r>
      <w:r w:rsidR="00326C8A">
        <w:t xml:space="preserve">interazioni con i vari sistemi: </w:t>
      </w:r>
    </w:p>
    <w:p w:rsidR="00AE1380" w:rsidRDefault="00AE1380" w:rsidP="00326C8A"/>
    <w:p w:rsidR="00326C8A" w:rsidRDefault="00326C8A" w:rsidP="00326C8A">
      <w:r>
        <w:rPr>
          <w:b/>
        </w:rPr>
        <w:t>SISTEMA TONICO POSTURALE</w:t>
      </w:r>
    </w:p>
    <w:p w:rsidR="00326C8A" w:rsidRDefault="00D11A98" w:rsidP="00326C8A">
      <w:r>
        <w:t xml:space="preserve">Compito del </w:t>
      </w:r>
      <w:r w:rsidR="005C314A">
        <w:t>STP è consentire all'uomo la gestione delle sue masse corporee nello spazio</w:t>
      </w:r>
      <w:r>
        <w:t>, sia in posizione statica che in movimento, adattandosi ai continui cambiamenti ambientali. Per realizzare tale obiettivi il sistema utilizza una complessa rete di risorse suddivisa in 3 livelli:</w:t>
      </w:r>
    </w:p>
    <w:p w:rsidR="00326C8A" w:rsidRDefault="00326C8A" w:rsidP="00326C8A">
      <w:pPr>
        <w:pStyle w:val="Paragrafoelenco"/>
        <w:numPr>
          <w:ilvl w:val="0"/>
          <w:numId w:val="1"/>
        </w:numPr>
      </w:pPr>
      <w:r>
        <w:rPr>
          <w:b/>
        </w:rPr>
        <w:t>Est</w:t>
      </w:r>
      <w:r w:rsidR="005A62DA">
        <w:rPr>
          <w:b/>
        </w:rPr>
        <w:t>e</w:t>
      </w:r>
      <w:r>
        <w:rPr>
          <w:b/>
        </w:rPr>
        <w:t xml:space="preserve">rocettori </w:t>
      </w:r>
      <w:r>
        <w:t xml:space="preserve">(cutanei, visivi, uditivi) e </w:t>
      </w:r>
      <w:r>
        <w:rPr>
          <w:b/>
        </w:rPr>
        <w:t xml:space="preserve">propriocettori </w:t>
      </w:r>
      <w:r>
        <w:t>(cutanei, articolari, muscolari) che forniscono gli input necessari</w:t>
      </w:r>
      <w:r w:rsidR="005C314A">
        <w:t>: sensori che misurano lo stato di tensione e di allungamento di strutture cutanee, tendinee, muscolari per permettere al SNC di “calcolare”</w:t>
      </w:r>
      <w:r w:rsidR="005A62DA">
        <w:t xml:space="preserve"> la nostra posizione nello spazio</w:t>
      </w:r>
    </w:p>
    <w:p w:rsidR="00326C8A" w:rsidRDefault="00326C8A" w:rsidP="00326C8A">
      <w:pPr>
        <w:pStyle w:val="Paragrafoelenco"/>
        <w:numPr>
          <w:ilvl w:val="0"/>
          <w:numId w:val="1"/>
        </w:numPr>
      </w:pPr>
      <w:r>
        <w:rPr>
          <w:b/>
        </w:rPr>
        <w:t xml:space="preserve">Centri superiori </w:t>
      </w:r>
      <w:r>
        <w:t>con funzione di integrazione, elaborazione, pianificazione, risposta, controllo</w:t>
      </w:r>
    </w:p>
    <w:p w:rsidR="00326C8A" w:rsidRDefault="00326C8A" w:rsidP="00326C8A">
      <w:pPr>
        <w:pStyle w:val="Paragrafoelenco"/>
        <w:numPr>
          <w:ilvl w:val="0"/>
          <w:numId w:val="1"/>
        </w:numPr>
      </w:pPr>
      <w:r>
        <w:rPr>
          <w:b/>
        </w:rPr>
        <w:t xml:space="preserve">Effettori </w:t>
      </w:r>
      <w:r>
        <w:t>(output) che traducono in azioni quanto elaborato e quindi “deciso” dai centri superiori</w:t>
      </w:r>
    </w:p>
    <w:p w:rsidR="00D11A98" w:rsidRPr="002858E8" w:rsidRDefault="00B96E06" w:rsidP="00326C8A">
      <w:pPr>
        <w:rPr>
          <w:b/>
        </w:rPr>
      </w:pPr>
      <w:r>
        <w:rPr>
          <w:b/>
          <w:noProof/>
          <w:lang w:eastAsia="it-IT"/>
        </w:rPr>
        <w:pict>
          <v:oval id="_x0000_s1033" style="position:absolute;margin-left:343.35pt;margin-top:3.75pt;width:132.35pt;height:81.75pt;z-index:251669504">
            <v:textbox style="mso-next-textbox:#_x0000_s1033">
              <w:txbxContent>
                <w:p w:rsidR="00D11A98" w:rsidRPr="00AE1380" w:rsidRDefault="00D11A98" w:rsidP="00D11A98">
                  <w:pPr>
                    <w:pStyle w:val="Nessunaspaziatura"/>
                    <w:rPr>
                      <w:sz w:val="20"/>
                      <w:szCs w:val="20"/>
                    </w:rPr>
                  </w:pPr>
                  <w:r w:rsidRPr="00AE1380">
                    <w:rPr>
                      <w:b/>
                      <w:sz w:val="20"/>
                      <w:szCs w:val="20"/>
                    </w:rPr>
                    <w:t>OUTPUT</w:t>
                  </w:r>
                  <w:r w:rsidRPr="00AE1380">
                    <w:rPr>
                      <w:sz w:val="20"/>
                      <w:szCs w:val="20"/>
                    </w:rPr>
                    <w:t>:</w:t>
                  </w:r>
                </w:p>
                <w:p w:rsidR="00D11A98" w:rsidRPr="00AE1380" w:rsidRDefault="00D11A98" w:rsidP="00D11A98">
                  <w:pPr>
                    <w:pStyle w:val="Nessunaspaziatura"/>
                    <w:rPr>
                      <w:sz w:val="20"/>
                      <w:szCs w:val="20"/>
                    </w:rPr>
                  </w:pPr>
                  <w:r w:rsidRPr="00AE1380">
                    <w:rPr>
                      <w:sz w:val="20"/>
                      <w:szCs w:val="20"/>
                    </w:rPr>
                    <w:t>effettori (nuclei cranici oculomotori, midollo spinale</w:t>
                  </w:r>
                  <w:r w:rsidR="00E770E8" w:rsidRPr="00AE1380">
                    <w:rPr>
                      <w:sz w:val="20"/>
                      <w:szCs w:val="20"/>
                    </w:rPr>
                    <w:t>)</w:t>
                  </w:r>
                </w:p>
              </w:txbxContent>
            </v:textbox>
          </v:oval>
        </w:pict>
      </w:r>
      <w:r>
        <w:rPr>
          <w:b/>
          <w:noProof/>
          <w:lang w:eastAsia="it-IT"/>
        </w:rPr>
        <w:pict>
          <v:oval id="_x0000_s1031" style="position:absolute;margin-left:196.25pt;margin-top:12.75pt;width:84.15pt;height:54.55pt;z-index:251667456">
            <v:textbox>
              <w:txbxContent>
                <w:p w:rsidR="00D11A98" w:rsidRPr="00AE1380" w:rsidRDefault="00D11A98" w:rsidP="00D11A98">
                  <w:pPr>
                    <w:jc w:val="center"/>
                    <w:rPr>
                      <w:b/>
                      <w:sz w:val="20"/>
                      <w:szCs w:val="20"/>
                    </w:rPr>
                  </w:pPr>
                  <w:r w:rsidRPr="00AE1380">
                    <w:rPr>
                      <w:b/>
                      <w:sz w:val="20"/>
                      <w:szCs w:val="20"/>
                    </w:rPr>
                    <w:t>CENTRI SUPERIORI</w:t>
                  </w:r>
                </w:p>
              </w:txbxContent>
            </v:textbox>
          </v:oval>
        </w:pict>
      </w:r>
      <w:r>
        <w:rPr>
          <w:b/>
          <w:noProof/>
          <w:lang w:eastAsia="it-IT"/>
        </w:rPr>
        <w:pict>
          <v:oval id="_x0000_s1029" style="position:absolute;margin-left:8.8pt;margin-top:3.75pt;width:120.75pt;height:62.85pt;z-index:251665408">
            <v:textbox style="mso-next-textbox:#_x0000_s1029">
              <w:txbxContent>
                <w:p w:rsidR="00D11A98" w:rsidRPr="00AE1380" w:rsidRDefault="00D11A98" w:rsidP="00D11A98">
                  <w:pPr>
                    <w:pStyle w:val="Nessunaspaziatura"/>
                    <w:jc w:val="center"/>
                    <w:rPr>
                      <w:sz w:val="20"/>
                      <w:szCs w:val="20"/>
                    </w:rPr>
                  </w:pPr>
                  <w:r w:rsidRPr="00AE1380">
                    <w:rPr>
                      <w:b/>
                      <w:sz w:val="20"/>
                      <w:szCs w:val="20"/>
                    </w:rPr>
                    <w:t>INPUT</w:t>
                  </w:r>
                  <w:r w:rsidRPr="00AE1380">
                    <w:rPr>
                      <w:sz w:val="20"/>
                      <w:szCs w:val="20"/>
                    </w:rPr>
                    <w:t>:</w:t>
                  </w:r>
                </w:p>
                <w:p w:rsidR="00D11A98" w:rsidRPr="00AE1380" w:rsidRDefault="00D11A98" w:rsidP="00D11A98">
                  <w:pPr>
                    <w:pStyle w:val="Nessunaspaziatura"/>
                    <w:jc w:val="center"/>
                    <w:rPr>
                      <w:sz w:val="20"/>
                      <w:szCs w:val="20"/>
                    </w:rPr>
                  </w:pPr>
                  <w:r w:rsidRPr="00AE1380">
                    <w:rPr>
                      <w:sz w:val="20"/>
                      <w:szCs w:val="20"/>
                    </w:rPr>
                    <w:t>est</w:t>
                  </w:r>
                  <w:r w:rsidR="005A62DA" w:rsidRPr="00AE1380">
                    <w:rPr>
                      <w:sz w:val="20"/>
                      <w:szCs w:val="20"/>
                    </w:rPr>
                    <w:t>e</w:t>
                  </w:r>
                  <w:r w:rsidRPr="00AE1380">
                    <w:rPr>
                      <w:sz w:val="20"/>
                      <w:szCs w:val="20"/>
                    </w:rPr>
                    <w:t>rocettori e propriocettori</w:t>
                  </w:r>
                </w:p>
              </w:txbxContent>
            </v:textbox>
          </v:oval>
        </w:pict>
      </w:r>
    </w:p>
    <w:p w:rsidR="00D11A98" w:rsidRPr="002858E8" w:rsidRDefault="00B96E06" w:rsidP="00326C8A">
      <w:pPr>
        <w:rPr>
          <w:b/>
        </w:rPr>
      </w:pPr>
      <w:r>
        <w:rPr>
          <w:b/>
          <w:noProof/>
          <w:lang w:eastAsia="it-IT"/>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2" type="#_x0000_t13" style="position:absolute;margin-left:293.9pt;margin-top:10.55pt;width:41.95pt;height:19.5pt;z-index:251668480"/>
        </w:pict>
      </w:r>
      <w:r>
        <w:rPr>
          <w:b/>
          <w:noProof/>
          <w:lang w:eastAsia="it-IT"/>
        </w:rPr>
        <w:pict>
          <v:shape id="_x0000_s1030" type="#_x0000_t13" style="position:absolute;margin-left:140.55pt;margin-top:5pt;width:45.75pt;height:19.5pt;z-index:251666432"/>
        </w:pict>
      </w:r>
    </w:p>
    <w:p w:rsidR="00D11A98" w:rsidRDefault="00D11A98" w:rsidP="00326C8A"/>
    <w:p w:rsidR="00D11A98" w:rsidRDefault="00D11A98" w:rsidP="00326C8A"/>
    <w:p w:rsidR="00326C8A" w:rsidRDefault="00326C8A" w:rsidP="00326C8A">
      <w:r>
        <w:t>Il sistema tonico posturale è un sistema:</w:t>
      </w:r>
    </w:p>
    <w:p w:rsidR="00326C8A" w:rsidRDefault="00326C8A" w:rsidP="00326C8A">
      <w:pPr>
        <w:pStyle w:val="Paragrafoelenco"/>
        <w:numPr>
          <w:ilvl w:val="0"/>
          <w:numId w:val="1"/>
        </w:numPr>
      </w:pPr>
      <w:r>
        <w:t xml:space="preserve">Antigravitario </w:t>
      </w:r>
    </w:p>
    <w:p w:rsidR="00326C8A" w:rsidRDefault="00326C8A" w:rsidP="00326C8A">
      <w:pPr>
        <w:pStyle w:val="Paragrafoelenco"/>
        <w:numPr>
          <w:ilvl w:val="0"/>
          <w:numId w:val="1"/>
        </w:numPr>
      </w:pPr>
      <w:r>
        <w:t>Di equilibrio statico</w:t>
      </w:r>
    </w:p>
    <w:p w:rsidR="00326C8A" w:rsidRDefault="00326C8A" w:rsidP="00326C8A">
      <w:pPr>
        <w:pStyle w:val="Paragrafoelenco"/>
        <w:numPr>
          <w:ilvl w:val="0"/>
          <w:numId w:val="1"/>
        </w:numPr>
      </w:pPr>
      <w:r>
        <w:t>Di equilibrio dinamico</w:t>
      </w:r>
    </w:p>
    <w:p w:rsidR="005A62DA" w:rsidRDefault="00326C8A" w:rsidP="00326C8A">
      <w:pPr>
        <w:pStyle w:val="Paragrafoelenco"/>
        <w:numPr>
          <w:ilvl w:val="0"/>
          <w:numId w:val="1"/>
        </w:numPr>
      </w:pPr>
      <w:r>
        <w:t>Sensoriale</w:t>
      </w:r>
    </w:p>
    <w:p w:rsidR="005A62DA" w:rsidRDefault="005A62DA" w:rsidP="00326C8A">
      <w:pPr>
        <w:pStyle w:val="Paragrafoelenco"/>
        <w:numPr>
          <w:ilvl w:val="0"/>
          <w:numId w:val="1"/>
        </w:numPr>
      </w:pPr>
      <w:r>
        <w:t>Adattivo</w:t>
      </w:r>
    </w:p>
    <w:p w:rsidR="00326C8A" w:rsidRDefault="00326C8A" w:rsidP="00326C8A">
      <w:r>
        <w:t xml:space="preserve">Scopi: </w:t>
      </w:r>
    </w:p>
    <w:p w:rsidR="00326C8A" w:rsidRDefault="00326C8A" w:rsidP="00326C8A">
      <w:pPr>
        <w:pStyle w:val="Paragrafoelenco"/>
        <w:numPr>
          <w:ilvl w:val="0"/>
          <w:numId w:val="1"/>
        </w:numPr>
      </w:pPr>
      <w:r>
        <w:t>Situarci nello spazio che ci circonda</w:t>
      </w:r>
    </w:p>
    <w:p w:rsidR="00326C8A" w:rsidRDefault="00326C8A" w:rsidP="00326C8A">
      <w:pPr>
        <w:pStyle w:val="Paragrafoelenco"/>
        <w:numPr>
          <w:ilvl w:val="0"/>
          <w:numId w:val="1"/>
        </w:numPr>
      </w:pPr>
      <w:r>
        <w:t>Permetterci l’equilibrio nel movimento, guidarlo e rinforzarlo</w:t>
      </w:r>
    </w:p>
    <w:p w:rsidR="00326C8A" w:rsidRDefault="00326C8A" w:rsidP="00326C8A">
      <w:pPr>
        <w:pStyle w:val="Paragrafoelenco"/>
        <w:numPr>
          <w:ilvl w:val="0"/>
          <w:numId w:val="1"/>
        </w:numPr>
      </w:pPr>
      <w:r>
        <w:t>Lottare contro la gravità per mantenere la funzione eretta</w:t>
      </w:r>
    </w:p>
    <w:p w:rsidR="00326C8A" w:rsidRDefault="00326C8A" w:rsidP="00326C8A">
      <w:pPr>
        <w:pStyle w:val="Paragrafoelenco"/>
        <w:numPr>
          <w:ilvl w:val="0"/>
          <w:numId w:val="1"/>
        </w:numPr>
      </w:pPr>
      <w:r>
        <w:t>Opporsi alle forze esterne</w:t>
      </w:r>
    </w:p>
    <w:p w:rsidR="00E770E8" w:rsidRDefault="00326C8A" w:rsidP="00326C8A">
      <w:r>
        <w:lastRenderedPageBreak/>
        <w:t xml:space="preserve">Se vi sono dei problemi a uno dei tre livelli si avranno </w:t>
      </w:r>
      <w:r w:rsidR="005A62DA">
        <w:t>alterazioni posturali potenzialmente ad ogni livello, compresi gli ambiti stomatognatico, oculomotorio, ecc.</w:t>
      </w:r>
    </w:p>
    <w:p w:rsidR="005A62DA" w:rsidRDefault="005A62DA" w:rsidP="00326C8A"/>
    <w:p w:rsidR="005A62DA" w:rsidRDefault="005A62DA" w:rsidP="00326C8A">
      <w:pPr>
        <w:rPr>
          <w:b/>
        </w:rPr>
      </w:pPr>
    </w:p>
    <w:p w:rsidR="006812A3" w:rsidRDefault="00326C8A" w:rsidP="00326C8A">
      <w:pPr>
        <w:rPr>
          <w:b/>
        </w:rPr>
      </w:pPr>
      <w:r>
        <w:rPr>
          <w:b/>
        </w:rPr>
        <w:t>PROBLEMI CORRELATI ALLO SMOF</w:t>
      </w:r>
    </w:p>
    <w:p w:rsidR="00326C8A" w:rsidRDefault="002841A0" w:rsidP="00326C8A">
      <w:r>
        <w:t>Ora ci occuperemo in particolare dei problemi correlati allo SMOF (Squilibrio Muscolare OroFacciale), i quali problemi si ripercuotono non solo sulla postura corporea, ma anche su altri distret</w:t>
      </w:r>
      <w:r w:rsidR="005A62DA">
        <w:t>ti corporei e su altre funzioni tra cui quella visiva.</w:t>
      </w:r>
    </w:p>
    <w:p w:rsidR="006812A3" w:rsidRDefault="006812A3" w:rsidP="00326C8A">
      <w:r w:rsidRPr="006812A3">
        <w:t xml:space="preserve">Un disturbo funzionale del </w:t>
      </w:r>
      <w:r>
        <w:t xml:space="preserve">sistema visivo può </w:t>
      </w:r>
      <w:r w:rsidRPr="006812A3">
        <w:t xml:space="preserve"> ripercuotersi sull’apparato stomatognatico attraverso il sistema oculocefalogiro ed un disturbo dell’apparato stomatognatico </w:t>
      </w:r>
      <w:r>
        <w:t>può</w:t>
      </w:r>
      <w:r w:rsidRPr="006812A3">
        <w:t xml:space="preserve"> determinare un problema neuro-muscolare che si ripercuote sul sistema oculomotore. Meyer e Baron descrissero per primi le </w:t>
      </w:r>
      <w:r w:rsidR="00DB2931" w:rsidRPr="006812A3">
        <w:t>interrelazioni</w:t>
      </w:r>
      <w:r w:rsidRPr="006812A3">
        <w:t xml:space="preserve"> tra l’apparato stomatognatico, il sistema dei muscoli estrinseci oculari ed il rachide cervicale descrivendo la c.d. </w:t>
      </w:r>
      <w:r w:rsidRPr="006812A3">
        <w:rPr>
          <w:b/>
        </w:rPr>
        <w:t>VIA OCULOCEFALOGIRA</w:t>
      </w:r>
      <w:r>
        <w:t>. Essa e’ costituita da:</w:t>
      </w:r>
    </w:p>
    <w:p w:rsidR="006812A3" w:rsidRPr="006812A3" w:rsidRDefault="006812A3" w:rsidP="006812A3">
      <w:pPr>
        <w:pStyle w:val="Paragrafoelenco"/>
        <w:numPr>
          <w:ilvl w:val="0"/>
          <w:numId w:val="1"/>
        </w:numPr>
        <w:rPr>
          <w:rFonts w:eastAsia="Times New Roman" w:cs="Times New Roman"/>
          <w:lang w:eastAsia="it-IT"/>
        </w:rPr>
      </w:pPr>
      <w:r w:rsidRPr="006812A3">
        <w:rPr>
          <w:i/>
        </w:rPr>
        <w:t>VIA ASCENDENTE</w:t>
      </w:r>
      <w:r w:rsidRPr="006812A3">
        <w:t>, che comprende afferenze trigeminali omolaterali che trasportano informazioni propriocettive a partenza dai recettori paradontali</w:t>
      </w:r>
      <w:r w:rsidR="007B68FF">
        <w:t>(gengiva)</w:t>
      </w:r>
      <w:r w:rsidRPr="006812A3">
        <w:t xml:space="preserve"> delle arcate superiori e dai recettori dello spot palatino, tali afferenze giungono al Nucleo Mesencefalico del Trigemino e da qui proiettano ai nuclei del III°,IV° e VI° nervo crani</w:t>
      </w:r>
      <w:r w:rsidR="00DB2931">
        <w:t>co percorrendo il F.L.M.</w:t>
      </w:r>
      <w:r w:rsidR="007F602D">
        <w:t xml:space="preserve"> (Fascicolo</w:t>
      </w:r>
      <w:r w:rsidR="007B68FF">
        <w:t xml:space="preserve"> Longitudinale M</w:t>
      </w:r>
      <w:r w:rsidR="000E70AA">
        <w:t>ediale</w:t>
      </w:r>
      <w:r w:rsidR="007B68FF">
        <w:t>)</w:t>
      </w:r>
    </w:p>
    <w:p w:rsidR="006812A3" w:rsidRPr="006812A3" w:rsidRDefault="00D477AB" w:rsidP="006812A3">
      <w:pPr>
        <w:pStyle w:val="Paragrafoelenco"/>
        <w:numPr>
          <w:ilvl w:val="0"/>
          <w:numId w:val="1"/>
        </w:numPr>
        <w:rPr>
          <w:rFonts w:eastAsia="Times New Roman" w:cs="Times New Roman"/>
          <w:lang w:eastAsia="it-IT"/>
        </w:rPr>
      </w:pPr>
      <w:r>
        <w:rPr>
          <w:i/>
          <w:noProof/>
          <w:lang w:eastAsia="it-IT"/>
        </w:rPr>
        <w:drawing>
          <wp:anchor distT="0" distB="0" distL="114300" distR="114300" simplePos="0" relativeHeight="251670528" behindDoc="0" locked="0" layoutInCell="1" allowOverlap="1">
            <wp:simplePos x="0" y="0"/>
            <wp:positionH relativeFrom="column">
              <wp:posOffset>4178300</wp:posOffset>
            </wp:positionH>
            <wp:positionV relativeFrom="paragraph">
              <wp:posOffset>719455</wp:posOffset>
            </wp:positionV>
            <wp:extent cx="1870710" cy="1793240"/>
            <wp:effectExtent l="19050" t="0" r="0" b="0"/>
            <wp:wrapSquare wrapText="bothSides"/>
            <wp:docPr id="2" name="Immagine 1" descr="http://www.osteopata.it/wp-content/uploads/2013/02/ATM-osteopat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teopata.it/wp-content/uploads/2013/02/ATM-osteopatia.jpg"/>
                    <pic:cNvPicPr>
                      <a:picLocks noChangeAspect="1" noChangeArrowheads="1"/>
                    </pic:cNvPicPr>
                  </pic:nvPicPr>
                  <pic:blipFill>
                    <a:blip r:embed="rId7" cstate="print"/>
                    <a:srcRect/>
                    <a:stretch>
                      <a:fillRect/>
                    </a:stretch>
                  </pic:blipFill>
                  <pic:spPr bwMode="auto">
                    <a:xfrm>
                      <a:off x="0" y="0"/>
                      <a:ext cx="1870710" cy="1793240"/>
                    </a:xfrm>
                    <a:prstGeom prst="rect">
                      <a:avLst/>
                    </a:prstGeom>
                    <a:noFill/>
                    <a:ln w="9525">
                      <a:noFill/>
                      <a:miter lim="800000"/>
                      <a:headEnd/>
                      <a:tailEnd/>
                    </a:ln>
                  </pic:spPr>
                </pic:pic>
              </a:graphicData>
            </a:graphic>
          </wp:anchor>
        </w:drawing>
      </w:r>
      <w:r w:rsidR="006812A3" w:rsidRPr="006812A3">
        <w:rPr>
          <w:i/>
        </w:rPr>
        <w:t>VIA DISCENDENTE</w:t>
      </w:r>
      <w:r w:rsidR="006812A3" w:rsidRPr="006812A3">
        <w:t>, che comprende afferenze trigeminali omolaterali che trasportano informazioni propriocettive a partenza dai recettori paradontali delle arcate inferiori, dai muscoli masticatori e dall’ ar</w:t>
      </w:r>
      <w:r w:rsidR="006812A3">
        <w:t>ticolazione temporo-mandibolare. T</w:t>
      </w:r>
      <w:r w:rsidR="006812A3" w:rsidRPr="006812A3">
        <w:t xml:space="preserve">ali afferenze giungono al Nucleo Mesencefalico del Trigemino e da qui proiettano al Nucleo Accessorio Spinale, localizzato nelle corna anteriori del midollo cervicale (C1-C5). Da tale nucleo origina il nervo Accessorio (XI) che innerva i muscoli trapezio superiore e SCM (gli unici ad avere un’innervazione da parte </w:t>
      </w:r>
      <w:r>
        <w:t>dei nervi cranici). Inoltre dai</w:t>
      </w:r>
      <w:r w:rsidR="006812A3" w:rsidRPr="006812A3">
        <w:t xml:space="preserve"> muscoli oculomotori (soprattutto del muscolo retto laterale) partono fibre che arrivano ai nuclei oculomotori e poi raggiungono il nucleo del Trigemino. Il nervo Trigemino ha una componente motrice coinvolta nell’apertura e nella chiusura della mandibola e nella masticazione</w:t>
      </w:r>
      <w:r>
        <w:t xml:space="preserve"> (Articolazione Temporo-Mandibolare ATM)</w:t>
      </w:r>
      <w:r w:rsidR="006812A3" w:rsidRPr="006812A3">
        <w:t xml:space="preserve">. </w:t>
      </w:r>
    </w:p>
    <w:p w:rsidR="006812A3" w:rsidRPr="006812A3" w:rsidRDefault="006812A3" w:rsidP="006812A3">
      <w:pPr>
        <w:rPr>
          <w:rFonts w:eastAsia="Times New Roman" w:cs="Times New Roman"/>
          <w:lang w:eastAsia="it-IT"/>
        </w:rPr>
      </w:pPr>
      <w:r w:rsidRPr="006812A3">
        <w:t>Un disturbo visivo, come ad esempio una eteroforia o un deficit di convergenza, può avere conseguenze adattive sull’occlusione dentale attraverso le stesse variazioni della testa mediate dal sistema oculocefalogiro ed atte al compenso funzionale della patologia. Infatti, in seguito ad una disfunzione visiva</w:t>
      </w:r>
      <w:r>
        <w:t>,</w:t>
      </w:r>
      <w:r w:rsidRPr="006812A3">
        <w:t xml:space="preserve"> s</w:t>
      </w:r>
      <w:r>
        <w:t xml:space="preserve">i ha per compenso automatico un </w:t>
      </w:r>
      <w:r w:rsidRPr="006812A3">
        <w:t xml:space="preserve">adattamento della testa al fine di avere una visione nitida con dislocazione della mandibola allo scopo di adattarsi alla postura craniale. Questo disallineamento viene aggravato dalle controrotazioni dell’osso ioide e dei muscoli ioidei che a loro volta inducono un alterato adattamento della testa. Quindi lo squilibrio dei muscoli oculari si ripercuote a livello dei muscoli del collo e del tronco con conseguenti bascule e rotazioni del cingolo scapolare e pelvico. Ma </w:t>
      </w:r>
      <w:r w:rsidR="00DB2931">
        <w:t>è</w:t>
      </w:r>
      <w:r w:rsidRPr="006812A3">
        <w:t xml:space="preserve"> vero anche il contrario, ossia una malocclusione può determinare una posizione viziata della testa, quindi il sistema visivo</w:t>
      </w:r>
      <w:r>
        <w:t>,</w:t>
      </w:r>
      <w:r w:rsidRPr="006812A3">
        <w:t xml:space="preserve"> </w:t>
      </w:r>
      <w:r w:rsidRPr="006812A3">
        <w:lastRenderedPageBreak/>
        <w:t>dovendosi adattare a tale nuova posizione</w:t>
      </w:r>
      <w:r>
        <w:t>,</w:t>
      </w:r>
      <w:r w:rsidRPr="006812A3">
        <w:t xml:space="preserve"> modificherà l’asse oculare</w:t>
      </w:r>
      <w:r>
        <w:t xml:space="preserve"> abituale. In questa situazione</w:t>
      </w:r>
      <w:r w:rsidRPr="006812A3">
        <w:t xml:space="preserve"> si crea un’ asimmetria della forza muscolare oculare e quindi uno squilibrio dissociativo degli occhi che non possono puntare contemporaneamente la stessa mira venendosi così a creare un mancato parallelismo degli assi visivi (FORIA). L’ asimmetria funzionale dei muscoli oculari può anche determinare una distorsione della superficie corneale (ASTIGMATISMO). </w:t>
      </w:r>
      <w:r w:rsidR="00D477AB">
        <w:t>Quindi</w:t>
      </w:r>
      <w:r w:rsidRPr="006812A3">
        <w:t xml:space="preserve"> sebbene i due apparati, oculomotore e stomatognatico, sono funzionalmente distinti, esiste una correlazione sia a livello neurofisiologico, in quanto i nuclei dei nervi oculomotori e del trigemino trovano una contiguità a livello mesencefalico, sia a livello neuro-muscolare in relazione al sistema delle catene muscolo-connettivali</w:t>
      </w:r>
      <w:r w:rsidRPr="006812A3">
        <w:rPr>
          <w:rFonts w:eastAsia="Times New Roman" w:cs="Times New Roman"/>
          <w:lang w:eastAsia="it-IT"/>
        </w:rPr>
        <w:t>.</w:t>
      </w:r>
    </w:p>
    <w:p w:rsidR="00DB2931" w:rsidRPr="00D477AB" w:rsidRDefault="00D477AB" w:rsidP="00BD377F">
      <w:pPr>
        <w:rPr>
          <w:rFonts w:eastAsia="Times New Roman" w:cs="Times New Roman"/>
          <w:lang w:eastAsia="it-IT"/>
        </w:rPr>
      </w:pPr>
      <w:r>
        <w:t xml:space="preserve">Anche </w:t>
      </w:r>
      <w:r w:rsidR="006812A3">
        <w:t>la deglutizione</w:t>
      </w:r>
      <w:r w:rsidR="002841A0">
        <w:t xml:space="preserve"> è in grado di interferire, attraverso la stimolazione trigeminale, con tutti i recettori posturali principali, tra cui l’occhio. Quindi una deglutizione disfunzionale, una retrusione mandibolare, un morso profondo o anche un precontatto dentale può influenzare gli altri nuclei cranici innescando eventi adattativi singoli o a catena.</w:t>
      </w:r>
      <w:r>
        <w:t xml:space="preserve"> </w:t>
      </w:r>
      <w:r w:rsidR="00DE4763">
        <w:t>L’occhio  risente  delle  alterazioni  della  deglutizione  sia  per  quanto  riguarda  la motricità della muscolatura estrinseca che per quanto riguarda la capacità visiva.</w:t>
      </w:r>
      <w:r w:rsidR="00BD377F">
        <w:t xml:space="preserve"> </w:t>
      </w:r>
      <w:r w:rsidR="00DE4763">
        <w:t>Sembra esistere una affinità particolare tra spot palatino e motricità del muscolo retto</w:t>
      </w:r>
      <w:r w:rsidR="00BD377F">
        <w:t xml:space="preserve"> </w:t>
      </w:r>
      <w:r w:rsidR="00DE4763">
        <w:t>esterno.  Anche  la  funzione  visiva  può  essere  condizionata  indirettamente  dalla</w:t>
      </w:r>
      <w:r w:rsidR="00BD377F">
        <w:t xml:space="preserve"> </w:t>
      </w:r>
      <w:r w:rsidR="00DE4763">
        <w:t>funzione  linguale.  Il  muscolo  ciliare  (che  contraendosi  cambia  la  convessità  del</w:t>
      </w:r>
      <w:r w:rsidR="00BD377F">
        <w:t xml:space="preserve"> </w:t>
      </w:r>
      <w:r w:rsidR="00DE4763">
        <w:t>cristallino) riceve la propria innervazione dal nervo ciliare che origina tra la terza e la</w:t>
      </w:r>
      <w:r w:rsidR="00BD377F">
        <w:t xml:space="preserve"> </w:t>
      </w:r>
      <w:r w:rsidR="00DE4763">
        <w:t>prima  vertebra  cervicale.  Durante  il  trattamento  riabilitativo  della  deglutizione</w:t>
      </w:r>
      <w:r w:rsidR="00BD377F">
        <w:t xml:space="preserve"> </w:t>
      </w:r>
      <w:r w:rsidR="00DE4763">
        <w:t>avvengono  miglioramenti  a  livello  del  distretto  cervicale.  È  probabile  che  il</w:t>
      </w:r>
      <w:r w:rsidR="00BD377F">
        <w:t xml:space="preserve"> cambiamento  cervicale,  con  un  recupero  della  fisiologica  lordosi,  possa  essere  il motivo del miglioramento visivo.</w:t>
      </w:r>
    </w:p>
    <w:p w:rsidR="00E770E8" w:rsidRDefault="00BD377F" w:rsidP="00BD377F">
      <w:r>
        <w:t>Inoltre, l'oculomotricità risulta strettamente legata a informazioni che  provengono  dal  tratto  cervicale  attraverso  il  riflesso  cervico-oculomotorio (COR).</w:t>
      </w:r>
    </w:p>
    <w:p w:rsidR="00C366F7" w:rsidRDefault="00DB2931" w:rsidP="00BD377F">
      <w:r>
        <w:t>Vediamo ora due studi che dimostrano come un difetto di convergenza sia correlato con un’alterazione della postura.</w:t>
      </w:r>
    </w:p>
    <w:p w:rsidR="00C366F7" w:rsidRDefault="00C366F7" w:rsidP="00BD377F"/>
    <w:p w:rsidR="00E20831" w:rsidRPr="00E770E8" w:rsidRDefault="00E20831" w:rsidP="00BD377F">
      <w:r>
        <w:rPr>
          <w:b/>
        </w:rPr>
        <w:t>STUDIO SU CORRELAZIONE TRA SISTEMA STOMATOGNATICO E OCULOMOTORE NEL DETERMINISMO DELLA POSTURA</w:t>
      </w:r>
    </w:p>
    <w:p w:rsidR="00E20831" w:rsidRDefault="00E20831" w:rsidP="00BD377F">
      <w:r>
        <w:rPr>
          <w:noProof/>
          <w:lang w:eastAsia="it-IT"/>
        </w:rPr>
        <w:drawing>
          <wp:anchor distT="0" distB="0" distL="114300" distR="114300" simplePos="0" relativeHeight="251658240" behindDoc="0" locked="0" layoutInCell="1" allowOverlap="1">
            <wp:simplePos x="0" y="0"/>
            <wp:positionH relativeFrom="column">
              <wp:posOffset>3185160</wp:posOffset>
            </wp:positionH>
            <wp:positionV relativeFrom="paragraph">
              <wp:posOffset>451485</wp:posOffset>
            </wp:positionV>
            <wp:extent cx="2917190" cy="2277110"/>
            <wp:effectExtent l="19050" t="0" r="0" b="0"/>
            <wp:wrapSquare wrapText="bothSides"/>
            <wp:docPr id="1" name="Immagine 1" descr="http://dentista-bologna.it/immagini/occlusion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ntista-bologna.it/immagini/occlusion_class.png"/>
                    <pic:cNvPicPr>
                      <a:picLocks noChangeAspect="1" noChangeArrowheads="1"/>
                    </pic:cNvPicPr>
                  </pic:nvPicPr>
                  <pic:blipFill>
                    <a:blip r:embed="rId8" cstate="print"/>
                    <a:srcRect/>
                    <a:stretch>
                      <a:fillRect/>
                    </a:stretch>
                  </pic:blipFill>
                  <pic:spPr bwMode="auto">
                    <a:xfrm>
                      <a:off x="0" y="0"/>
                      <a:ext cx="2917190" cy="2277110"/>
                    </a:xfrm>
                    <a:prstGeom prst="rect">
                      <a:avLst/>
                    </a:prstGeom>
                    <a:noFill/>
                    <a:ln w="9525">
                      <a:noFill/>
                      <a:miter lim="800000"/>
                      <a:headEnd/>
                      <a:tailEnd/>
                    </a:ln>
                  </pic:spPr>
                </pic:pic>
              </a:graphicData>
            </a:graphic>
          </wp:anchor>
        </w:drawing>
      </w:r>
      <w:r w:rsidR="00BD377F">
        <w:t xml:space="preserve">Nello studio condotto da Bilello et al. (2009) su 22 soggetti con età media di 12 anni, viene  evidenziata  la  percentuale  di  malocclusioni  nei  soggetti  con  difetti  di convergenza  visiva: </w:t>
      </w:r>
    </w:p>
    <w:p w:rsidR="00E20831" w:rsidRDefault="00BD377F" w:rsidP="00E20831">
      <w:pPr>
        <w:pStyle w:val="Paragrafoelenco"/>
        <w:numPr>
          <w:ilvl w:val="0"/>
          <w:numId w:val="1"/>
        </w:numPr>
      </w:pPr>
      <w:r>
        <w:t xml:space="preserve"> il  49%  presentava  una  I  classe  dentaria,  </w:t>
      </w:r>
    </w:p>
    <w:p w:rsidR="00E20831" w:rsidRDefault="00BD377F" w:rsidP="00E20831">
      <w:pPr>
        <w:pStyle w:val="Paragrafoelenco"/>
        <w:numPr>
          <w:ilvl w:val="0"/>
          <w:numId w:val="1"/>
        </w:numPr>
      </w:pPr>
      <w:r>
        <w:t>il  17%  una  II  classe divisione 1</w:t>
      </w:r>
      <w:r w:rsidR="0057039F">
        <w:t xml:space="preserve"> (incisivi in avanti)</w:t>
      </w:r>
      <w:r>
        <w:t xml:space="preserve">, </w:t>
      </w:r>
    </w:p>
    <w:p w:rsidR="00E20831" w:rsidRDefault="00BD377F" w:rsidP="00E20831">
      <w:pPr>
        <w:pStyle w:val="Paragrafoelenco"/>
        <w:numPr>
          <w:ilvl w:val="0"/>
          <w:numId w:val="1"/>
        </w:numPr>
      </w:pPr>
      <w:r>
        <w:t>il 17% una II classe divisione 2</w:t>
      </w:r>
      <w:r w:rsidR="0057039F">
        <w:t xml:space="preserve"> (incisivi all’indietro)</w:t>
      </w:r>
      <w:r>
        <w:t xml:space="preserve">, </w:t>
      </w:r>
    </w:p>
    <w:p w:rsidR="00E20831" w:rsidRDefault="00BD377F" w:rsidP="00E20831">
      <w:pPr>
        <w:pStyle w:val="Paragrafoelenco"/>
        <w:numPr>
          <w:ilvl w:val="0"/>
          <w:numId w:val="1"/>
        </w:numPr>
      </w:pPr>
      <w:r>
        <w:t>il 17% una III classe.</w:t>
      </w:r>
    </w:p>
    <w:p w:rsidR="00E20831" w:rsidRDefault="00BD377F" w:rsidP="00E20831">
      <w:r>
        <w:t xml:space="preserve"> Nei soggetti con </w:t>
      </w:r>
      <w:r w:rsidR="00E20831">
        <w:t xml:space="preserve">strabismo </w:t>
      </w:r>
      <w:r>
        <w:t>il 75% presenta</w:t>
      </w:r>
      <w:r w:rsidR="00E20831">
        <w:t xml:space="preserve"> mal occlusione. </w:t>
      </w:r>
    </w:p>
    <w:p w:rsidR="00E20831" w:rsidRDefault="00E20831" w:rsidP="00E20831">
      <w:r>
        <w:t>T</w:t>
      </w:r>
      <w:r w:rsidR="00BD377F">
        <w:t xml:space="preserve">ra i soggetti con eteroforie è mal occluso il  60%.  </w:t>
      </w:r>
    </w:p>
    <w:p w:rsidR="00BD377F" w:rsidRDefault="00BD377F" w:rsidP="00E20831">
      <w:r>
        <w:lastRenderedPageBreak/>
        <w:t xml:space="preserve">Emergono,  quindi,  influenze  reciproche  tra  l'apparato  stomatognatico </w:t>
      </w:r>
      <w:r w:rsidR="00E20831">
        <w:t>(fonazione, deglutizione, masticazione)</w:t>
      </w:r>
      <w:r>
        <w:t xml:space="preserve"> e oculomotore, funzionalmente distinti, ma che si ipotizza possano essere correlati sia a  livello  neurofisiologico,  in  quanto  i  nuclei  dei  nervi  oculomotore  e  trigemino trovano contiguità a livello mesencefalico, sia a livello neuromuscolare, ascendente o discendente. </w:t>
      </w:r>
      <w:r w:rsidR="00E20831">
        <w:t xml:space="preserve"> </w:t>
      </w:r>
      <w:r>
        <w:t>La correlazione si spiega col fatto che, ascendendo, il difetto occlusale creerebbe  un  problema  muscolare  che  si  ripercuote  sul  sistema  oculomotore; discendendo,  col  fatto  che  la  presenza  di  difetti  primari  dell'occhio  potrebbero  nel tempo  ripercuotersi  sull'apparato  stomatognatico  (malocclusione,  deviazioni mandibolari,  crescita  maxillo-facciale  incongrua,  contrazioni  asimmetriche  dello sternocleidomastoideo).</w:t>
      </w:r>
    </w:p>
    <w:p w:rsidR="00AE1380" w:rsidRDefault="00AE1380" w:rsidP="00E20831"/>
    <w:p w:rsidR="001C2220" w:rsidRDefault="001C2220" w:rsidP="00E20831">
      <w:pPr>
        <w:rPr>
          <w:b/>
        </w:rPr>
      </w:pPr>
      <w:r>
        <w:rPr>
          <w:b/>
        </w:rPr>
        <w:t>STUDIO SU ASSOCIAZIONE TRA MALOCCLUSIONI, POSTURA ERRATA E PROBLEMI DI CONVERGENZA OCULARE NEI BAMBINI DELLA SCUOLA ELEMENTARE</w:t>
      </w:r>
    </w:p>
    <w:p w:rsidR="001C2220" w:rsidRDefault="001C2220" w:rsidP="00E20831">
      <w:r>
        <w:t xml:space="preserve">Come già detto essendo i vari sistemi del corpo collegati per formare una singola unità strutturale, una condizione patologica in un’area può influenzare altre aree. Ci sono molte correlazioni conosciute tra i sistemi visivo e motore. La funzione visiva, in particolare il campo visivo periferico paracentrale, è importante nella coordinazione motoria, </w:t>
      </w:r>
      <w:r w:rsidR="00C366F7">
        <w:t>de</w:t>
      </w:r>
      <w:r>
        <w:t>ambulazione e mantenimento dell’equilibrio. Questo studio</w:t>
      </w:r>
      <w:r w:rsidR="0038445D">
        <w:t>, condotto da Silvestrini</w:t>
      </w:r>
      <w:r w:rsidR="005650FF">
        <w:t>-Biavati</w:t>
      </w:r>
      <w:r w:rsidR="0038445D">
        <w:t xml:space="preserve"> ed al. (2013),</w:t>
      </w:r>
      <w:r>
        <w:t xml:space="preserve"> ricerca, con una collaborazione interdisc</w:t>
      </w:r>
      <w:r w:rsidR="00AA3DDF">
        <w:t>iplinare, l’incidenza della mal</w:t>
      </w:r>
      <w:r>
        <w:t>occlusione dentale con la postura e problemi di convergenza oculare.</w:t>
      </w:r>
    </w:p>
    <w:p w:rsidR="005E19DC" w:rsidRDefault="001C2220" w:rsidP="00E20831">
      <w:r>
        <w:t xml:space="preserve">Sono </w:t>
      </w:r>
      <w:r w:rsidR="005E19DC">
        <w:t>stati esaminati 605 bambini di 3^, 4^ e 5^ elementare. Ogni bambino è stato sottoposto ad un esame:</w:t>
      </w:r>
      <w:r w:rsidR="00AA3DDF">
        <w:t xml:space="preserve"> odontoiatrico</w:t>
      </w:r>
      <w:r w:rsidR="005E19DC">
        <w:t xml:space="preserve">, ortottico e posturale. </w:t>
      </w:r>
    </w:p>
    <w:p w:rsidR="005E19DC" w:rsidRDefault="005E19DC" w:rsidP="00E20831">
      <w:r>
        <w:t>I dati dell’occlusione indicano la presenza di cross-bite, deviazione della linea mediana con uno s</w:t>
      </w:r>
      <w:r w:rsidR="00AA3DDF">
        <w:t xml:space="preserve">postamento mandibolare, </w:t>
      </w:r>
      <w:r>
        <w:t>abitudini</w:t>
      </w:r>
      <w:r w:rsidR="00AA3DDF">
        <w:t xml:space="preserve"> viziate</w:t>
      </w:r>
      <w:r>
        <w:t xml:space="preserve"> e morso profondo o aperto.</w:t>
      </w:r>
    </w:p>
    <w:p w:rsidR="005E19DC" w:rsidRDefault="005E19DC" w:rsidP="00E20831">
      <w:r>
        <w:t xml:space="preserve"> Il risultato post</w:t>
      </w:r>
      <w:r w:rsidR="00AA3DDF">
        <w:t>urologico comprendeva: osservazione</w:t>
      </w:r>
      <w:r>
        <w:t xml:space="preserve"> fr</w:t>
      </w:r>
      <w:r w:rsidR="00AA3DDF">
        <w:t>ontale e laterale, della flessione del tronco e della de</w:t>
      </w:r>
      <w:r>
        <w:t>ambulazione e annotazione di ogni asimmetria nell’arto inferiore.</w:t>
      </w:r>
    </w:p>
    <w:p w:rsidR="009557A0" w:rsidRDefault="005E19DC" w:rsidP="00E20831">
      <w:r>
        <w:t>I dati ortottici includevano dominanza oculare, cover test, test di convergenza e test della corda di Brock.</w:t>
      </w:r>
    </w:p>
    <w:p w:rsidR="00A71784" w:rsidRDefault="009557A0" w:rsidP="00E20831">
      <w:r>
        <w:rPr>
          <w:u w:val="single"/>
        </w:rPr>
        <w:t>Risultati:</w:t>
      </w:r>
      <w:r>
        <w:t xml:space="preserve"> nella maggioranza dei casi un’andatura non fisiologica è stata trovata in soggetti con overjet (14.70%) o overbite (14.87%)</w:t>
      </w:r>
      <w:r w:rsidR="00496CB7">
        <w:t xml:space="preserve"> [</w:t>
      </w:r>
      <w:r w:rsidR="00496CB7" w:rsidRPr="00496CB7">
        <w:rPr>
          <w:i/>
          <w:sz w:val="20"/>
          <w:szCs w:val="20"/>
        </w:rPr>
        <w:t xml:space="preserve">Per </w:t>
      </w:r>
      <w:r w:rsidR="00496CB7" w:rsidRPr="00496CB7">
        <w:rPr>
          <w:b/>
          <w:bCs/>
          <w:i/>
          <w:sz w:val="20"/>
          <w:szCs w:val="20"/>
        </w:rPr>
        <w:t>overjet</w:t>
      </w:r>
      <w:r w:rsidR="00496CB7" w:rsidRPr="00496CB7">
        <w:rPr>
          <w:i/>
          <w:sz w:val="20"/>
          <w:szCs w:val="20"/>
        </w:rPr>
        <w:t xml:space="preserve"> si intende la distanza orizzontale fra i margini incisali degli incisivi superiori e i margini incisali degli incisivi inferiori. Esso risulta aumentato, rispetto alla norma, nelle seconde classi e pari a zero o negativo nelle terze classi. Per </w:t>
      </w:r>
      <w:r w:rsidR="00496CB7" w:rsidRPr="00496CB7">
        <w:rPr>
          <w:b/>
          <w:bCs/>
          <w:i/>
          <w:sz w:val="20"/>
          <w:szCs w:val="20"/>
        </w:rPr>
        <w:t>overbite</w:t>
      </w:r>
      <w:r w:rsidR="00496CB7" w:rsidRPr="00496CB7">
        <w:rPr>
          <w:i/>
          <w:sz w:val="20"/>
          <w:szCs w:val="20"/>
        </w:rPr>
        <w:t xml:space="preserve"> si intende la distanza verticale fra i margini incisali degli incisivi superiori e i margini incisali degli incisivi inferiori. Esso risulta aumentato, rispetto alla norma, nei casi di morso profondo e negativo nei casi di morso aperto.</w:t>
      </w:r>
      <w:r w:rsidR="00496CB7">
        <w:t>]</w:t>
      </w:r>
      <w:r>
        <w:t xml:space="preserve"> me</w:t>
      </w:r>
      <w:r w:rsidR="00FE37C6">
        <w:t>ntre la percentuale dei soggetti</w:t>
      </w:r>
      <w:r>
        <w:t xml:space="preserve"> con occlusione</w:t>
      </w:r>
      <w:r w:rsidR="00AA3DDF">
        <w:t xml:space="preserve"> fisiologica</w:t>
      </w:r>
      <w:r>
        <w:t xml:space="preserve"> che </w:t>
      </w:r>
      <w:r w:rsidR="00AA3DDF">
        <w:t xml:space="preserve">presenta </w:t>
      </w:r>
      <w:r>
        <w:t>un’andatura non fisiologica è del 13.08%. il 93.8%-94.2% non ha asimmetrie nelle gambe, senza differenza in base alle occlusioni. Soggetti con un morso aperto o profondo mostrano una lieve differenza nella distribuzione dell’occhio dominante destro o sinistro.</w:t>
      </w:r>
    </w:p>
    <w:p w:rsidR="00A71784" w:rsidRDefault="00DB2931" w:rsidP="00E20831">
      <w:r>
        <w:rPr>
          <w:noProof/>
          <w:lang w:eastAsia="it-IT"/>
        </w:rPr>
        <w:lastRenderedPageBreak/>
        <w:drawing>
          <wp:anchor distT="0" distB="0" distL="114300" distR="114300" simplePos="0" relativeHeight="251675648" behindDoc="0" locked="0" layoutInCell="1" allowOverlap="1">
            <wp:simplePos x="0" y="0"/>
            <wp:positionH relativeFrom="column">
              <wp:posOffset>-297180</wp:posOffset>
            </wp:positionH>
            <wp:positionV relativeFrom="paragraph">
              <wp:posOffset>7004050</wp:posOffset>
            </wp:positionV>
            <wp:extent cx="6459855" cy="1344930"/>
            <wp:effectExtent l="19050" t="0" r="0" b="0"/>
            <wp:wrapSquare wrapText="bothSides"/>
            <wp:docPr id="3" name="Immagine 21" descr="convergen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genza.png"/>
                    <pic:cNvPicPr/>
                  </pic:nvPicPr>
                  <pic:blipFill>
                    <a:blip r:embed="rId9"/>
                    <a:stretch>
                      <a:fillRect/>
                    </a:stretch>
                  </pic:blipFill>
                  <pic:spPr>
                    <a:xfrm>
                      <a:off x="0" y="0"/>
                      <a:ext cx="6459855" cy="1344930"/>
                    </a:xfrm>
                    <a:prstGeom prst="rect">
                      <a:avLst/>
                    </a:prstGeom>
                  </pic:spPr>
                </pic:pic>
              </a:graphicData>
            </a:graphic>
          </wp:anchor>
        </w:drawing>
      </w:r>
      <w:r>
        <w:rPr>
          <w:noProof/>
          <w:lang w:eastAsia="it-IT"/>
        </w:rPr>
        <w:drawing>
          <wp:anchor distT="0" distB="0" distL="114300" distR="114300" simplePos="0" relativeHeight="251672576" behindDoc="0" locked="0" layoutInCell="1" allowOverlap="1">
            <wp:simplePos x="0" y="0"/>
            <wp:positionH relativeFrom="column">
              <wp:posOffset>-446405</wp:posOffset>
            </wp:positionH>
            <wp:positionV relativeFrom="paragraph">
              <wp:posOffset>1421130</wp:posOffset>
            </wp:positionV>
            <wp:extent cx="6847205" cy="1265555"/>
            <wp:effectExtent l="19050" t="0" r="0" b="0"/>
            <wp:wrapSquare wrapText="bothSides"/>
            <wp:docPr id="21" name="Immagine 7" descr="gambe asimmetri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e asimmetriche.png"/>
                    <pic:cNvPicPr/>
                  </pic:nvPicPr>
                  <pic:blipFill>
                    <a:blip r:embed="rId10"/>
                    <a:stretch>
                      <a:fillRect/>
                    </a:stretch>
                  </pic:blipFill>
                  <pic:spPr>
                    <a:xfrm>
                      <a:off x="0" y="0"/>
                      <a:ext cx="6847205" cy="1265555"/>
                    </a:xfrm>
                    <a:prstGeom prst="rect">
                      <a:avLst/>
                    </a:prstGeom>
                  </pic:spPr>
                </pic:pic>
              </a:graphicData>
            </a:graphic>
          </wp:anchor>
        </w:drawing>
      </w:r>
      <w:r w:rsidR="00A71784">
        <w:rPr>
          <w:noProof/>
          <w:lang w:eastAsia="it-IT"/>
        </w:rPr>
        <w:drawing>
          <wp:anchor distT="0" distB="0" distL="114300" distR="114300" simplePos="0" relativeHeight="251671552" behindDoc="0" locked="0" layoutInCell="1" allowOverlap="1">
            <wp:simplePos x="0" y="0"/>
            <wp:positionH relativeFrom="column">
              <wp:posOffset>-445135</wp:posOffset>
            </wp:positionH>
            <wp:positionV relativeFrom="paragraph">
              <wp:posOffset>-222885</wp:posOffset>
            </wp:positionV>
            <wp:extent cx="6933565" cy="1336040"/>
            <wp:effectExtent l="19050" t="0" r="635" b="0"/>
            <wp:wrapSquare wrapText="bothSides"/>
            <wp:docPr id="18" name="Immagine 16" descr="andamento fisiologico o pato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amento fisiologico o patologico.png"/>
                    <pic:cNvPicPr/>
                  </pic:nvPicPr>
                  <pic:blipFill>
                    <a:blip r:embed="rId11"/>
                    <a:stretch>
                      <a:fillRect/>
                    </a:stretch>
                  </pic:blipFill>
                  <pic:spPr>
                    <a:xfrm>
                      <a:off x="0" y="0"/>
                      <a:ext cx="6933565" cy="1336040"/>
                    </a:xfrm>
                    <a:prstGeom prst="rect">
                      <a:avLst/>
                    </a:prstGeom>
                  </pic:spPr>
                </pic:pic>
              </a:graphicData>
            </a:graphic>
          </wp:anchor>
        </w:drawing>
      </w:r>
    </w:p>
    <w:p w:rsidR="00DB2931" w:rsidRDefault="00DB2931" w:rsidP="00E20831">
      <w:r>
        <w:rPr>
          <w:noProof/>
          <w:lang w:eastAsia="it-IT"/>
        </w:rPr>
        <w:drawing>
          <wp:anchor distT="0" distB="0" distL="114300" distR="114300" simplePos="0" relativeHeight="251674624" behindDoc="0" locked="0" layoutInCell="1" allowOverlap="1">
            <wp:simplePos x="0" y="0"/>
            <wp:positionH relativeFrom="column">
              <wp:posOffset>-297180</wp:posOffset>
            </wp:positionH>
            <wp:positionV relativeFrom="paragraph">
              <wp:posOffset>1963420</wp:posOffset>
            </wp:positionV>
            <wp:extent cx="6478270" cy="1600200"/>
            <wp:effectExtent l="19050" t="0" r="0" b="0"/>
            <wp:wrapSquare wrapText="bothSides"/>
            <wp:docPr id="23" name="Immagine 22" descr="difetti convergen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etti convergenza.png"/>
                    <pic:cNvPicPr/>
                  </pic:nvPicPr>
                  <pic:blipFill>
                    <a:blip r:embed="rId12"/>
                    <a:stretch>
                      <a:fillRect/>
                    </a:stretch>
                  </pic:blipFill>
                  <pic:spPr>
                    <a:xfrm>
                      <a:off x="0" y="0"/>
                      <a:ext cx="6478270" cy="1600200"/>
                    </a:xfrm>
                    <a:prstGeom prst="rect">
                      <a:avLst/>
                    </a:prstGeom>
                  </pic:spPr>
                </pic:pic>
              </a:graphicData>
            </a:graphic>
          </wp:anchor>
        </w:drawing>
      </w:r>
      <w:r>
        <w:rPr>
          <w:noProof/>
          <w:lang w:eastAsia="it-IT"/>
        </w:rPr>
        <w:drawing>
          <wp:anchor distT="0" distB="0" distL="114300" distR="114300" simplePos="0" relativeHeight="251673600" behindDoc="0" locked="0" layoutInCell="1" allowOverlap="1">
            <wp:simplePos x="0" y="0"/>
            <wp:positionH relativeFrom="column">
              <wp:posOffset>-511175</wp:posOffset>
            </wp:positionH>
            <wp:positionV relativeFrom="paragraph">
              <wp:posOffset>205105</wp:posOffset>
            </wp:positionV>
            <wp:extent cx="6913245" cy="1283335"/>
            <wp:effectExtent l="19050" t="0" r="1905" b="0"/>
            <wp:wrapSquare wrapText="bothSides"/>
            <wp:docPr id="19" name="Immagine 8" descr="occhio domin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chio dominante.png"/>
                    <pic:cNvPicPr/>
                  </pic:nvPicPr>
                  <pic:blipFill>
                    <a:blip r:embed="rId13"/>
                    <a:stretch>
                      <a:fillRect/>
                    </a:stretch>
                  </pic:blipFill>
                  <pic:spPr>
                    <a:xfrm>
                      <a:off x="0" y="0"/>
                      <a:ext cx="6913245" cy="1283335"/>
                    </a:xfrm>
                    <a:prstGeom prst="rect">
                      <a:avLst/>
                    </a:prstGeom>
                  </pic:spPr>
                </pic:pic>
              </a:graphicData>
            </a:graphic>
          </wp:anchor>
        </w:drawing>
      </w:r>
    </w:p>
    <w:p w:rsidR="006827EA" w:rsidRDefault="009557A0" w:rsidP="00E20831">
      <w:r>
        <w:rPr>
          <w:u w:val="single"/>
        </w:rPr>
        <w:lastRenderedPageBreak/>
        <w:t>Conclusioni</w:t>
      </w:r>
      <w:r w:rsidRPr="005650FF">
        <w:t>:</w:t>
      </w:r>
      <w:r>
        <w:rPr>
          <w:u w:val="single"/>
        </w:rPr>
        <w:t xml:space="preserve"> </w:t>
      </w:r>
      <w:r>
        <w:t>il 13% dei bambini mostrano un’andatura patologica e tra loro erano prevalenti anomalie vert</w:t>
      </w:r>
      <w:r w:rsidR="00496CB7">
        <w:t>icali di occlusione [</w:t>
      </w:r>
      <w:r w:rsidRPr="00496CB7">
        <w:rPr>
          <w:i/>
          <w:sz w:val="20"/>
          <w:szCs w:val="20"/>
        </w:rPr>
        <w:t>Le anomalie verticale interessano l'aumento o la diminuzione dell'overbite, ci</w:t>
      </w:r>
      <w:r w:rsidR="00496CB7" w:rsidRPr="00496CB7">
        <w:rPr>
          <w:i/>
          <w:sz w:val="20"/>
          <w:szCs w:val="20"/>
        </w:rPr>
        <w:t xml:space="preserve">oè della sovrocclusione dei </w:t>
      </w:r>
      <w:r w:rsidRPr="00496CB7">
        <w:rPr>
          <w:i/>
          <w:sz w:val="20"/>
          <w:szCs w:val="20"/>
        </w:rPr>
        <w:t xml:space="preserve">denti anteriori. Nel caso di un aumento di tale dimensione, si ha un </w:t>
      </w:r>
      <w:r w:rsidRPr="00496CB7">
        <w:rPr>
          <w:b/>
          <w:bCs/>
          <w:i/>
          <w:iCs/>
          <w:sz w:val="20"/>
          <w:szCs w:val="20"/>
        </w:rPr>
        <w:t>morso profondo</w:t>
      </w:r>
      <w:r w:rsidRPr="00496CB7">
        <w:rPr>
          <w:i/>
          <w:sz w:val="20"/>
          <w:szCs w:val="20"/>
        </w:rPr>
        <w:t xml:space="preserve"> o </w:t>
      </w:r>
      <w:r w:rsidRPr="00496CB7">
        <w:rPr>
          <w:b/>
          <w:bCs/>
          <w:i/>
          <w:iCs/>
          <w:sz w:val="20"/>
          <w:szCs w:val="20"/>
        </w:rPr>
        <w:t>deep-bite</w:t>
      </w:r>
      <w:r w:rsidRPr="00496CB7">
        <w:rPr>
          <w:i/>
          <w:sz w:val="20"/>
          <w:szCs w:val="20"/>
        </w:rPr>
        <w:t xml:space="preserve">. Nel caso, invece, di una diminuzione di tale dimensione, fino a valori negativi si ha un </w:t>
      </w:r>
      <w:r w:rsidRPr="00496CB7">
        <w:rPr>
          <w:b/>
          <w:bCs/>
          <w:i/>
          <w:iCs/>
          <w:sz w:val="20"/>
          <w:szCs w:val="20"/>
        </w:rPr>
        <w:t>morso aperto</w:t>
      </w:r>
      <w:r w:rsidRPr="00496CB7">
        <w:rPr>
          <w:i/>
          <w:sz w:val="20"/>
          <w:szCs w:val="20"/>
        </w:rPr>
        <w:t xml:space="preserve"> o </w:t>
      </w:r>
      <w:r w:rsidRPr="00496CB7">
        <w:rPr>
          <w:b/>
          <w:bCs/>
          <w:i/>
          <w:iCs/>
          <w:sz w:val="20"/>
          <w:szCs w:val="20"/>
        </w:rPr>
        <w:t>open-bite</w:t>
      </w:r>
      <w:r w:rsidRPr="009557A0">
        <w:t>.</w:t>
      </w:r>
      <w:r w:rsidR="00496CB7">
        <w:t>]</w:t>
      </w:r>
      <w:r>
        <w:rPr>
          <w:sz w:val="20"/>
          <w:szCs w:val="20"/>
        </w:rPr>
        <w:t xml:space="preserve"> </w:t>
      </w:r>
      <w:r w:rsidR="005E19DC">
        <w:t xml:space="preserve"> </w:t>
      </w:r>
      <w:r w:rsidR="006827EA">
        <w:t xml:space="preserve">rispetto agli altri difetti di occlusione. </w:t>
      </w:r>
    </w:p>
    <w:p w:rsidR="006827EA" w:rsidRDefault="00AA3DDF" w:rsidP="006827EA">
      <w:r w:rsidRPr="00AA3DDF">
        <w:t>Varie problematiche posturali, ortottiche, osteopatiche e occlusali sono risultate frequentemente clinicamente associate. Dunque questi disturbi richiedono una valutazione ed un trattamento di natura multidisciplinare.</w:t>
      </w:r>
    </w:p>
    <w:p w:rsidR="006827EA" w:rsidRDefault="00DB2931" w:rsidP="006827EA">
      <w:r>
        <w:rPr>
          <w:noProof/>
          <w:lang w:eastAsia="it-IT"/>
        </w:rPr>
        <w:drawing>
          <wp:anchor distT="0" distB="0" distL="114300" distR="114300" simplePos="0" relativeHeight="251662336" behindDoc="0" locked="0" layoutInCell="1" allowOverlap="1">
            <wp:simplePos x="0" y="0"/>
            <wp:positionH relativeFrom="margin">
              <wp:posOffset>3290570</wp:posOffset>
            </wp:positionH>
            <wp:positionV relativeFrom="margin">
              <wp:posOffset>2117090</wp:posOffset>
            </wp:positionV>
            <wp:extent cx="2390140" cy="1503045"/>
            <wp:effectExtent l="19050" t="0" r="0" b="0"/>
            <wp:wrapSquare wrapText="bothSides"/>
            <wp:docPr id="6" name="Immagine 10" descr="https://i.ytimg.com/vi/TH049gVZ99o/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ytimg.com/vi/TH049gVZ99o/hqdefault.jpg"/>
                    <pic:cNvPicPr>
                      <a:picLocks noChangeAspect="1" noChangeArrowheads="1"/>
                    </pic:cNvPicPr>
                  </pic:nvPicPr>
                  <pic:blipFill>
                    <a:blip r:embed="rId14" cstate="print"/>
                    <a:srcRect/>
                    <a:stretch>
                      <a:fillRect/>
                    </a:stretch>
                  </pic:blipFill>
                  <pic:spPr bwMode="auto">
                    <a:xfrm>
                      <a:off x="0" y="0"/>
                      <a:ext cx="2390140" cy="1503045"/>
                    </a:xfrm>
                    <a:prstGeom prst="rect">
                      <a:avLst/>
                    </a:prstGeom>
                    <a:noFill/>
                    <a:ln w="9525">
                      <a:noFill/>
                      <a:miter lim="800000"/>
                      <a:headEnd/>
                      <a:tailEnd/>
                    </a:ln>
                  </pic:spPr>
                </pic:pic>
              </a:graphicData>
            </a:graphic>
          </wp:anchor>
        </w:drawing>
      </w:r>
    </w:p>
    <w:p w:rsidR="006827EA" w:rsidRDefault="00DB2931" w:rsidP="006827EA">
      <w:r>
        <w:rPr>
          <w:noProof/>
          <w:lang w:eastAsia="it-IT"/>
        </w:rPr>
        <w:drawing>
          <wp:anchor distT="0" distB="0" distL="114300" distR="114300" simplePos="0" relativeHeight="251659264" behindDoc="0" locked="0" layoutInCell="1" allowOverlap="1">
            <wp:simplePos x="0" y="0"/>
            <wp:positionH relativeFrom="margin">
              <wp:posOffset>-68580</wp:posOffset>
            </wp:positionH>
            <wp:positionV relativeFrom="margin">
              <wp:posOffset>2150745</wp:posOffset>
            </wp:positionV>
            <wp:extent cx="2688590" cy="1468120"/>
            <wp:effectExtent l="19050" t="0" r="0" b="0"/>
            <wp:wrapSquare wrapText="bothSides"/>
            <wp:docPr id="7" name="Immagine 7" descr="http://www.cartwrightorthodontics.com/assets/images/Yarger-C-Deep-Bite-Before2-1024x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artwrightorthodontics.com/assets/images/Yarger-C-Deep-Bite-Before2-1024x561.jpg"/>
                    <pic:cNvPicPr>
                      <a:picLocks noChangeAspect="1" noChangeArrowheads="1"/>
                    </pic:cNvPicPr>
                  </pic:nvPicPr>
                  <pic:blipFill>
                    <a:blip r:embed="rId15" cstate="print"/>
                    <a:srcRect/>
                    <a:stretch>
                      <a:fillRect/>
                    </a:stretch>
                  </pic:blipFill>
                  <pic:spPr bwMode="auto">
                    <a:xfrm>
                      <a:off x="0" y="0"/>
                      <a:ext cx="2688590" cy="1468120"/>
                    </a:xfrm>
                    <a:prstGeom prst="rect">
                      <a:avLst/>
                    </a:prstGeom>
                    <a:noFill/>
                    <a:ln w="9525">
                      <a:noFill/>
                      <a:miter lim="800000"/>
                      <a:headEnd/>
                      <a:tailEnd/>
                    </a:ln>
                  </pic:spPr>
                </pic:pic>
              </a:graphicData>
            </a:graphic>
          </wp:anchor>
        </w:drawing>
      </w:r>
    </w:p>
    <w:p w:rsidR="006827EA" w:rsidRDefault="006827EA" w:rsidP="006827EA"/>
    <w:p w:rsidR="006827EA" w:rsidRDefault="006827EA" w:rsidP="006827EA"/>
    <w:p w:rsidR="00E770E8" w:rsidRDefault="00E770E8" w:rsidP="006827EA"/>
    <w:p w:rsidR="00E770E8" w:rsidRDefault="00B96E06" w:rsidP="006827EA">
      <w:r>
        <w:rPr>
          <w:noProof/>
        </w:rPr>
        <w:pict>
          <v:shapetype id="_x0000_t202" coordsize="21600,21600" o:spt="202" path="m,l,21600r21600,l21600,xe">
            <v:stroke joinstyle="miter"/>
            <v:path gradientshapeok="t" o:connecttype="rect"/>
          </v:shapetype>
          <v:shape id="_x0000_s1026" type="#_x0000_t202" style="position:absolute;margin-left:-218.25pt;margin-top:18.5pt;width:209.25pt;height:21pt;z-index:251661312" stroked="f">
            <v:textbox style="mso-fit-shape-to-text:t" inset="0,0,0,0">
              <w:txbxContent>
                <w:p w:rsidR="00496CB7" w:rsidRPr="003F31A7" w:rsidRDefault="00496CB7" w:rsidP="00496CB7">
                  <w:pPr>
                    <w:pStyle w:val="Didascalia"/>
                    <w:jc w:val="center"/>
                    <w:rPr>
                      <w:noProof/>
                    </w:rPr>
                  </w:pPr>
                  <w:r>
                    <w:t>Overbite alteration:</w:t>
                  </w:r>
                  <w:r w:rsidR="00AE1380">
                    <w:t xml:space="preserve"> </w:t>
                  </w:r>
                  <w:r>
                    <w:t>deep bite</w:t>
                  </w:r>
                </w:p>
              </w:txbxContent>
            </v:textbox>
            <w10:wrap type="square"/>
          </v:shape>
        </w:pict>
      </w:r>
      <w:r>
        <w:rPr>
          <w:noProof/>
        </w:rPr>
        <w:pict>
          <v:shape id="_x0000_s1027" type="#_x0000_t202" style="position:absolute;margin-left:58.6pt;margin-top:22.25pt;width:188.25pt;height:21pt;z-index:251664384" stroked="f">
            <v:textbox style="mso-fit-shape-to-text:t" inset="0,0,0,0">
              <w:txbxContent>
                <w:p w:rsidR="00496CB7" w:rsidRPr="00BC7622" w:rsidRDefault="00496CB7" w:rsidP="00496CB7">
                  <w:pPr>
                    <w:pStyle w:val="Didascalia"/>
                    <w:jc w:val="center"/>
                    <w:rPr>
                      <w:noProof/>
                    </w:rPr>
                  </w:pPr>
                  <w:r>
                    <w:t>Overbite alteration: open bite</w:t>
                  </w:r>
                </w:p>
              </w:txbxContent>
            </v:textbox>
            <w10:wrap type="square"/>
          </v:shape>
        </w:pict>
      </w:r>
    </w:p>
    <w:p w:rsidR="00AE1380" w:rsidRDefault="00AE1380" w:rsidP="006827EA"/>
    <w:p w:rsidR="005650FF" w:rsidRDefault="005650FF" w:rsidP="006827EA"/>
    <w:p w:rsidR="00DB2931" w:rsidRDefault="00DB2931" w:rsidP="006827EA"/>
    <w:p w:rsidR="006827EA" w:rsidRPr="003830FB" w:rsidRDefault="006827EA" w:rsidP="006827EA">
      <w:r>
        <w:t>Bibliografia:</w:t>
      </w:r>
      <w:r w:rsidRPr="006827EA">
        <w:rPr>
          <w:i/>
        </w:rPr>
        <w:t xml:space="preserve"> </w:t>
      </w:r>
    </w:p>
    <w:p w:rsidR="006827EA" w:rsidRDefault="006827EA" w:rsidP="006827EA">
      <w:pPr>
        <w:rPr>
          <w:i/>
        </w:rPr>
      </w:pPr>
      <w:r>
        <w:rPr>
          <w:i/>
        </w:rPr>
        <w:t xml:space="preserve">Sergio Ettore Salteri </w:t>
      </w:r>
      <w:r>
        <w:rPr>
          <w:b/>
        </w:rPr>
        <w:t xml:space="preserve">“Criteri di interdisciplinarietà del trattamento delle sindromi posturali con particolare riguardo al recettore oculare: esperienza personale – IMPATTO SOCIO-ECONOMICO DELLE PATOLOGIE POSTURALI” </w:t>
      </w:r>
    </w:p>
    <w:p w:rsidR="00BB293C" w:rsidRPr="00BB293C" w:rsidRDefault="00BB293C" w:rsidP="00BB293C">
      <w:pPr>
        <w:rPr>
          <w:b/>
        </w:rPr>
      </w:pPr>
      <w:r>
        <w:rPr>
          <w:i/>
        </w:rPr>
        <w:t>F</w:t>
      </w:r>
      <w:r w:rsidRPr="00BB293C">
        <w:rPr>
          <w:i/>
        </w:rPr>
        <w:t>rancesco</w:t>
      </w:r>
      <w:r>
        <w:rPr>
          <w:i/>
        </w:rPr>
        <w:t xml:space="preserve"> F</w:t>
      </w:r>
      <w:r w:rsidRPr="00BB293C">
        <w:rPr>
          <w:i/>
        </w:rPr>
        <w:t>anottoli</w:t>
      </w:r>
      <w:r>
        <w:rPr>
          <w:i/>
        </w:rPr>
        <w:t xml:space="preserve">  </w:t>
      </w:r>
      <w:r w:rsidRPr="00BB293C">
        <w:rPr>
          <w:b/>
        </w:rPr>
        <w:t>http://www.francescofanottoli.com/category/optometria/</w:t>
      </w:r>
      <w:r>
        <w:rPr>
          <w:b/>
        </w:rPr>
        <w:t xml:space="preserve"> “Interferenza visiva e postura” (9 aprile 2015) </w:t>
      </w:r>
    </w:p>
    <w:p w:rsidR="006827EA" w:rsidRDefault="006827EA" w:rsidP="006827EA">
      <w:pPr>
        <w:rPr>
          <w:i/>
        </w:rPr>
      </w:pPr>
      <w:r w:rsidRPr="006827EA">
        <w:rPr>
          <w:i/>
        </w:rPr>
        <w:t xml:space="preserve"> </w:t>
      </w:r>
      <w:r>
        <w:rPr>
          <w:i/>
        </w:rPr>
        <w:t>G.Bilello, D. Caradonna, C. Caradonna, A.M. Cuccia, A. Manzella</w:t>
      </w:r>
      <w:r>
        <w:rPr>
          <w:b/>
        </w:rPr>
        <w:t xml:space="preserve"> “Correlazione tra i sistemi stomatognatico e oculomotore nel determinismo della postura” (7 ottobre 2009)</w:t>
      </w:r>
    </w:p>
    <w:p w:rsidR="006827EA" w:rsidRDefault="006827EA" w:rsidP="00E20831">
      <w:pPr>
        <w:rPr>
          <w:b/>
        </w:rPr>
      </w:pPr>
      <w:r>
        <w:rPr>
          <w:i/>
        </w:rPr>
        <w:t xml:space="preserve">Armando Silvestrini-Biavati, Marco Migliorati, Eleonora Demarziani, Simona Tecco, Piero Silvestrini-Biavati, Antonella Polimeni, Matteo Saccucci </w:t>
      </w:r>
      <w:r>
        <w:rPr>
          <w:b/>
        </w:rPr>
        <w:t>“Clinical association between teeth malocclusions, wrong posture and ocular convergence disorders: an epidemiological investigation on primary school children” (2013)</w:t>
      </w:r>
    </w:p>
    <w:p w:rsidR="00DE4763" w:rsidRDefault="006827EA" w:rsidP="00326C8A">
      <w:pPr>
        <w:rPr>
          <w:b/>
        </w:rPr>
      </w:pPr>
      <w:r>
        <w:rPr>
          <w:i/>
        </w:rPr>
        <w:t xml:space="preserve">Alice Delbono </w:t>
      </w:r>
      <w:r w:rsidR="00F246A9">
        <w:rPr>
          <w:b/>
        </w:rPr>
        <w:t>T</w:t>
      </w:r>
      <w:r>
        <w:rPr>
          <w:b/>
        </w:rPr>
        <w:t xml:space="preserve">esi di laurea in Logopedia </w:t>
      </w:r>
      <w:r w:rsidR="00F246A9">
        <w:rPr>
          <w:b/>
        </w:rPr>
        <w:t>“Correlazione tra Squilibrio Muscolare Orofacciale e disfunzioni di interesse osteopatico: studio su 21 soggetti”</w:t>
      </w:r>
      <w:r w:rsidR="00F246A9" w:rsidRPr="00F246A9">
        <w:rPr>
          <w:b/>
        </w:rPr>
        <w:t xml:space="preserve"> </w:t>
      </w:r>
      <w:r w:rsidR="00F246A9">
        <w:rPr>
          <w:b/>
        </w:rPr>
        <w:t>(2015)</w:t>
      </w:r>
    </w:p>
    <w:p w:rsidR="00BB293C" w:rsidRPr="00BB293C" w:rsidRDefault="00BB293C">
      <w:pPr>
        <w:rPr>
          <w:b/>
        </w:rPr>
      </w:pPr>
    </w:p>
    <w:sectPr w:rsidR="00BB293C" w:rsidRPr="00BB293C" w:rsidSect="00A85A35">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FA6" w:rsidRDefault="006C7FA6" w:rsidP="003830FB">
      <w:pPr>
        <w:spacing w:after="0" w:line="240" w:lineRule="auto"/>
      </w:pPr>
      <w:r>
        <w:separator/>
      </w:r>
    </w:p>
  </w:endnote>
  <w:endnote w:type="continuationSeparator" w:id="1">
    <w:p w:rsidR="006C7FA6" w:rsidRDefault="006C7FA6" w:rsidP="003830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FA6" w:rsidRDefault="006C7FA6" w:rsidP="003830FB">
      <w:pPr>
        <w:spacing w:after="0" w:line="240" w:lineRule="auto"/>
      </w:pPr>
      <w:r>
        <w:separator/>
      </w:r>
    </w:p>
  </w:footnote>
  <w:footnote w:type="continuationSeparator" w:id="1">
    <w:p w:rsidR="006C7FA6" w:rsidRDefault="006C7FA6" w:rsidP="003830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5057"/>
    <w:multiLevelType w:val="hybridMultilevel"/>
    <w:tmpl w:val="B2D64A34"/>
    <w:lvl w:ilvl="0" w:tplc="DBE817F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283"/>
  <w:characterSpacingControl w:val="doNotCompress"/>
  <w:footnotePr>
    <w:footnote w:id="0"/>
    <w:footnote w:id="1"/>
  </w:footnotePr>
  <w:endnotePr>
    <w:endnote w:id="0"/>
    <w:endnote w:id="1"/>
  </w:endnotePr>
  <w:compat/>
  <w:rsids>
    <w:rsidRoot w:val="00326C8A"/>
    <w:rsid w:val="000002E5"/>
    <w:rsid w:val="00041907"/>
    <w:rsid w:val="00081701"/>
    <w:rsid w:val="000E70AA"/>
    <w:rsid w:val="001132F2"/>
    <w:rsid w:val="001C2220"/>
    <w:rsid w:val="001D0ABD"/>
    <w:rsid w:val="002107E4"/>
    <w:rsid w:val="00256F9D"/>
    <w:rsid w:val="002841A0"/>
    <w:rsid w:val="002858E8"/>
    <w:rsid w:val="00326C8A"/>
    <w:rsid w:val="003668F9"/>
    <w:rsid w:val="003830FB"/>
    <w:rsid w:val="0038445D"/>
    <w:rsid w:val="00393822"/>
    <w:rsid w:val="00496CB7"/>
    <w:rsid w:val="00511306"/>
    <w:rsid w:val="005650FF"/>
    <w:rsid w:val="0057039F"/>
    <w:rsid w:val="005A62DA"/>
    <w:rsid w:val="005C314A"/>
    <w:rsid w:val="005E19DC"/>
    <w:rsid w:val="006812A3"/>
    <w:rsid w:val="006827EA"/>
    <w:rsid w:val="006C7FA6"/>
    <w:rsid w:val="00735240"/>
    <w:rsid w:val="007B68FF"/>
    <w:rsid w:val="007F602D"/>
    <w:rsid w:val="009557A0"/>
    <w:rsid w:val="009A2EF7"/>
    <w:rsid w:val="009D0608"/>
    <w:rsid w:val="00A4410E"/>
    <w:rsid w:val="00A71784"/>
    <w:rsid w:val="00A85A35"/>
    <w:rsid w:val="00AA3DDF"/>
    <w:rsid w:val="00AD7824"/>
    <w:rsid w:val="00AE1380"/>
    <w:rsid w:val="00AF2B7C"/>
    <w:rsid w:val="00B96E06"/>
    <w:rsid w:val="00BB293C"/>
    <w:rsid w:val="00BD377F"/>
    <w:rsid w:val="00C01D08"/>
    <w:rsid w:val="00C11A48"/>
    <w:rsid w:val="00C366F7"/>
    <w:rsid w:val="00C83F80"/>
    <w:rsid w:val="00D11A98"/>
    <w:rsid w:val="00D22719"/>
    <w:rsid w:val="00D31AC0"/>
    <w:rsid w:val="00D477AB"/>
    <w:rsid w:val="00DB2931"/>
    <w:rsid w:val="00DE4763"/>
    <w:rsid w:val="00E20831"/>
    <w:rsid w:val="00E770E8"/>
    <w:rsid w:val="00F246A9"/>
    <w:rsid w:val="00F4373A"/>
    <w:rsid w:val="00FA5443"/>
    <w:rsid w:val="00FE37C6"/>
    <w:rsid w:val="00FF2F5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85A35"/>
  </w:style>
  <w:style w:type="paragraph" w:styleId="Titolo1">
    <w:name w:val="heading 1"/>
    <w:basedOn w:val="Normale"/>
    <w:next w:val="Normale"/>
    <w:link w:val="Titolo1Carattere"/>
    <w:uiPriority w:val="9"/>
    <w:qFormat/>
    <w:rsid w:val="00326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26C8A"/>
    <w:rPr>
      <w:rFonts w:asciiTheme="majorHAnsi" w:eastAsiaTheme="majorEastAsia" w:hAnsiTheme="majorHAnsi" w:cstheme="majorBidi"/>
      <w:b/>
      <w:bCs/>
      <w:color w:val="365F91" w:themeColor="accent1" w:themeShade="BF"/>
      <w:sz w:val="28"/>
      <w:szCs w:val="28"/>
    </w:rPr>
  </w:style>
  <w:style w:type="paragraph" w:styleId="Paragrafoelenco">
    <w:name w:val="List Paragraph"/>
    <w:basedOn w:val="Normale"/>
    <w:uiPriority w:val="34"/>
    <w:qFormat/>
    <w:rsid w:val="00326C8A"/>
    <w:pPr>
      <w:ind w:left="720"/>
      <w:contextualSpacing/>
    </w:pPr>
  </w:style>
  <w:style w:type="paragraph" w:styleId="Nessunaspaziatura">
    <w:name w:val="No Spacing"/>
    <w:uiPriority w:val="1"/>
    <w:qFormat/>
    <w:rsid w:val="00DE4763"/>
    <w:pPr>
      <w:spacing w:after="0" w:line="240" w:lineRule="auto"/>
    </w:pPr>
  </w:style>
  <w:style w:type="paragraph" w:styleId="Testofumetto">
    <w:name w:val="Balloon Text"/>
    <w:basedOn w:val="Normale"/>
    <w:link w:val="TestofumettoCarattere"/>
    <w:uiPriority w:val="99"/>
    <w:semiHidden/>
    <w:unhideWhenUsed/>
    <w:rsid w:val="00E2083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20831"/>
    <w:rPr>
      <w:rFonts w:ascii="Tahoma" w:hAnsi="Tahoma" w:cs="Tahoma"/>
      <w:sz w:val="16"/>
      <w:szCs w:val="16"/>
    </w:rPr>
  </w:style>
  <w:style w:type="paragraph" w:styleId="Didascalia">
    <w:name w:val="caption"/>
    <w:basedOn w:val="Normale"/>
    <w:next w:val="Normale"/>
    <w:uiPriority w:val="35"/>
    <w:unhideWhenUsed/>
    <w:qFormat/>
    <w:rsid w:val="00496CB7"/>
    <w:pPr>
      <w:spacing w:line="240" w:lineRule="auto"/>
    </w:pPr>
    <w:rPr>
      <w:b/>
      <w:bCs/>
      <w:color w:val="4F81BD" w:themeColor="accent1"/>
      <w:sz w:val="18"/>
      <w:szCs w:val="18"/>
    </w:rPr>
  </w:style>
  <w:style w:type="character" w:styleId="Collegamentoipertestuale">
    <w:name w:val="Hyperlink"/>
    <w:basedOn w:val="Carpredefinitoparagrafo"/>
    <w:uiPriority w:val="99"/>
    <w:unhideWhenUsed/>
    <w:rsid w:val="00D11A98"/>
    <w:rPr>
      <w:color w:val="0000FF"/>
      <w:u w:val="single"/>
    </w:rPr>
  </w:style>
  <w:style w:type="paragraph" w:styleId="Intestazione">
    <w:name w:val="header"/>
    <w:basedOn w:val="Normale"/>
    <w:link w:val="IntestazioneCarattere"/>
    <w:uiPriority w:val="99"/>
    <w:semiHidden/>
    <w:unhideWhenUsed/>
    <w:rsid w:val="003830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830FB"/>
  </w:style>
  <w:style w:type="paragraph" w:styleId="Pidipagina">
    <w:name w:val="footer"/>
    <w:basedOn w:val="Normale"/>
    <w:link w:val="PidipaginaCarattere"/>
    <w:uiPriority w:val="99"/>
    <w:semiHidden/>
    <w:unhideWhenUsed/>
    <w:rsid w:val="003830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3830F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6</Pages>
  <Words>1930</Words>
  <Characters>11003</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Serena Delbono</dc:creator>
  <cp:lastModifiedBy>Serena Delbono</cp:lastModifiedBy>
  <cp:revision>18</cp:revision>
  <cp:lastPrinted>2015-12-30T12:09:00Z</cp:lastPrinted>
  <dcterms:created xsi:type="dcterms:W3CDTF">2015-12-27T10:29:00Z</dcterms:created>
  <dcterms:modified xsi:type="dcterms:W3CDTF">2016-01-05T17:31:00Z</dcterms:modified>
</cp:coreProperties>
</file>