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Quarterly Report</w:t>
      </w:r>
    </w:p>
    <w:p>
      <w:pPr>
        <w:pStyle w:val="Heading1"/>
      </w:pPr>
      <w:r>
        <w:t>1. Overview</w:t>
      </w:r>
    </w:p>
    <w:p>
      <w:r>
        <w:t>This document tests DOCX extraction: headings, paragraphs, lists, tables and embedded images.</w:t>
      </w:r>
    </w:p>
    <w:p>
      <w:pPr>
        <w:pStyle w:val="Heading2"/>
      </w:pPr>
      <w:r>
        <w:t>1.1 Highlights</w:t>
      </w:r>
    </w:p>
    <w:p>
      <w:pPr>
        <w:pStyle w:val="ListBullet"/>
      </w:pPr>
      <w:r>
        <w:t>Revenue grew 12 percent</w:t>
      </w:r>
    </w:p>
    <w:p>
      <w:pPr>
        <w:pStyle w:val="ListBullet"/>
      </w:pPr>
      <w:r>
        <w:t>Churn fell to 3 percent</w:t>
      </w:r>
    </w:p>
    <w:p>
      <w:pPr>
        <w:pStyle w:val="ListBullet"/>
      </w:pPr>
      <w:r>
        <w:t>Two new regions launched</w:t>
      </w:r>
    </w:p>
    <w:p>
      <w:pPr>
        <w:pStyle w:val="ListNumber"/>
      </w:pPr>
      <w:r>
        <w:t>Close the books</w:t>
      </w:r>
    </w:p>
    <w:p>
      <w:pPr>
        <w:pStyle w:val="ListNumber"/>
      </w:pPr>
      <w:r>
        <w:t>Publish results</w:t>
      </w:r>
    </w:p>
    <w:p>
      <w:pPr>
        <w:pStyle w:val="ListNumber"/>
      </w:pPr>
      <w:r>
        <w:t>Plan next quarter</w:t>
      </w:r>
    </w:p>
    <w:p>
      <w:pPr>
        <w:pStyle w:val="Heading1"/>
      </w:pPr>
      <w:r>
        <w:t>2. Financial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t>Segment</w:t>
            </w:r>
          </w:p>
        </w:tc>
        <w:tc>
          <w:tcPr>
            <w:tcW w:type="dxa" w:w="3456"/>
            <w:gridSpan w:val="2"/>
          </w:tcPr>
          <w:p>
            <w:r>
              <w:t>FY2024</w:t>
            </w:r>
          </w:p>
        </w:tc>
        <w:tc>
          <w:tcPr>
            <w:tcW w:type="dxa" w:w="3456"/>
            <w:gridSpan w:val="2"/>
          </w:tcPr>
          <w:p>
            <w:r>
              <w:t>FY2023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H2</w:t>
            </w:r>
          </w:p>
        </w:tc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H2</w:t>
            </w:r>
          </w:p>
        </w:tc>
      </w:tr>
      <w:tr>
        <w:tc>
          <w:tcPr>
            <w:tcW w:type="dxa" w:w="1728"/>
          </w:tcPr>
          <w:p>
            <w:r>
              <w:t>North America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1,350</w:t>
            </w:r>
          </w:p>
        </w:tc>
        <w:tc>
          <w:tcPr>
            <w:tcW w:type="dxa" w:w="1728"/>
          </w:tcPr>
          <w:p>
            <w:r>
              <w:t>1,100</w:t>
            </w:r>
          </w:p>
        </w:tc>
        <w:tc>
          <w:tcPr>
            <w:tcW w:type="dxa" w:w="1728"/>
          </w:tcPr>
          <w:p>
            <w:r>
              <w:t>1,250</w:t>
            </w:r>
          </w:p>
        </w:tc>
      </w:tr>
      <w:tr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(450)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(510)</w:t>
            </w:r>
          </w:p>
        </w:tc>
      </w:tr>
      <w:tr>
        <w:tc>
          <w:tcPr>
            <w:tcW w:type="dxa" w:w="1728"/>
          </w:tcPr>
          <w:p>
            <w:r>
              <w:t>Asia Pacific</w:t>
            </w:r>
          </w:p>
        </w:tc>
        <w:tc>
          <w:tcPr>
            <w:tcW w:type="dxa" w:w="1728"/>
          </w:tcPr>
          <w:p>
            <w:r>
              <w:t>$980</w:t>
            </w:r>
          </w:p>
        </w:tc>
        <w:tc>
          <w:tcPr>
            <w:tcW w:type="dxa" w:w="1728"/>
          </w:tcPr>
          <w:p>
            <w:r>
              <w:t>$1,020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45%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figures unaudited, USD thousands</w:t>
            </w:r>
          </w:p>
        </w:tc>
      </w:tr>
    </w:tbl>
    <w:p>
      <w:pPr>
        <w:pStyle w:val="Heading1"/>
      </w:pPr>
      <w:r>
        <w:t>3. Chart</w:t>
      </w:r>
    </w:p>
    <w:p>
      <w:r>
        <w:t>Figure: Quarterly Revenue Bar Chart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