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52"/>
        </w:rPr>
        <w:t>CONTRATO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Contrato de Locação de Consultório Odontológico  ·  Lei nº 8.245/1991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1C6B5B"/>
        </w:rPr>
        <w:t xml:space="preserve">  Qualificação das Partes  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C6B5B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1C6B5B"/>
        </w:rPr>
        <w:t xml:space="preserve">  Encerramento e Assinaturas  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46.420.470/0001-05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20" w:before="200" w:line="240" w:lineRule="auto"/>
        <w:jc w:val="left"/>
      </w:pPr>
      <w:r>
        <w:rPr>
          <w:rFonts w:ascii="Arial" w:hAnsi="Arial" w:cs="Arial"/>
          <w:b/>
          <w:i w:val="0"/>
          <w:color w:val="FFFFFF"/>
          <w:sz w:val="21"/>
          <w:smallCaps/>
          <w:shd w:val="clear" w:color="auto" w:fill="1C6B5B"/>
        </w:rPr>
        <w:t xml:space="preserve">  Testemunhas  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NORMAS E ROTINAS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Biossegurança e controle de infecção do consultório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6"/>
        </w:rPr>
        <w:t>PROCEDIMENTO OPERACIONAL PADRÃO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Rotina de segurança no atendimento odontológico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280" w:before="0" w:line="240" w:lineRule="auto"/>
        <w:jc w:val="center"/>
        <w:shd w:val="clear" w:color="auto" w:fill="1C6B5B"/>
      </w:pPr>
      <w:r>
        <w:rPr>
          <w:rFonts w:ascii="Arial" w:hAnsi="Arial" w:cs="Arial"/>
          <w:b w:val="0"/>
          <w:i w:val="0"/>
          <w:color w:val="FFFFFF"/>
          <w:sz w:val="12"/>
        </w:rPr>
        <w:br/>
      </w:r>
      <w:r>
        <w:rPr>
          <w:rFonts w:ascii="Arial" w:hAnsi="Arial" w:cs="Arial"/>
          <w:b/>
          <w:i w:val="0"/>
          <w:color w:val="FFFFFF"/>
          <w:sz w:val="32"/>
        </w:rPr>
        <w:t>SOLICITAÇÃO DE INTEGRAÇÃO AO CORPO CLÍNICO</w:t>
      </w:r>
      <w:r>
        <w:br/>
      </w:r>
      <w:r>
        <w:rPr>
          <w:rFonts w:ascii="Arial" w:hAnsi="Arial" w:cs="Arial"/>
          <w:b w:val="0"/>
          <w:i w:val="0"/>
          <w:color w:val="FFFFFF"/>
          <w:sz w:val="22"/>
        </w:rPr>
        <w:t>Adesão ao atendimento dos convênios credenciados</w:t>
      </w:r>
      <w:r>
        <w:rPr>
          <w:rFonts w:ascii="Arial" w:hAnsi="Arial" w:cs="Arial"/>
          <w:b w:val="0"/>
          <w:i w:val="0"/>
          <w:color w:val="FFFFFF"/>
          <w:sz w:val="12"/>
        </w:rPr>
        <w:br/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shd w:val="clear" w:color="auto" w:fill="1C6B5B"/>
    </w:pPr>
    <w:r/>
    <w:r>
      <w:rPr>
        <w:rFonts w:ascii="Arial" w:hAnsi="Arial" w:cs="Arial"/>
        <w:b w:val="0"/>
        <w:i w:val="0"/>
        <w:color w:val="FFFFFF"/>
        <w:sz w:val="8"/>
      </w:rPr>
      <w:br/>
    </w:r>
    <w:r>
      <w:rPr>
        <w:rFonts w:ascii="Arial" w:hAnsi="Arial" w:cs="Arial"/>
        <w:b w:val="0"/>
        <w:i w:val="0"/>
        <w:color w:val="FFFFFF"/>
        <w:sz w:val="16"/>
      </w:rPr>
      <w:t xml:space="preserve">Rua O, 101 · Bairro Alvorada · Cuiabá/MT · (65) 2127-2124      Página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FFFFFF"/>
        <w:sz w:val="16"/>
      </w:rPr>
      <w:t xml:space="preserve"> de </w:t>
    </w:r>
    <w:r>
      <w:rPr>
        <w:rFonts w:ascii="Arial" w:hAnsi="Arial" w:cs="Arial"/>
        <w:b w:val="0"/>
        <w:i w:val="0"/>
        <w:color w:val="FFFFFF"/>
        <w:sz w:val="16"/>
      </w:rPr>
      <w:fldChar w:fldCharType="begin"/>
      <w:instrText xml:space="preserve"> NUMPAGES </w:instrText>
      <w:fldChar w:fldCharType="end"/>
    </w:r>
    <w:r>
      <w:rPr>
        <w:rFonts w:ascii="Arial" w:hAnsi="Arial" w:cs="Arial"/>
        <w:b w:val="0"/>
        <w:i w:val="0"/>
        <w:color w:val="FFFFFF"/>
        <w:sz w:val="8"/>
      </w:rPr>
      <w:br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1C6B5B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