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80" w:before="0" w:line="240" w:lineRule="auto"/>
        <w:jc w:val="center"/>
        <w:shd w:val="clear" w:color="auto" w:fill="3A3A3A"/>
      </w:pPr>
      <w:r>
        <w:rPr>
          <w:rFonts w:ascii="Arial" w:hAnsi="Arial" w:cs="Arial"/>
          <w:b w:val="0"/>
          <w:i w:val="0"/>
          <w:color w:val="FFFFFF"/>
          <w:sz w:val="12"/>
        </w:rPr>
        <w:br/>
      </w:r>
      <w:r>
        <w:rPr>
          <w:rFonts w:ascii="Arial" w:hAnsi="Arial" w:cs="Arial"/>
          <w:b/>
          <w:i w:val="0"/>
          <w:color w:val="FFFFFF"/>
          <w:sz w:val="52"/>
        </w:rPr>
        <w:t>CONTRATO</w:t>
      </w:r>
      <w:r>
        <w:br/>
      </w:r>
      <w:r>
        <w:rPr>
          <w:rFonts w:ascii="Arial" w:hAnsi="Arial" w:cs="Arial"/>
          <w:b w:val="0"/>
          <w:i w:val="0"/>
          <w:color w:val="FFFFFF"/>
          <w:sz w:val="22"/>
        </w:rPr>
        <w:t>Contrato de Locação de Consultório Odontológico  ·  Lei nº 8.245/1991</w:t>
      </w:r>
      <w:r>
        <w:rPr>
          <w:rFonts w:ascii="Arial" w:hAnsi="Arial" w:cs="Arial"/>
          <w:b w:val="0"/>
          <w:i w:val="0"/>
          <w:color w:val="FFFFFF"/>
          <w:sz w:val="12"/>
        </w:rPr>
        <w:br/>
      </w:r>
    </w:p>
    <w:p>
      <w:pPr>
        <w:spacing w:after="120" w:before="0" w:line="336" w:lineRule="auto"/>
        <w:ind w:firstLine="709"/>
        <w:jc w:val="both"/>
      </w:pPr>
      <w:r>
        <w:rPr>
          <w:rFonts w:ascii="Times New Roman" w:hAnsi="Times New Roman" w:cs="Times New Roman"/>
          <w:b w:val="0"/>
          <w:i w:val="0"/>
          <w:sz w:val="23"/>
        </w:rPr>
        <w:t>Pelo presente instrumento particular, as partes a seguir qualificadas têm entre si, como justo e contratado, o presente CONTRATO DE LOCAÇÃO de consultório odontológico, que se regerá pela Lei nº 8.245/1991 e pelas cláusulas e condições adiante pactuadas, que reciprocamente estipulam, outorgam e aceitam.</w:t>
      </w:r>
    </w:p>
    <w:p>
      <w:pPr>
        <w:spacing w:after="120" w:before="200" w:line="240" w:lineRule="auto"/>
        <w:jc w:val="left"/>
      </w:pPr>
      <w:r>
        <w:rPr>
          <w:rFonts w:ascii="Arial" w:hAnsi="Arial" w:cs="Arial"/>
          <w:b/>
          <w:i w:val="0"/>
          <w:color w:val="FFFFFF"/>
          <w:sz w:val="21"/>
          <w:smallCaps/>
          <w:shd w:val="clear" w:color="auto" w:fill="3A3A3A"/>
        </w:rPr>
        <w:t xml:space="preserve">  Qualificação das Partes  </w:t>
      </w:r>
    </w:p>
    <w:p>
      <w:pPr>
        <w:spacing w:after="120" w:before="0" w:line="336" w:lineRule="auto"/>
        <w:jc w:val="both"/>
      </w:pPr>
      <w:r>
        <w:rPr>
          <w:rFonts w:ascii="Times New Roman" w:hAnsi="Times New Roman" w:cs="Times New Roman"/>
          <w:b/>
          <w:i w:val="0"/>
          <w:sz w:val="23"/>
        </w:rPr>
        <w:t xml:space="preserve">LOCADOR: </w:t>
      </w:r>
      <w:r>
        <w:rPr>
          <w:rFonts w:ascii="Times New Roman" w:hAnsi="Times New Roman" w:cs="Times New Roman"/>
          <w:b w:val="0"/>
          <w:i w:val="0"/>
          <w:sz w:val="23"/>
        </w:rPr>
        <w:t>FACE INSTITUTO ODONTOLÓGICO, pessoa jurídica inscrita no CNPJ sob o nº 46.420.470/0001-05, com sede na Rua O, 101, quadra 12, lote 09, Bairro Alvorada, Cuiabá/MT.</w:t>
      </w:r>
    </w:p>
    <w:p>
      <w:pPr>
        <w:spacing w:after="0" w:before="0" w:line="240" w:lineRule="auto"/>
        <w:jc w:val="both"/>
      </w:pPr>
      <w:r>
        <w:rPr>
          <w:rFonts w:ascii="Times New Roman" w:hAnsi="Times New Roman" w:cs="Times New Roman"/>
          <w:b w:val="0"/>
          <w:i w:val="0"/>
          <w:sz w:val="23"/>
        </w:rPr>
        <w:t>{{#locatarios}}</w:t>
      </w:r>
    </w:p>
    <w:p>
      <w:pPr>
        <w:spacing w:after="120" w:before="0" w:line="336" w:lineRule="auto"/>
        <w:jc w:val="both"/>
      </w:pPr>
      <w:r>
        <w:rPr>
          <w:rFonts w:ascii="Times New Roman" w:hAnsi="Times New Roman" w:cs="Times New Roman"/>
          <w:b/>
          <w:i w:val="0"/>
          <w:sz w:val="23"/>
        </w:rPr>
        <w:t xml:space="preserve">LOCATÁRIO {{numero}}: </w:t>
      </w:r>
      <w:r>
        <w:rPr>
          <w:rFonts w:ascii="Times New Roman" w:hAnsi="Times New Roman" w:cs="Times New Roman"/>
          <w:b w:val="0"/>
          <w:i w:val="0"/>
          <w:sz w:val="23"/>
        </w:rPr>
        <w:t>{{qualificacao}}</w:t>
      </w:r>
    </w:p>
    <w:p>
      <w:pPr>
        <w:spacing w:after="0" w:before="0" w:line="240" w:lineRule="auto"/>
        <w:jc w:val="both"/>
      </w:pPr>
      <w:r>
        <w:rPr>
          <w:rFonts w:ascii="Times New Roman" w:hAnsi="Times New Roman" w:cs="Times New Roman"/>
          <w:b w:val="0"/>
          <w:i w:val="0"/>
          <w:sz w:val="23"/>
        </w:rPr>
        <w:t>{{/locatarios}}</w:t>
      </w:r>
    </w:p>
    <w:p>
      <w:pPr>
        <w:spacing w:after="0" w:before="0" w:line="240" w:lineRule="auto"/>
        <w:jc w:val="both"/>
      </w:pPr>
      <w:r>
        <w:rPr>
          <w:rFonts w:ascii="Times New Roman" w:hAnsi="Times New Roman" w:cs="Times New Roman"/>
          <w:b w:val="0"/>
          <w:i w:val="0"/>
          <w:sz w:val="23"/>
        </w:rPr>
        <w:t>{{#fiadores}}</w:t>
      </w:r>
    </w:p>
    <w:p>
      <w:pPr>
        <w:spacing w:after="120" w:before="0" w:line="336" w:lineRule="auto"/>
        <w:jc w:val="both"/>
      </w:pPr>
      <w:r>
        <w:rPr>
          <w:rFonts w:ascii="Times New Roman" w:hAnsi="Times New Roman" w:cs="Times New Roman"/>
          <w:b/>
          <w:i w:val="0"/>
          <w:sz w:val="23"/>
        </w:rPr>
        <w:t xml:space="preserve">FIADOR {{numero}}: </w:t>
      </w:r>
      <w:r>
        <w:rPr>
          <w:rFonts w:ascii="Times New Roman" w:hAnsi="Times New Roman" w:cs="Times New Roman"/>
          <w:b w:val="0"/>
          <w:i w:val="0"/>
          <w:sz w:val="23"/>
        </w:rPr>
        <w:t>{{qualificacao}}{{anuencia}}</w:t>
      </w:r>
    </w:p>
    <w:p>
      <w:pPr>
        <w:spacing w:after="0" w:before="0" w:line="240" w:lineRule="auto"/>
        <w:jc w:val="both"/>
      </w:pPr>
      <w:r>
        <w:rPr>
          <w:rFonts w:ascii="Times New Roman" w:hAnsi="Times New Roman" w:cs="Times New Roman"/>
          <w:b w:val="0"/>
          <w:i w:val="0"/>
          <w:sz w:val="23"/>
        </w:rPr>
        <w:t>{{/fiadores}}</w:t>
      </w:r>
    </w:p>
    <w:p>
      <w:pPr>
        <w:spacing w:after="120" w:before="0" w:line="336" w:lineRule="auto"/>
        <w:ind w:firstLine="709"/>
        <w:jc w:val="both"/>
      </w:pPr>
      <w:r>
        <w:rPr>
          <w:rFonts w:ascii="Times New Roman" w:hAnsi="Times New Roman" w:cs="Times New Roman"/>
          <w:b w:val="0"/>
          <w:i w:val="0"/>
          <w:sz w:val="23"/>
        </w:rPr>
        <w:t>Havendo mais de um LOCATÁRIO e/ou mais de um FIADOR, todos passam a ser tratados, respectivamente, como LOCATÁRIO e FIADOR, respondendo solidariamente pelas obrigações deste instrumento que assinam.</w:t>
      </w:r>
    </w:p>
    <w:p>
      <w:pPr>
        <w:spacing w:after="120" w:before="180" w:line="336" w:lineRule="auto"/>
        <w:ind w:firstLine="709"/>
        <w:jc w:val="both"/>
      </w:pPr>
      <w:r>
        <w:rPr>
          <w:rFonts w:ascii="Times New Roman" w:hAnsi="Times New Roman" w:cs="Times New Roman"/>
          <w:b/>
          <w:i w:val="0"/>
          <w:color w:val="333333"/>
          <w:sz w:val="23"/>
        </w:rPr>
        <w:t xml:space="preserve">CLÁUSULA PRIMEIRA – DO OBJETO DA LOCAÇÃO: </w:t>
      </w:r>
      <w:r>
        <w:rPr>
          <w:rFonts w:ascii="Times New Roman" w:hAnsi="Times New Roman" w:cs="Times New Roman"/>
          <w:b w:val="0"/>
          <w:i w:val="0"/>
          <w:sz w:val="23"/>
        </w:rPr>
        <w:t>A presente locação tem por objeto sala comercial destinada a consultório odontológico, equipada com cadeira odontológica instalada, situada no FACE INSTITUTO ODONTOLÓGICO, que o LOCATÁRIO declara receber em perfeitas condições de uso, com as instalações hidráulicas e elétricas em funcionamento e pintura nova. A cadeira odontológica, os móveis e os demais itens que compõem a sala são de propriedade do LOCADOR, devendo o LOCATÁRIO conservá-los e restituí-los nas mesmas condições em que os recebeu. No ato da entrega das chaves será firmado laudo de vistoria relacionando todos os itens da sala.</w:t>
      </w:r>
    </w:p>
    <w:p>
      <w:pPr>
        <w:spacing w:after="120" w:before="0" w:line="336" w:lineRule="auto"/>
        <w:ind w:firstLine="709"/>
        <w:jc w:val="both"/>
      </w:pPr>
      <w:r>
        <w:rPr>
          <w:rFonts w:ascii="Times New Roman" w:hAnsi="Times New Roman" w:cs="Times New Roman"/>
          <w:b/>
          <w:i w:val="0"/>
          <w:sz w:val="23"/>
        </w:rPr>
        <w:t xml:space="preserve">Parágrafo Primeiro – </w:t>
      </w:r>
      <w:r>
        <w:rPr>
          <w:rFonts w:ascii="Times New Roman" w:hAnsi="Times New Roman" w:cs="Times New Roman"/>
          <w:b w:val="0"/>
          <w:i w:val="0"/>
          <w:sz w:val="23"/>
        </w:rPr>
        <w:t>O LOCATÁRIO utilizará o imóvel exclusivamente como consultório odontológico para atendimento de pacientes, sendo-lhe vedado alterar a destinação da coisa locada, no todo ou em parte, e operando suas atividades dentro do horário de funcionamento da clínica Face Instituto Odontológico, de segunda a sexta-feira, das 8h00 às 18h00 (respeitado o intervalo intrajornada dos funcionários), e aos sábados, das 8h00 às 12h00.</w:t>
      </w:r>
    </w:p>
    <w:p>
      <w:pPr>
        <w:spacing w:after="120" w:before="0" w:line="336" w:lineRule="auto"/>
        <w:ind w:firstLine="709"/>
        <w:jc w:val="both"/>
      </w:pPr>
      <w:r>
        <w:rPr>
          <w:rFonts w:ascii="Times New Roman" w:hAnsi="Times New Roman" w:cs="Times New Roman"/>
          <w:b/>
          <w:i w:val="0"/>
          <w:sz w:val="23"/>
        </w:rPr>
        <w:t xml:space="preserve">Parágrafo Segundo – </w:t>
      </w:r>
      <w:r>
        <w:rPr>
          <w:rFonts w:ascii="Times New Roman" w:hAnsi="Times New Roman" w:cs="Times New Roman"/>
          <w:b w:val="0"/>
          <w:i w:val="0"/>
          <w:sz w:val="23"/>
        </w:rPr>
        <w:t>O LOCATÁRIO providenciará, às suas expensas, todos os documentos exigidos por lei para o funcionamento do consultório, em especial alvará sanitário, alvará de funcionamento, credenciamento do consultório no CRO-MT, responsabilidade técnica perante o CRO-MT e demais licenças cabíveis.</w:t>
      </w:r>
    </w:p>
    <w:p>
      <w:pPr>
        <w:spacing w:after="120" w:before="180" w:line="336" w:lineRule="auto"/>
        <w:ind w:firstLine="709"/>
        <w:jc w:val="both"/>
      </w:pPr>
      <w:r>
        <w:rPr>
          <w:rFonts w:ascii="Times New Roman" w:hAnsi="Times New Roman" w:cs="Times New Roman"/>
          <w:b/>
          <w:i w:val="0"/>
          <w:color w:val="333333"/>
          <w:sz w:val="23"/>
        </w:rPr>
        <w:t xml:space="preserve">CLÁUSULA SEGUNDA – DO PRAZO: </w:t>
      </w:r>
      <w:r>
        <w:rPr>
          <w:rFonts w:ascii="Times New Roman" w:hAnsi="Times New Roman" w:cs="Times New Roman"/>
          <w:b w:val="0"/>
          <w:i w:val="0"/>
          <w:sz w:val="23"/>
        </w:rPr>
        <w:t>O prazo da locação é de 36 (trinta e seis) meses, com permanência mínima de {{prazoContrato}}, nos termos do art. 4º da Lei nº 8.245/1991. Findo o prazo, o LOCATÁRIO obriga-se a restituir a SALA ao LOCADOR livre e desocupada, pintada de novo e em perfeito estado de conservação, independentemente de notificação judicial ou extrajudicial.</w:t>
      </w:r>
    </w:p>
    <w:p>
      <w:pPr>
        <w:spacing w:after="120" w:before="0" w:line="336" w:lineRule="auto"/>
        <w:ind w:firstLine="709"/>
        <w:jc w:val="both"/>
      </w:pPr>
      <w:r>
        <w:rPr>
          <w:rFonts w:ascii="Times New Roman" w:hAnsi="Times New Roman" w:cs="Times New Roman"/>
          <w:b/>
          <w:i w:val="0"/>
          <w:sz w:val="23"/>
        </w:rPr>
        <w:t xml:space="preserve">Parágrafo Primeiro – </w:t>
      </w:r>
      <w:r>
        <w:rPr>
          <w:rFonts w:ascii="Times New Roman" w:hAnsi="Times New Roman" w:cs="Times New Roman"/>
          <w:b w:val="0"/>
          <w:i w:val="0"/>
          <w:sz w:val="23"/>
        </w:rPr>
        <w:t>O prazo poderá ser prorrogado, por consentimento tácito ou por manifestação de uma das partes aceita pela outra, com antecedência mínima de 30 (trinta) dias do vencimento, mantendo-se em vigor todas as cláusulas e condições deste Contrato.</w:t>
      </w:r>
    </w:p>
    <w:p>
      <w:pPr>
        <w:spacing w:after="120" w:before="0" w:line="336" w:lineRule="auto"/>
        <w:ind w:firstLine="709"/>
        <w:jc w:val="both"/>
      </w:pPr>
      <w:r>
        <w:rPr>
          <w:rFonts w:ascii="Times New Roman" w:hAnsi="Times New Roman" w:cs="Times New Roman"/>
          <w:b/>
          <w:i w:val="0"/>
          <w:sz w:val="23"/>
        </w:rPr>
        <w:t xml:space="preserve">Parágrafo Segundo – </w:t>
      </w:r>
      <w:r>
        <w:rPr>
          <w:rFonts w:ascii="Times New Roman" w:hAnsi="Times New Roman" w:cs="Times New Roman"/>
          <w:b w:val="0"/>
          <w:i w:val="0"/>
          <w:sz w:val="23"/>
        </w:rPr>
        <w:t>Antes do vencimento, o LOCADOR não poderá reaver a SALA senão ressarcindo ao LOCATÁRIO as perdas e danos resultantes, nem o LOCATÁRIO devolvê-la senão pagando a multa contratual cabível.</w:t>
      </w:r>
    </w:p>
    <w:p>
      <w:pPr>
        <w:spacing w:after="120" w:before="180" w:line="336" w:lineRule="auto"/>
        <w:ind w:firstLine="709"/>
        <w:jc w:val="both"/>
      </w:pPr>
      <w:r>
        <w:rPr>
          <w:rFonts w:ascii="Times New Roman" w:hAnsi="Times New Roman" w:cs="Times New Roman"/>
          <w:b/>
          <w:i w:val="0"/>
          <w:color w:val="333333"/>
          <w:sz w:val="23"/>
        </w:rPr>
        <w:t xml:space="preserve">CLÁUSULA TERCEIRA – DA FIANÇA: </w:t>
      </w:r>
      <w:r>
        <w:rPr>
          <w:rFonts w:ascii="Times New Roman" w:hAnsi="Times New Roman" w:cs="Times New Roman"/>
          <w:b w:val="0"/>
          <w:i w:val="0"/>
          <w:sz w:val="23"/>
        </w:rPr>
        <w:t>A fiança é prestada em caráter solidário. O FIADOR e, sendo casado, o seu cônjuge anuente respondem juntamente com o LOCATÁRIO por todas as obrigações deste contrato — aluguéis, encargos, multas, juros, despesas de uso comum, danos ao imóvel e demais verbas —, renunciando expressamente ao benefício de ordem previsto nos arts. 827 e 828 do Código Civil e podendo ser demandados diretamente, independentemente de prévia excussão dos bens do LOCATÁRIO. Havendo mais de um fiador, todos respondem solidariamente entre si.</w:t>
      </w:r>
    </w:p>
    <w:p>
      <w:pPr>
        <w:spacing w:after="120" w:before="0" w:line="336" w:lineRule="auto"/>
        <w:ind w:firstLine="709"/>
        <w:jc w:val="both"/>
      </w:pPr>
      <w:r>
        <w:rPr>
          <w:rFonts w:ascii="Times New Roman" w:hAnsi="Times New Roman" w:cs="Times New Roman"/>
          <w:b/>
          <w:i w:val="0"/>
          <w:sz w:val="23"/>
        </w:rPr>
        <w:t xml:space="preserve">Parágrafo Primeiro – </w:t>
      </w:r>
      <w:r>
        <w:rPr>
          <w:rFonts w:ascii="Times New Roman" w:hAnsi="Times New Roman" w:cs="Times New Roman"/>
          <w:b w:val="0"/>
          <w:i w:val="0"/>
          <w:sz w:val="23"/>
        </w:rPr>
        <w:t>A fiança subsiste até a efetiva entrega das chaves e a integral quitação de todas as obrigações, ainda que a locação seja prorrogada por prazo determinado ou indeterminado, na forma do art. 39 da Lei nº 8.245/1991, não se exonerando o FIADOR enquanto não devolvido o imóvel e quitado o débito.</w:t>
      </w:r>
    </w:p>
    <w:p>
      <w:pPr>
        <w:spacing w:after="120" w:before="0" w:line="336" w:lineRule="auto"/>
        <w:ind w:firstLine="709"/>
        <w:jc w:val="both"/>
      </w:pPr>
      <w:r>
        <w:rPr>
          <w:rFonts w:ascii="Times New Roman" w:hAnsi="Times New Roman" w:cs="Times New Roman"/>
          <w:b/>
          <w:i w:val="0"/>
          <w:sz w:val="23"/>
        </w:rPr>
        <w:t xml:space="preserve">Parágrafo Segundo – </w:t>
      </w:r>
      <w:r>
        <w:rPr>
          <w:rFonts w:ascii="Times New Roman" w:hAnsi="Times New Roman" w:cs="Times New Roman"/>
          <w:b w:val="0"/>
          <w:i w:val="0"/>
          <w:sz w:val="23"/>
        </w:rPr>
        <w:t>O FIADOR declara idoneidade financeira e obriga-se a comprová-la mediante comprovante de renda e última declaração de imposto de renda. A superveniente insolvência, o falecimento ou a exoneração do FIADOR obrigam o LOCATÁRIO a apresentar novo fiador idôneo no prazo de 30 (trinta) dias, sob pena de infração contratual.</w:t>
      </w:r>
    </w:p>
    <w:p>
      <w:pPr>
        <w:spacing w:after="120" w:before="180" w:line="336" w:lineRule="auto"/>
        <w:ind w:firstLine="709"/>
        <w:jc w:val="both"/>
      </w:pPr>
      <w:r>
        <w:rPr>
          <w:rFonts w:ascii="Times New Roman" w:hAnsi="Times New Roman" w:cs="Times New Roman"/>
          <w:b/>
          <w:i w:val="0"/>
          <w:color w:val="333333"/>
          <w:sz w:val="23"/>
        </w:rPr>
        <w:t xml:space="preserve">CLÁUSULA QUARTA – DO VALOR DO ALUGUEL: </w:t>
      </w:r>
      <w:r>
        <w:rPr>
          <w:rFonts w:ascii="Times New Roman" w:hAnsi="Times New Roman" w:cs="Times New Roman"/>
          <w:b w:val="0"/>
          <w:i w:val="0"/>
          <w:sz w:val="23"/>
        </w:rPr>
        <w:t>O aluguel mensal, livremente convencionado, é de R$ {{valorAluguel}}.</w:t>
      </w:r>
    </w:p>
    <w:p>
      <w:pPr>
        <w:spacing w:after="120" w:before="0" w:line="336" w:lineRule="auto"/>
        <w:ind w:firstLine="709"/>
        <w:jc w:val="both"/>
      </w:pPr>
      <w:r>
        <w:rPr>
          <w:rFonts w:ascii="Times New Roman" w:hAnsi="Times New Roman" w:cs="Times New Roman"/>
          <w:b/>
          <w:i w:val="0"/>
          <w:sz w:val="23"/>
        </w:rPr>
        <w:t xml:space="preserve">Parágrafo Primeiro – </w:t>
      </w:r>
      <w:r>
        <w:rPr>
          <w:rFonts w:ascii="Times New Roman" w:hAnsi="Times New Roman" w:cs="Times New Roman"/>
          <w:b w:val="0"/>
          <w:i w:val="0"/>
          <w:sz w:val="23"/>
        </w:rPr>
        <w:t>Ao final do prazo contratual, não desocupado o imóvel, o LOCADOR poderá reajustar o aluguel, independentemente de aviso ou notificação, pela variação do IGP-M no período ou por outro índice que vier a substituí-lo. O reajuste poderá decorrer de alteração de prazo legal, prorrogação da locação, acordo entre as partes, acordo tácito, decisão judicial ou determinação legal.</w:t>
      </w:r>
    </w:p>
    <w:p>
      <w:pPr>
        <w:spacing w:after="120" w:before="0" w:line="336" w:lineRule="auto"/>
        <w:ind w:firstLine="709"/>
        <w:jc w:val="both"/>
      </w:pPr>
      <w:r>
        <w:rPr>
          <w:rFonts w:ascii="Times New Roman" w:hAnsi="Times New Roman" w:cs="Times New Roman"/>
          <w:b/>
          <w:i w:val="0"/>
          <w:sz w:val="23"/>
        </w:rPr>
        <w:t xml:space="preserve">Parágrafo Segundo – </w:t>
      </w:r>
      <w:r>
        <w:rPr>
          <w:rFonts w:ascii="Times New Roman" w:hAnsi="Times New Roman" w:cs="Times New Roman"/>
          <w:b w:val="0"/>
          <w:i w:val="0"/>
          <w:sz w:val="23"/>
        </w:rPr>
        <w:t>Ao término da locação ou de sua prorrogação, o LOCATÁRIO restituirá o imóvel pintado de novo com as cores originais, com as instalações elétricas e hidráulicas em funcionamento e substituído tudo o que estiver danificado, devolvendo-o exatamente como o recebeu. Quaisquer acessões, instalações ou benfeitorias cuja remoção danifique o espaço incorporam-se a ele, sem direito do LOCATÁRIO a indenização ou retenção, ao que desde já renuncia.</w:t>
      </w:r>
    </w:p>
    <w:p>
      <w:pPr>
        <w:spacing w:after="120" w:before="180" w:line="336" w:lineRule="auto"/>
        <w:ind w:firstLine="709"/>
        <w:jc w:val="both"/>
      </w:pPr>
      <w:r>
        <w:rPr>
          <w:rFonts w:ascii="Times New Roman" w:hAnsi="Times New Roman" w:cs="Times New Roman"/>
          <w:b/>
          <w:i w:val="0"/>
          <w:color w:val="333333"/>
          <w:sz w:val="23"/>
        </w:rPr>
        <w:t xml:space="preserve">CLÁUSULA QUINTA – DO VENCIMENTO: </w:t>
      </w:r>
      <w:r>
        <w:rPr>
          <w:rFonts w:ascii="Times New Roman" w:hAnsi="Times New Roman" w:cs="Times New Roman"/>
          <w:b w:val="0"/>
          <w:i w:val="0"/>
          <w:sz w:val="23"/>
        </w:rPr>
        <w:t xml:space="preserve">O aluguel será pago todo dia {{vencimento}} de cada mês. </w:t>
      </w:r>
      <w:r>
        <w:rPr>
          <w:rFonts w:ascii="Times New Roman" w:hAnsi="Times New Roman" w:cs="Times New Roman"/>
          <w:b/>
          <w:i w:val="0"/>
          <w:sz w:val="23"/>
        </w:rPr>
        <w:t>O primeiro aluguel será pago antecipadamente, na data de assinatura</w:t>
      </w:r>
      <w:r>
        <w:rPr>
          <w:rFonts w:ascii="Times New Roman" w:hAnsi="Times New Roman" w:cs="Times New Roman"/>
          <w:b w:val="0"/>
          <w:i w:val="0"/>
          <w:sz w:val="23"/>
        </w:rPr>
        <w:t>, juntamente com o IPTU 2026 proporcional ao contrato, no valor de R$ 548,32.</w:t>
      </w:r>
    </w:p>
    <w:p>
      <w:pPr>
        <w:spacing w:after="120" w:before="0" w:line="336" w:lineRule="auto"/>
        <w:ind w:firstLine="709"/>
        <w:jc w:val="both"/>
      </w:pPr>
      <w:r>
        <w:rPr>
          <w:rFonts w:ascii="Times New Roman" w:hAnsi="Times New Roman" w:cs="Times New Roman"/>
          <w:b/>
          <w:i w:val="0"/>
          <w:sz w:val="23"/>
        </w:rPr>
        <w:t xml:space="preserve">Parágrafo Primeiro – </w:t>
      </w:r>
      <w:r>
        <w:rPr>
          <w:rFonts w:ascii="Times New Roman" w:hAnsi="Times New Roman" w:cs="Times New Roman"/>
          <w:b w:val="0"/>
          <w:i w:val="0"/>
          <w:sz w:val="23"/>
        </w:rPr>
        <w:t>Os aluguéis e encargos pagos fora do prazo serão acrescidos de multa de 10% (dez por cento) sobre o débito e de juros de mora de 2% (dois por cento) ao mês, independentemente de ação judicial e sem prejuízo de custas e honorários advocatícios, inclusive em ação de despejo por falta de pagamento, ação de cobrança ou protesto de título.</w:t>
      </w:r>
    </w:p>
    <w:p>
      <w:pPr>
        <w:spacing w:after="120" w:before="0" w:line="336" w:lineRule="auto"/>
        <w:ind w:firstLine="709"/>
        <w:jc w:val="both"/>
      </w:pPr>
      <w:r>
        <w:rPr>
          <w:rFonts w:ascii="Times New Roman" w:hAnsi="Times New Roman" w:cs="Times New Roman"/>
          <w:b/>
          <w:i w:val="0"/>
          <w:sz w:val="23"/>
        </w:rPr>
        <w:t xml:space="preserve">Parágrafo Segundo – </w:t>
      </w:r>
      <w:r>
        <w:rPr>
          <w:rFonts w:ascii="Times New Roman" w:hAnsi="Times New Roman" w:cs="Times New Roman"/>
          <w:b w:val="0"/>
          <w:i w:val="0"/>
          <w:sz w:val="23"/>
        </w:rPr>
        <w:t>Havendo atraso superior a 10 (dez) dias em qualquer pagamento, o LOCADOR poderá encaminhar a cobrança por meio de advogado, respondendo o LOCATÁRIO por honorários advocatícios de 20% (vinte por cento), além das custas processuais, se a cobrança for judicial.</w:t>
      </w:r>
    </w:p>
    <w:p>
      <w:pPr>
        <w:spacing w:after="120" w:before="180" w:line="336" w:lineRule="auto"/>
        <w:ind w:firstLine="709"/>
        <w:jc w:val="both"/>
      </w:pPr>
      <w:r>
        <w:rPr>
          <w:rFonts w:ascii="Times New Roman" w:hAnsi="Times New Roman" w:cs="Times New Roman"/>
          <w:b/>
          <w:i w:val="0"/>
          <w:color w:val="333333"/>
          <w:sz w:val="23"/>
        </w:rPr>
        <w:t xml:space="preserve">CLÁUSULA SEXTA – DAS DESPESAS DE USO COMUM: </w:t>
      </w:r>
      <w:r>
        <w:rPr>
          <w:rFonts w:ascii="Times New Roman" w:hAnsi="Times New Roman" w:cs="Times New Roman"/>
          <w:b w:val="0"/>
          <w:i w:val="0"/>
          <w:sz w:val="23"/>
        </w:rPr>
        <w:t>Está incluída no valor do aluguel a taxa de R$ 950,00 destinada às despesas ordinárias de uso comum: água, energia, internet, salário da recepcionista, salário de serviços gerais, vale-transporte e vale-alimentação dos funcionários, recolhimento dos impostos dos funcionários registrados e materiais de limpeza. Não há cobrança de condomínio em apartado.</w:t>
      </w:r>
    </w:p>
    <w:p>
      <w:pPr>
        <w:spacing w:after="120" w:before="0" w:line="336" w:lineRule="auto"/>
        <w:ind w:firstLine="709"/>
        <w:jc w:val="both"/>
      </w:pPr>
      <w:r>
        <w:rPr>
          <w:rFonts w:ascii="Times New Roman" w:hAnsi="Times New Roman" w:cs="Times New Roman"/>
          <w:b w:val="0"/>
          <w:i w:val="0"/>
          <w:sz w:val="23"/>
        </w:rPr>
        <w:t>As despesas extraordinárias — não corriqueiras ou imprevisíveis — serão rateadas pelo número de salas em funcionamento. Consideram-se extraordinárias: defeitos ou manutenção de equipamentos de uso comum (ar-condicionado das recepções, autoclave, compressor, bomba a vácuo, seladora e raio-X), roubo ou vandalismo nas dependências, desastres naturais, 13º salário e férias dos funcionários e impostos (IPTU, alvará de funcionamento, alvará sanitário, alvará do corpo de bombeiros e alvará de publicidade).</w:t>
      </w:r>
    </w:p>
    <w:p>
      <w:pPr>
        <w:spacing w:after="120" w:before="180" w:line="336" w:lineRule="auto"/>
        <w:ind w:firstLine="709"/>
        <w:jc w:val="both"/>
      </w:pPr>
      <w:r>
        <w:rPr>
          <w:rFonts w:ascii="Times New Roman" w:hAnsi="Times New Roman" w:cs="Times New Roman"/>
          <w:b/>
          <w:i w:val="0"/>
          <w:color w:val="333333"/>
          <w:sz w:val="23"/>
        </w:rPr>
        <w:t xml:space="preserve">CLÁUSULA SÉTIMA – DA VEDAÇÃO À CESSÃO E À SUBLOCAÇÃO: </w:t>
      </w:r>
      <w:r>
        <w:rPr>
          <w:rFonts w:ascii="Times New Roman" w:hAnsi="Times New Roman" w:cs="Times New Roman"/>
          <w:b w:val="0"/>
          <w:i w:val="0"/>
          <w:sz w:val="23"/>
        </w:rPr>
        <w:t>É expressamente vedado ao LOCATÁRIO e/ou ao FIADOR ceder, a qualquer título, total ou parcialmente, o imóvel locado, bem como transferir os direitos relativos a este contrato. Constitui falta grave o empréstimo, a sublocação ou qualquer atendimento compartilhado com profissional que não seja parte deste contrato, aplicando-se, nesse caso, 100% (cem por cento) da multa pactuada, independentemente do tempo de vigência.</w:t>
      </w:r>
    </w:p>
    <w:p>
      <w:pPr>
        <w:spacing w:after="120" w:before="180" w:line="336" w:lineRule="auto"/>
        <w:ind w:firstLine="709"/>
        <w:jc w:val="both"/>
      </w:pPr>
      <w:r>
        <w:rPr>
          <w:rFonts w:ascii="Times New Roman" w:hAnsi="Times New Roman" w:cs="Times New Roman"/>
          <w:b/>
          <w:i w:val="0"/>
          <w:color w:val="333333"/>
          <w:sz w:val="23"/>
        </w:rPr>
        <w:t xml:space="preserve">CLÁUSULA OITAVA – DA REGULARIDADE: </w:t>
      </w:r>
      <w:r>
        <w:rPr>
          <w:rFonts w:ascii="Times New Roman" w:hAnsi="Times New Roman" w:cs="Times New Roman"/>
          <w:b w:val="0"/>
          <w:i w:val="0"/>
          <w:sz w:val="23"/>
        </w:rPr>
        <w:t>O LOCATÁRIO obriga-se a manter ativos e regulares, durante toda a locação, os alvarás exigidos, o credenciamento do consultório e a respectiva responsabilidade técnica junto ao CRO-MT. A perda, suspensão ou irregularidade de qualquer dessas condições constitui infração contratual e autoriza a rescisão, sem prejuízo das responsabilidades próprias do LOCATÁRIO perante os órgãos competentes.</w:t>
      </w:r>
    </w:p>
    <w:p>
      <w:pPr>
        <w:spacing w:after="120" w:before="180" w:line="336" w:lineRule="auto"/>
        <w:ind w:firstLine="709"/>
        <w:jc w:val="both"/>
      </w:pPr>
      <w:r>
        <w:rPr>
          <w:rFonts w:ascii="Times New Roman" w:hAnsi="Times New Roman" w:cs="Times New Roman"/>
          <w:b/>
          <w:i w:val="0"/>
          <w:color w:val="333333"/>
          <w:sz w:val="23"/>
        </w:rPr>
        <w:t xml:space="preserve">CLÁUSULA NONA – DA EXTINÇÃO POR FALÊNCIA OU RECUPERAÇÃO JUDICIAL DO LOCADOR: </w:t>
      </w:r>
      <w:r>
        <w:rPr>
          <w:rFonts w:ascii="Times New Roman" w:hAnsi="Times New Roman" w:cs="Times New Roman"/>
          <w:b w:val="0"/>
          <w:i w:val="0"/>
          <w:sz w:val="23"/>
        </w:rPr>
        <w:t>Decretada a falência do LOCADOR ou deferida a sua recuperação judicial ou extrajudicial, e desde que tais medidas atinjam a continuidade da locação, poderá este contrato ser extinto na forma da legislação aplicável, resguardados os direitos e obrigações vencidos até a data da extinção.</w:t>
      </w:r>
    </w:p>
    <w:p>
      <w:pPr>
        <w:spacing w:after="120" w:before="180" w:line="336" w:lineRule="auto"/>
        <w:ind w:firstLine="709"/>
        <w:jc w:val="both"/>
      </w:pPr>
      <w:r>
        <w:rPr>
          <w:rFonts w:ascii="Times New Roman" w:hAnsi="Times New Roman" w:cs="Times New Roman"/>
          <w:b/>
          <w:i w:val="0"/>
          <w:color w:val="333333"/>
          <w:sz w:val="23"/>
        </w:rPr>
        <w:t xml:space="preserve">CLÁUSULA DÉCIMA – DAS BENFEITORIAS E OBRAS: </w:t>
      </w:r>
      <w:r>
        <w:rPr>
          <w:rFonts w:ascii="Times New Roman" w:hAnsi="Times New Roman" w:cs="Times New Roman"/>
          <w:b w:val="0"/>
          <w:i w:val="0"/>
          <w:sz w:val="23"/>
        </w:rPr>
        <w:t>Toda obra ou melhoria que o LOCATÁRIO pretenda introduzir na SALA dependerá de prévia autorização escrita do LOCADOR e incorporar-se-á ao imóvel, sem custo ao LOCADOR e passando à sua propriedade. Fica facultado ao LOCADOR, ao término da locação, exigir que o LOCATÁRIO desfaça ou retire, no todo ou em parte, qualquer benfeitoria cuja incorporação não aceite.</w:t>
      </w:r>
    </w:p>
    <w:p>
      <w:pPr>
        <w:spacing w:after="120" w:before="180" w:line="336" w:lineRule="auto"/>
        <w:ind w:firstLine="709"/>
        <w:jc w:val="both"/>
      </w:pPr>
      <w:r>
        <w:rPr>
          <w:rFonts w:ascii="Times New Roman" w:hAnsi="Times New Roman" w:cs="Times New Roman"/>
          <w:b/>
          <w:i w:val="0"/>
          <w:color w:val="333333"/>
          <w:sz w:val="23"/>
        </w:rPr>
        <w:t xml:space="preserve">CLÁUSULA DÉCIMA PRIMEIRA – DO ESTADO E DA CONSERVAÇÃO DO IMÓVEL: </w:t>
      </w:r>
      <w:r>
        <w:rPr>
          <w:rFonts w:ascii="Times New Roman" w:hAnsi="Times New Roman" w:cs="Times New Roman"/>
          <w:b w:val="0"/>
          <w:i w:val="0"/>
          <w:sz w:val="23"/>
        </w:rPr>
        <w:t xml:space="preserve">O LOCATÁRIO declara receber o imóvel em perfeito estado e condições de uso, obrigando-se a mantê-lo assim e a zelar pelo perfeito funcionamento de todos os equipamentos. </w:t>
      </w:r>
      <w:r>
        <w:rPr>
          <w:rFonts w:ascii="Times New Roman" w:hAnsi="Times New Roman" w:cs="Times New Roman"/>
          <w:b/>
          <w:i w:val="0"/>
          <w:sz w:val="23"/>
        </w:rPr>
        <w:t>A partir da assinatura, é responsável pelas manutenções decorrentes do desgaste de uso dos equipamentos odontológicos, do ar-condicionado, dos móveis e das instalações elétricas e hidráulicas — em suma, de todos os itens da sala</w:t>
      </w:r>
      <w:r>
        <w:rPr>
          <w:rFonts w:ascii="Times New Roman" w:hAnsi="Times New Roman" w:cs="Times New Roman"/>
          <w:b w:val="0"/>
          <w:i w:val="0"/>
          <w:sz w:val="23"/>
        </w:rPr>
        <w:t>, respondendo por qualquer sinistro ou dano ao imóvel.</w:t>
      </w:r>
    </w:p>
    <w:p>
      <w:pPr>
        <w:spacing w:after="120" w:before="0" w:line="336" w:lineRule="auto"/>
        <w:ind w:firstLine="709"/>
        <w:jc w:val="both"/>
      </w:pPr>
      <w:r>
        <w:rPr>
          <w:rFonts w:ascii="Times New Roman" w:hAnsi="Times New Roman" w:cs="Times New Roman"/>
          <w:b w:val="0"/>
          <w:i w:val="0"/>
          <w:sz w:val="23"/>
        </w:rPr>
        <w:t>A devolução do imóvel e de seus pertences será precedida de vistoria pelo LOCADOR e somente se completará com a entrega das chaves, mediante recibo, com prova de devolução, quitação total dos débitos de aluguel e de uso comum e a consequente extinção do vínculo locatício.</w:t>
      </w:r>
    </w:p>
    <w:p>
      <w:pPr>
        <w:spacing w:after="120" w:before="0" w:line="336" w:lineRule="auto"/>
        <w:jc w:val="both"/>
      </w:pPr>
      <w:r>
        <w:rPr>
          <w:rFonts w:ascii="Times New Roman" w:hAnsi="Times New Roman" w:cs="Times New Roman"/>
          <w:b/>
          <w:i w:val="0"/>
          <w:sz w:val="23"/>
        </w:rPr>
        <w:t xml:space="preserve">Parágrafo Único – </w:t>
      </w:r>
      <w:r>
        <w:rPr>
          <w:rFonts w:ascii="Times New Roman" w:hAnsi="Times New Roman" w:cs="Times New Roman"/>
          <w:b w:val="0"/>
          <w:i w:val="0"/>
          <w:sz w:val="23"/>
        </w:rPr>
        <w:t>o LOCATÁRIO custeará, por sua exclusiva responsabilidade, as instalações, os reparos e os consertos necessários em razão de estragos ou danos causados enquanto ocupar o espaço, substituindo às suas expensas quaisquer peças ou utensílios danificados, sem direito a reembolso ou indenização ao término da locação.</w:t>
      </w:r>
    </w:p>
    <w:p>
      <w:pPr>
        <w:spacing w:after="120" w:before="180" w:line="336" w:lineRule="auto"/>
        <w:ind w:firstLine="709"/>
        <w:jc w:val="both"/>
      </w:pPr>
      <w:r>
        <w:rPr>
          <w:rFonts w:ascii="Times New Roman" w:hAnsi="Times New Roman" w:cs="Times New Roman"/>
          <w:b/>
          <w:i w:val="0"/>
          <w:color w:val="333333"/>
          <w:sz w:val="23"/>
        </w:rPr>
        <w:t xml:space="preserve">CLÁUSULA DÉCIMA SEGUNDA – DO REGULAMENTO INTERNO: </w:t>
      </w:r>
      <w:r>
        <w:rPr>
          <w:rFonts w:ascii="Times New Roman" w:hAnsi="Times New Roman" w:cs="Times New Roman"/>
          <w:b w:val="0"/>
          <w:i w:val="0"/>
          <w:sz w:val="23"/>
        </w:rPr>
        <w:t>O LOCATÁRIO obriga-se a cumprir a legislação aplicável, a convenção e o regulamento interno da clínica, constituindo sua infração violação contratual, que enseja a rescisão e torna aplicável a multa contratual.</w:t>
      </w:r>
    </w:p>
    <w:p>
      <w:pPr>
        <w:spacing w:after="120" w:before="180" w:line="336" w:lineRule="auto"/>
        <w:ind w:firstLine="709"/>
        <w:jc w:val="both"/>
      </w:pPr>
      <w:r>
        <w:rPr>
          <w:rFonts w:ascii="Times New Roman" w:hAnsi="Times New Roman" w:cs="Times New Roman"/>
          <w:b/>
          <w:i w:val="0"/>
          <w:color w:val="333333"/>
          <w:sz w:val="23"/>
        </w:rPr>
        <w:t xml:space="preserve">CLÁUSULA DÉCIMA TERCEIRA – DO DIREITO DE VISTORIA: </w:t>
      </w:r>
      <w:r>
        <w:rPr>
          <w:rFonts w:ascii="Times New Roman" w:hAnsi="Times New Roman" w:cs="Times New Roman"/>
          <w:b w:val="0"/>
          <w:i w:val="0"/>
          <w:sz w:val="23"/>
        </w:rPr>
        <w:t>O LOCATÁRIO faculta ao LOCADOR examinar e vistoriar o imóvel sempre que necessário, em horários previamente combinados, não podendo impedir o ingresso para reparos no interesse da clínica ou de unidade confrontante.</w:t>
      </w:r>
    </w:p>
    <w:p>
      <w:pPr>
        <w:spacing w:after="120" w:before="180" w:line="336" w:lineRule="auto"/>
        <w:ind w:firstLine="709"/>
        <w:jc w:val="both"/>
      </w:pPr>
      <w:r>
        <w:rPr>
          <w:rFonts w:ascii="Times New Roman" w:hAnsi="Times New Roman" w:cs="Times New Roman"/>
          <w:b/>
          <w:i w:val="0"/>
          <w:color w:val="333333"/>
          <w:sz w:val="23"/>
        </w:rPr>
        <w:t xml:space="preserve">CLÁUSULA DÉCIMA QUARTA – DA MANUTENÇÃO DAS CONDIÇÕES NA PRORROGAÇÃO: </w:t>
      </w:r>
      <w:r>
        <w:rPr>
          <w:rFonts w:ascii="Times New Roman" w:hAnsi="Times New Roman" w:cs="Times New Roman"/>
          <w:b w:val="0"/>
          <w:i w:val="0"/>
          <w:sz w:val="23"/>
        </w:rPr>
        <w:t>Prorrogada esta locação por acordo entre as partes, por lei, por sentença ou por consentimento tácito, permanecerão em vigor todas as cláusulas e condições deste Contrato.</w:t>
      </w:r>
    </w:p>
    <w:p>
      <w:pPr>
        <w:spacing w:after="120" w:before="180" w:line="336" w:lineRule="auto"/>
        <w:ind w:firstLine="709"/>
        <w:jc w:val="both"/>
      </w:pPr>
      <w:r>
        <w:rPr>
          <w:rFonts w:ascii="Times New Roman" w:hAnsi="Times New Roman" w:cs="Times New Roman"/>
          <w:b/>
          <w:i w:val="0"/>
          <w:color w:val="333333"/>
          <w:sz w:val="23"/>
        </w:rPr>
        <w:t xml:space="preserve">CLÁUSULA DÉCIMA QUINTA – DA DESOCUPAÇÃO: </w:t>
      </w:r>
      <w:r>
        <w:rPr>
          <w:rFonts w:ascii="Times New Roman" w:hAnsi="Times New Roman" w:cs="Times New Roman"/>
          <w:b w:val="0"/>
          <w:i w:val="0"/>
          <w:sz w:val="23"/>
        </w:rPr>
        <w:t>A desocupação do imóvel pelo LOCATÁRIO, a qualquer tempo, dependerá de comunicação prévia e por escrito ao LOCADOR, com antecedência mínima de 30 (trinta) dias, sem prejuízo da multa contratual cabível. A saída sem o aviso prévio aqui exigido caracteriza abandono, na forma da cláusula seguinte.</w:t>
      </w:r>
    </w:p>
    <w:p>
      <w:pPr>
        <w:spacing w:after="120" w:before="180" w:line="336" w:lineRule="auto"/>
        <w:ind w:firstLine="709"/>
        <w:jc w:val="both"/>
      </w:pPr>
      <w:r>
        <w:rPr>
          <w:rFonts w:ascii="Times New Roman" w:hAnsi="Times New Roman" w:cs="Times New Roman"/>
          <w:b/>
          <w:i w:val="0"/>
          <w:color w:val="333333"/>
          <w:sz w:val="23"/>
        </w:rPr>
        <w:t xml:space="preserve">CLÁUSULA DÉCIMA SEXTA – DO ABANDONO: </w:t>
      </w:r>
      <w:r>
        <w:rPr>
          <w:rFonts w:ascii="Times New Roman" w:hAnsi="Times New Roman" w:cs="Times New Roman"/>
          <w:b w:val="0"/>
          <w:i w:val="0"/>
          <w:sz w:val="23"/>
        </w:rPr>
        <w:t>Caracteriza abandono do imóvel a cessação do uso regular do consultório acompanhada de ao menos uma das seguintes circunstâncias: (i) ausência de atendimento e de comparecimento do LOCATÁRIO por período igual ou superior a 10 (dez) dias, sem justificativa comunicada ao LOCADOR; (ii) inadimplemento de aluguel e/ou encargos; ou (iii) retirada de bens com aparente intenção de não retornar.</w:t>
      </w:r>
    </w:p>
    <w:p>
      <w:pPr>
        <w:spacing w:after="120" w:before="0" w:line="336" w:lineRule="auto"/>
        <w:ind w:firstLine="709"/>
        <w:jc w:val="both"/>
      </w:pPr>
      <w:r>
        <w:rPr>
          <w:rFonts w:ascii="Times New Roman" w:hAnsi="Times New Roman" w:cs="Times New Roman"/>
          <w:b/>
          <w:i w:val="0"/>
          <w:sz w:val="23"/>
        </w:rPr>
        <w:t xml:space="preserve">Parágrafo Primeiro – </w:t>
      </w:r>
      <w:r>
        <w:rPr>
          <w:rFonts w:ascii="Times New Roman" w:hAnsi="Times New Roman" w:cs="Times New Roman"/>
          <w:b w:val="0"/>
          <w:i w:val="0"/>
          <w:sz w:val="23"/>
        </w:rPr>
        <w:t>Constatado o abandono, o LOCADOR fica desde já autorizado a reaver a posse do imóvel, mediante vistoria documentada por fotografias e por 2 (duas) testemunhas ou por ata notarial, lavrando-se termo do estado em que o imóvel for encontrado e da data da retomada.</w:t>
      </w:r>
    </w:p>
    <w:p>
      <w:pPr>
        <w:spacing w:after="120" w:before="0" w:line="336" w:lineRule="auto"/>
        <w:ind w:firstLine="709"/>
        <w:jc w:val="both"/>
      </w:pPr>
      <w:r>
        <w:rPr>
          <w:rFonts w:ascii="Times New Roman" w:hAnsi="Times New Roman" w:cs="Times New Roman"/>
          <w:b/>
          <w:i w:val="0"/>
          <w:sz w:val="23"/>
        </w:rPr>
        <w:t xml:space="preserve">Parágrafo Segundo – </w:t>
      </w:r>
      <w:r>
        <w:rPr>
          <w:rFonts w:ascii="Times New Roman" w:hAnsi="Times New Roman" w:cs="Times New Roman"/>
          <w:b w:val="0"/>
          <w:i w:val="0"/>
          <w:sz w:val="23"/>
        </w:rPr>
        <w:t>O abandono configura infração contratual grave e acarreta o vencimento antecipado de todo o débito, a incidência integral da multa por infração prevista na Cláusula Décima Sétima, os aluguéis e encargos devidos até a data da retomada da posse e a responsabilidade por todos os danos apurados, sem prejuízo das demais cominações deste contrato.</w:t>
      </w:r>
    </w:p>
    <w:p>
      <w:pPr>
        <w:spacing w:after="120" w:before="180" w:line="336" w:lineRule="auto"/>
        <w:ind w:firstLine="709"/>
        <w:jc w:val="both"/>
      </w:pPr>
      <w:r>
        <w:rPr>
          <w:rFonts w:ascii="Times New Roman" w:hAnsi="Times New Roman" w:cs="Times New Roman"/>
          <w:b/>
          <w:i w:val="0"/>
          <w:color w:val="333333"/>
          <w:sz w:val="23"/>
        </w:rPr>
        <w:t xml:space="preserve">CLÁUSULA DÉCIMA SÉTIMA – DA MULTA CONTRATUAL: </w:t>
      </w:r>
      <w:r>
        <w:rPr>
          <w:rFonts w:ascii="Times New Roman" w:hAnsi="Times New Roman" w:cs="Times New Roman"/>
          <w:b w:val="0"/>
          <w:i w:val="0"/>
          <w:sz w:val="23"/>
        </w:rPr>
        <w:t>LOCADOR e LOCATÁRIO obrigam-se a cumprir o presente contrato, distinguindo-se duas hipóteses de multa:</w:t>
      </w:r>
    </w:p>
    <w:p>
      <w:pPr>
        <w:spacing w:after="120" w:before="0" w:line="336" w:lineRule="auto"/>
        <w:ind w:firstLine="709"/>
        <w:jc w:val="both"/>
      </w:pPr>
      <w:r>
        <w:rPr>
          <w:rFonts w:ascii="Times New Roman" w:hAnsi="Times New Roman" w:cs="Times New Roman"/>
          <w:b/>
          <w:i w:val="0"/>
          <w:sz w:val="23"/>
        </w:rPr>
        <w:t xml:space="preserve">Parágrafo Primeiro – </w:t>
      </w:r>
      <w:r>
        <w:rPr>
          <w:rFonts w:ascii="Times New Roman" w:hAnsi="Times New Roman" w:cs="Times New Roman"/>
          <w:b w:val="0"/>
          <w:i w:val="0"/>
          <w:sz w:val="23"/>
        </w:rPr>
        <w:t>Na devolução antecipada regular do imóvel, precedida do aviso prévio da Cláusula Décima Quinta, a multa será proporcional ao período restante da permanência mínima, na forma do art. 4º da Lei nº 8.245/1991.</w:t>
      </w:r>
    </w:p>
    <w:p>
      <w:pPr>
        <w:spacing w:after="120" w:before="0" w:line="336" w:lineRule="auto"/>
        <w:ind w:firstLine="709"/>
        <w:jc w:val="both"/>
      </w:pPr>
      <w:r>
        <w:rPr>
          <w:rFonts w:ascii="Times New Roman" w:hAnsi="Times New Roman" w:cs="Times New Roman"/>
          <w:b/>
          <w:i w:val="0"/>
          <w:sz w:val="23"/>
        </w:rPr>
        <w:t xml:space="preserve">Parágrafo Segundo – </w:t>
      </w:r>
      <w:r>
        <w:rPr>
          <w:rFonts w:ascii="Times New Roman" w:hAnsi="Times New Roman" w:cs="Times New Roman"/>
          <w:b w:val="0"/>
          <w:i w:val="0"/>
          <w:sz w:val="23"/>
        </w:rPr>
        <w:t>Na infração contratual grave, inclusive o abandono e as demais hipóteses de falta grave previstas neste contrato, aplica-se, a título de cláusula penal compensatória, a multa de 3 (três) aluguéis vigentes. Para contratos com permanência mínima de 6 (seis) meses, a multa será de 2 (dois) aluguéis integrais, dispensada a proporcionalidade do tempo decorrido.</w:t>
      </w:r>
    </w:p>
    <w:p>
      <w:pPr>
        <w:spacing w:after="120" w:before="180" w:line="336" w:lineRule="auto"/>
        <w:ind w:firstLine="709"/>
        <w:jc w:val="both"/>
      </w:pPr>
      <w:r>
        <w:rPr>
          <w:rFonts w:ascii="Times New Roman" w:hAnsi="Times New Roman" w:cs="Times New Roman"/>
          <w:b/>
          <w:i w:val="0"/>
          <w:color w:val="333333"/>
          <w:sz w:val="23"/>
        </w:rPr>
        <w:t xml:space="preserve">CLÁUSULA DÉCIMA OITAVA – DOS BENS DEIXADOS: </w:t>
      </w:r>
      <w:r>
        <w:rPr>
          <w:rFonts w:ascii="Times New Roman" w:hAnsi="Times New Roman" w:cs="Times New Roman"/>
          <w:b w:val="0"/>
          <w:i w:val="0"/>
          <w:sz w:val="23"/>
        </w:rPr>
        <w:t>Os bens, móveis e equipamentos de propriedade do LOCATÁRIO que permanecerem no imóvel após a desocupação ou o abandono serão considerados abandonados se não retirados no prazo de 15 (quinze) dias contados da notificação do LOCADOR, ficando este autorizado a removê-los e armazená-los às expensas do LOCATÁRIO, ou a dar-lhes destinação, sem que isso importe renúncia ao crédito ou obrigação de guarda indefinida.</w:t>
      </w:r>
    </w:p>
    <w:p>
      <w:pPr>
        <w:spacing w:after="120" w:before="180" w:line="336" w:lineRule="auto"/>
        <w:ind w:firstLine="709"/>
        <w:jc w:val="both"/>
      </w:pPr>
      <w:r>
        <w:rPr>
          <w:rFonts w:ascii="Times New Roman" w:hAnsi="Times New Roman" w:cs="Times New Roman"/>
          <w:b/>
          <w:i w:val="0"/>
          <w:color w:val="333333"/>
          <w:sz w:val="23"/>
        </w:rPr>
        <w:t xml:space="preserve">CLÁUSULA DÉCIMA NONA – DO DIREITO DE PREFERÊNCIA: </w:t>
      </w:r>
      <w:r>
        <w:rPr>
          <w:rFonts w:ascii="Times New Roman" w:hAnsi="Times New Roman" w:cs="Times New Roman"/>
          <w:b w:val="0"/>
          <w:i w:val="0"/>
          <w:sz w:val="23"/>
        </w:rPr>
        <w:t>Optando o LOCADOR por alienar ou permutar o imóvel, o LOCATÁRIO terá direito de preferência e de ser comunicado por escrito, na forma da lei.</w:t>
      </w:r>
    </w:p>
    <w:p>
      <w:pPr>
        <w:spacing w:after="120" w:before="180" w:line="336" w:lineRule="auto"/>
        <w:ind w:firstLine="709"/>
        <w:jc w:val="both"/>
      </w:pPr>
      <w:r>
        <w:rPr>
          <w:rFonts w:ascii="Times New Roman" w:hAnsi="Times New Roman" w:cs="Times New Roman"/>
          <w:b/>
          <w:i w:val="0"/>
          <w:color w:val="333333"/>
          <w:sz w:val="23"/>
        </w:rPr>
        <w:t xml:space="preserve">CLÁUSULA VIGÉSIMA – DO CORPO CLÍNICO: </w:t>
      </w:r>
      <w:r>
        <w:rPr>
          <w:rFonts w:ascii="Times New Roman" w:hAnsi="Times New Roman" w:cs="Times New Roman"/>
          <w:b w:val="0"/>
          <w:i w:val="0"/>
          <w:sz w:val="23"/>
        </w:rPr>
        <w:t>O LOCATÁRIO poderá, caso manifeste interesse, integrar o corpo clínico do LOCADOR para atendimento de pacientes vinculados aos convênios odontológicos já credenciados, condicionada a integração à prévia aprovação em processo de avaliação conduzido pelo LOCADOR.</w:t>
      </w:r>
    </w:p>
    <w:p>
      <w:pPr>
        <w:spacing w:after="120" w:before="0" w:line="336" w:lineRule="auto"/>
        <w:ind w:firstLine="709"/>
        <w:jc w:val="both"/>
      </w:pPr>
      <w:r>
        <w:rPr>
          <w:rFonts w:ascii="Times New Roman" w:hAnsi="Times New Roman" w:cs="Times New Roman"/>
          <w:b/>
          <w:i w:val="0"/>
          <w:sz w:val="23"/>
        </w:rPr>
        <w:t xml:space="preserve">Parágrafo Primeiro – </w:t>
      </w:r>
      <w:r>
        <w:rPr>
          <w:rFonts w:ascii="Times New Roman" w:hAnsi="Times New Roman" w:cs="Times New Roman"/>
          <w:b w:val="0"/>
          <w:i w:val="0"/>
          <w:sz w:val="23"/>
        </w:rPr>
        <w:t>A aprovação é de exclusivo critério do LOCADOR, não constituindo esta cláusula qualquer obrigação de aceitação do LOCATÁRIO no corpo clínico.</w:t>
      </w:r>
    </w:p>
    <w:p>
      <w:pPr>
        <w:spacing w:after="120" w:before="0" w:line="336" w:lineRule="auto"/>
        <w:ind w:firstLine="709"/>
        <w:jc w:val="both"/>
      </w:pPr>
      <w:r>
        <w:rPr>
          <w:rFonts w:ascii="Times New Roman" w:hAnsi="Times New Roman" w:cs="Times New Roman"/>
          <w:b/>
          <w:i w:val="0"/>
          <w:sz w:val="23"/>
        </w:rPr>
        <w:t xml:space="preserve">Parágrafo Segundo – </w:t>
      </w:r>
      <w:r>
        <w:rPr>
          <w:rFonts w:ascii="Times New Roman" w:hAnsi="Times New Roman" w:cs="Times New Roman"/>
          <w:b w:val="0"/>
          <w:i w:val="0"/>
          <w:sz w:val="23"/>
        </w:rPr>
        <w:t>A eventual integração não constitui garantia de faturamento mínimo, nem pode ser interpretada como valor a receber, crédito ou compensação em favor do LOCATÁRIO no âmbito deste contrato.</w:t>
      </w:r>
    </w:p>
    <w:p>
      <w:pPr>
        <w:spacing w:after="120" w:before="0" w:line="336" w:lineRule="auto"/>
        <w:ind w:firstLine="709"/>
        <w:jc w:val="both"/>
      </w:pPr>
      <w:r>
        <w:rPr>
          <w:rFonts w:ascii="Times New Roman" w:hAnsi="Times New Roman" w:cs="Times New Roman"/>
          <w:b/>
          <w:i w:val="0"/>
          <w:sz w:val="23"/>
        </w:rPr>
        <w:t xml:space="preserve">Parágrafo Terceiro – </w:t>
      </w:r>
      <w:r>
        <w:rPr>
          <w:rFonts w:ascii="Times New Roman" w:hAnsi="Times New Roman" w:cs="Times New Roman"/>
          <w:b w:val="0"/>
          <w:i w:val="0"/>
          <w:sz w:val="23"/>
        </w:rPr>
        <w:t>Os valores dos atendimentos a pacientes de convênios não constituem obrigação de pagamento do LOCADOR; a responsabilidade é exclusiva das operadoras dos planos, condicionada a análise, auditoria, eventuais glosas e deferimento destas.</w:t>
      </w:r>
    </w:p>
    <w:p>
      <w:pPr>
        <w:spacing w:after="120" w:before="180" w:line="336" w:lineRule="auto"/>
        <w:ind w:firstLine="709"/>
        <w:jc w:val="both"/>
      </w:pPr>
      <w:r>
        <w:rPr>
          <w:rFonts w:ascii="Times New Roman" w:hAnsi="Times New Roman" w:cs="Times New Roman"/>
          <w:b/>
          <w:i w:val="0"/>
          <w:color w:val="333333"/>
          <w:sz w:val="23"/>
        </w:rPr>
        <w:t xml:space="preserve">CLÁUSULA VIGÉSIMA PRIMEIRA – DA CONTINUIDADE DO ATENDIMENTO: </w:t>
      </w:r>
      <w:r>
        <w:rPr>
          <w:rFonts w:ascii="Times New Roman" w:hAnsi="Times New Roman" w:cs="Times New Roman"/>
          <w:b w:val="0"/>
          <w:i w:val="0"/>
          <w:sz w:val="23"/>
        </w:rPr>
        <w:t>Em qualquer hipótese de término, rescisão ou desocupação, e como condição da entrega das chaves, o LOCATÁRIO obriga-se, previamente, a: (i) comunicar por escrito os pacientes em tratamento sobre a descontinuidade; (ii) disponibilizar a documentação necessária à continuidade; e (iii) adotar as providências de encaminhamento exigidas pelo Código de Ética Odontológica, notadamente o art. 11, inciso VI, que veda o abandono de paciente.</w:t>
      </w:r>
    </w:p>
    <w:p>
      <w:pPr>
        <w:spacing w:after="120" w:before="0" w:line="336" w:lineRule="auto"/>
        <w:ind w:firstLine="709"/>
        <w:jc w:val="both"/>
      </w:pPr>
      <w:r>
        <w:rPr>
          <w:rFonts w:ascii="Times New Roman" w:hAnsi="Times New Roman" w:cs="Times New Roman"/>
          <w:b/>
          <w:i w:val="0"/>
          <w:sz w:val="23"/>
        </w:rPr>
        <w:t xml:space="preserve">Parágrafo Único – </w:t>
      </w:r>
      <w:r>
        <w:rPr>
          <w:rFonts w:ascii="Times New Roman" w:hAnsi="Times New Roman" w:cs="Times New Roman"/>
          <w:b w:val="0"/>
          <w:i w:val="0"/>
          <w:sz w:val="23"/>
        </w:rPr>
        <w:t>O LOCATÁRIO é o único responsável, perante os pacientes e o Conselho Regional de Odontologia, pelos tratamentos por ele iniciados. Caso o LOCADOR venha a ser responsabilizado — administrativa, ética ou judicialmente — por abandono de paciente atribuível ao LOCATÁRIO, este o indenizará regressivamente por todos os valores, custas e honorários despendidos.</w:t>
      </w:r>
    </w:p>
    <w:p>
      <w:pPr>
        <w:spacing w:after="120" w:before="180" w:line="336" w:lineRule="auto"/>
        <w:ind w:firstLine="709"/>
        <w:jc w:val="both"/>
      </w:pPr>
      <w:r>
        <w:rPr>
          <w:rFonts w:ascii="Times New Roman" w:hAnsi="Times New Roman" w:cs="Times New Roman"/>
          <w:b/>
          <w:i w:val="0"/>
          <w:color w:val="333333"/>
          <w:sz w:val="23"/>
        </w:rPr>
        <w:t xml:space="preserve">CLÁUSULA VIGÉSIMA SEGUNDA – DOS PRONTUÁRIOS: </w:t>
      </w:r>
      <w:r>
        <w:rPr>
          <w:rFonts w:ascii="Times New Roman" w:hAnsi="Times New Roman" w:cs="Times New Roman"/>
          <w:b w:val="0"/>
          <w:i w:val="0"/>
          <w:sz w:val="23"/>
        </w:rPr>
        <w:t>Os prontuários e a documentação odontológica dos pacientes atendidos por intermédio do credenciamento e dos convênios do LOCADOR permanecerão sob a guarda do LOCADOR. É vedada a retirada dos prontuários do estabelecimento sem autorização escrita do LOCADOR, devendo o LOCATÁRIO, ao sair, entregá-los ou disponibilizar cópia íntegra, sob pena de infração contratual e de comunicação ao Conselho Regional de Odontologia.</w:t>
      </w:r>
    </w:p>
    <w:p>
      <w:pPr>
        <w:spacing w:after="120" w:before="180" w:line="336" w:lineRule="auto"/>
        <w:ind w:firstLine="709"/>
        <w:jc w:val="both"/>
      </w:pPr>
      <w:r>
        <w:rPr>
          <w:rFonts w:ascii="Times New Roman" w:hAnsi="Times New Roman" w:cs="Times New Roman"/>
          <w:b/>
          <w:i w:val="0"/>
          <w:color w:val="333333"/>
          <w:sz w:val="23"/>
        </w:rPr>
        <w:t xml:space="preserve">CLÁUSULA VIGÉSIMA TERCEIRA – DA PROTEÇÃO DE DADOS: </w:t>
      </w:r>
      <w:r>
        <w:rPr>
          <w:rFonts w:ascii="Times New Roman" w:hAnsi="Times New Roman" w:cs="Times New Roman"/>
          <w:b w:val="0"/>
          <w:i w:val="0"/>
          <w:sz w:val="23"/>
        </w:rPr>
        <w:t>As partes observarão a Lei nº 13.709/2018 (LGPD) no tratamento de dados pessoais de pacientes. Encerrada a relação, o LOCATÁRIO não poderá utilizar, reter ou compartilhar dados de pacientes obtidos no âmbito do estabelecimento para finalidade diversa da continuidade do cuidado, respondendo pelos danos decorrentes de uso indevido.</w:t>
      </w:r>
    </w:p>
    <w:p>
      <w:pPr>
        <w:spacing w:after="120" w:before="180" w:line="336" w:lineRule="auto"/>
        <w:ind w:firstLine="709"/>
        <w:jc w:val="both"/>
      </w:pPr>
      <w:r>
        <w:rPr>
          <w:rFonts w:ascii="Times New Roman" w:hAnsi="Times New Roman" w:cs="Times New Roman"/>
          <w:b/>
          <w:i w:val="0"/>
          <w:color w:val="333333"/>
          <w:sz w:val="23"/>
        </w:rPr>
        <w:t xml:space="preserve">CLÁUSULA VIGÉSIMA QUARTA – DO NÃO ALICIAMENTO DE PACIENTES: </w:t>
      </w:r>
      <w:r>
        <w:rPr>
          <w:rFonts w:ascii="Times New Roman" w:hAnsi="Times New Roman" w:cs="Times New Roman"/>
          <w:b w:val="0"/>
          <w:i w:val="0"/>
          <w:sz w:val="23"/>
        </w:rPr>
        <w:t>Os pacientes atendidos por intermédio do credenciamento, dos convênios, da recepção, da captação, do marketing e da estrutura do LOCADOR integram a carteira e o fundo de comércio da clínica, não se confundindo com a clientela própria que o LOCATÁRIO comprovadamente já possuía antes do início desta locação. O LOCATÁRIO obriga-se a não desviar, transferir, captar ou aliciar, direta ou indiretamente, por si ou por interposta pessoa, para outro endereço ou estabelecimento, os pacientes a ele encaminhados ou por ele atendidos em razão da estrutura e dos convênios do LOCADOR, durante a vigência deste contrato e pelo prazo de 12 (doze) meses contados do seu término.</w:t>
      </w:r>
    </w:p>
    <w:p>
      <w:pPr>
        <w:spacing w:after="120" w:before="0" w:line="336" w:lineRule="auto"/>
        <w:ind w:firstLine="709"/>
        <w:jc w:val="both"/>
      </w:pPr>
      <w:r>
        <w:rPr>
          <w:rFonts w:ascii="Times New Roman" w:hAnsi="Times New Roman" w:cs="Times New Roman"/>
          <w:b/>
          <w:i w:val="0"/>
          <w:sz w:val="23"/>
        </w:rPr>
        <w:t xml:space="preserve">Parágrafo Primeiro – </w:t>
      </w:r>
      <w:r>
        <w:rPr>
          <w:rFonts w:ascii="Times New Roman" w:hAnsi="Times New Roman" w:cs="Times New Roman"/>
          <w:b w:val="0"/>
          <w:i w:val="0"/>
          <w:sz w:val="23"/>
        </w:rPr>
        <w:t>A comunicação aos pacientes em tratamento sobre eventual descontinuidade do atendimento será realizada pelo LOCADOR ou de forma conjunta com ele, observado o art. 11, inciso VI, do Código de Ética Odontológica, sendo vedado ao LOCATÁRIO valer-se de tal comunicação, dos dados de contato ou dos prontuários para captar pacientes para novo local de atendimento.</w:t>
      </w:r>
    </w:p>
    <w:p>
      <w:pPr>
        <w:spacing w:after="120" w:before="0" w:line="336" w:lineRule="auto"/>
        <w:ind w:firstLine="709"/>
        <w:jc w:val="both"/>
      </w:pPr>
      <w:r>
        <w:rPr>
          <w:rFonts w:ascii="Times New Roman" w:hAnsi="Times New Roman" w:cs="Times New Roman"/>
          <w:b/>
          <w:i w:val="0"/>
          <w:sz w:val="23"/>
        </w:rPr>
        <w:t xml:space="preserve">Parágrafo Segundo – </w:t>
      </w:r>
      <w:r>
        <w:rPr>
          <w:rFonts w:ascii="Times New Roman" w:hAnsi="Times New Roman" w:cs="Times New Roman"/>
          <w:b w:val="0"/>
          <w:i w:val="0"/>
          <w:sz w:val="23"/>
        </w:rPr>
        <w:t>A infração a esta cláusula constitui falta grave e sujeita o LOCATÁRIO à multa prevista na Cláusula Décima Sétima, Parágrafo Segundo, sem prejuízo da reparação das perdas e danos efetivamente apurados, inclusive lucros cessantes.</w:t>
      </w:r>
    </w:p>
    <w:p>
      <w:pPr>
        <w:spacing w:after="120" w:before="180" w:line="336" w:lineRule="auto"/>
        <w:ind w:firstLine="709"/>
        <w:jc w:val="both"/>
      </w:pPr>
      <w:r>
        <w:rPr>
          <w:rFonts w:ascii="Times New Roman" w:hAnsi="Times New Roman" w:cs="Times New Roman"/>
          <w:b/>
          <w:i w:val="0"/>
          <w:color w:val="333333"/>
          <w:sz w:val="23"/>
        </w:rPr>
        <w:t xml:space="preserve">CLÁUSULA VIGÉSIMA QUINTA – DA TRANSIÇÃO E DA COMUNICAÇÃO DE SAÍDA: </w:t>
      </w:r>
      <w:r>
        <w:rPr>
          <w:rFonts w:ascii="Times New Roman" w:hAnsi="Times New Roman" w:cs="Times New Roman"/>
          <w:b w:val="0"/>
          <w:i w:val="0"/>
          <w:sz w:val="23"/>
        </w:rPr>
        <w:t>O LOCATÁRIO obriga-se a manter atualizados, durante toda a locação, os seus dados de contato (endereço, telefone, e-mail e WhatsApp constantes da qualificação) e a responder às comunicações do LOCADOR no prazo de 5 (cinco) dias. As notificações e comunicações enviadas a esses contatos reputam-se recebidas para todos os fins de direito.</w:t>
      </w:r>
    </w:p>
    <w:p>
      <w:pPr>
        <w:spacing w:after="120" w:before="0" w:line="336" w:lineRule="auto"/>
        <w:ind w:firstLine="709"/>
        <w:jc w:val="both"/>
      </w:pPr>
      <w:r>
        <w:rPr>
          <w:rFonts w:ascii="Times New Roman" w:hAnsi="Times New Roman" w:cs="Times New Roman"/>
          <w:b/>
          <w:i w:val="0"/>
          <w:sz w:val="23"/>
        </w:rPr>
        <w:t xml:space="preserve">Parágrafo Primeiro – </w:t>
      </w:r>
      <w:r>
        <w:rPr>
          <w:rFonts w:ascii="Times New Roman" w:hAnsi="Times New Roman" w:cs="Times New Roman"/>
          <w:b w:val="0"/>
          <w:i w:val="0"/>
          <w:sz w:val="23"/>
        </w:rPr>
        <w:t>Em qualquer hipótese de término, rescisão ou desocupação, e como condição da regular entrega do imóvel, o LOCATÁRIO realizará a transição ordenada do atendimento, mediante: (i) comunicação prévia e por escrito ao LOCADOR, na forma da Cláusula Décima Quinta; (ii) entrega das chaves acompanhada da vistoria de saída; e (iii) apresentação de relação dos pacientes em tratamento, com o respectivo estágio, para viabilizar a continuidade do cuidado.</w:t>
      </w:r>
    </w:p>
    <w:p>
      <w:pPr>
        <w:spacing w:after="120" w:before="0" w:line="336" w:lineRule="auto"/>
        <w:ind w:firstLine="709"/>
        <w:jc w:val="both"/>
      </w:pPr>
      <w:r>
        <w:rPr>
          <w:rFonts w:ascii="Times New Roman" w:hAnsi="Times New Roman" w:cs="Times New Roman"/>
          <w:b/>
          <w:i w:val="0"/>
          <w:sz w:val="23"/>
        </w:rPr>
        <w:t xml:space="preserve">Parágrafo Segundo – </w:t>
      </w:r>
      <w:r>
        <w:rPr>
          <w:rFonts w:ascii="Times New Roman" w:hAnsi="Times New Roman" w:cs="Times New Roman"/>
          <w:b w:val="0"/>
          <w:i w:val="0"/>
          <w:sz w:val="23"/>
        </w:rPr>
        <w:t>A ausência de resposta às comunicações do LOCADOR, somada à cessação do atendimento, reforça a caracterização do abandono prevista na Cláusula Décima Sexta, autorizando as providências ali estabelecidas.</w:t>
      </w:r>
    </w:p>
    <w:p>
      <w:pPr>
        <w:spacing w:after="120" w:before="180" w:line="336" w:lineRule="auto"/>
        <w:ind w:firstLine="709"/>
        <w:jc w:val="both"/>
      </w:pPr>
      <w:r>
        <w:rPr>
          <w:rFonts w:ascii="Times New Roman" w:hAnsi="Times New Roman" w:cs="Times New Roman"/>
          <w:b/>
          <w:i w:val="0"/>
          <w:color w:val="333333"/>
          <w:sz w:val="23"/>
        </w:rPr>
        <w:t xml:space="preserve">CLÁUSULA VIGÉSIMA SEXTA – DO NÃO ALICIAMENTO DE PROFISSIONAIS: </w:t>
      </w:r>
      <w:r>
        <w:rPr>
          <w:rFonts w:ascii="Times New Roman" w:hAnsi="Times New Roman" w:cs="Times New Roman"/>
          <w:b w:val="0"/>
          <w:i w:val="0"/>
          <w:sz w:val="23"/>
        </w:rPr>
        <w:t>É vedado ao LOCATÁRIO, durante a vigência deste contrato e pelo prazo de 12 (doze) meses contados do seu término, contratar, aliciar ou desviar, direta ou indiretamente, funcionários, auxiliares ou demais profissionais que integrem ou tenham integrado o quadro da clínica do LOCADOR, salvo prévia e expressa concordância escrita deste. O descumprimento sujeita o LOCATÁRIO à multa prevista na Cláusula Décima Sétima, Parágrafo Segundo, sem prejuízo das perdas e danos.</w:t>
      </w:r>
    </w:p>
    <w:p>
      <w:pPr>
        <w:spacing w:after="120" w:before="180" w:line="336" w:lineRule="auto"/>
        <w:ind w:firstLine="709"/>
        <w:jc w:val="both"/>
      </w:pPr>
      <w:r>
        <w:rPr>
          <w:rFonts w:ascii="Times New Roman" w:hAnsi="Times New Roman" w:cs="Times New Roman"/>
          <w:b/>
          <w:i w:val="0"/>
          <w:color w:val="333333"/>
          <w:sz w:val="23"/>
        </w:rPr>
        <w:t xml:space="preserve">CLÁUSULA VIGÉSIMA SÉTIMA – DA CONFIDENCIALIDADE E DO USO DA MARCA: </w:t>
      </w:r>
      <w:r>
        <w:rPr>
          <w:rFonts w:ascii="Times New Roman" w:hAnsi="Times New Roman" w:cs="Times New Roman"/>
          <w:b w:val="0"/>
          <w:i w:val="0"/>
          <w:sz w:val="23"/>
        </w:rPr>
        <w:t>O LOCATÁRIO obriga-se a manter sigilo sobre as informações comerciais, administrativas, financeiras e cadastrais a que tiver acesso em razão da locação, bem como sobre dados de pacientes, fornecedores e convênios do LOCADOR, não podendo utilizá-los, reproduzi-los ou divulgá-los para finalidade estranha ao contrato. Encerrada a locação, cessa imediatamente qualquer direito de uso do nome, da marca, do logotipo, das redes sociais, do endereço e dos canais de comunicação do LOCADOR, vedada a sua utilização ou a indução dos pacientes a erro quanto ao local de atendimento. A infração sujeita o LOCATÁRIO às perdas e danos e à multa prevista na Cláusula Décima Sétima, Parágrafo Segundo.</w:t>
      </w:r>
    </w:p>
    <w:p>
      <w:pPr>
        <w:spacing w:after="120" w:before="180" w:line="336" w:lineRule="auto"/>
        <w:ind w:firstLine="709"/>
        <w:jc w:val="both"/>
      </w:pPr>
      <w:r>
        <w:rPr>
          <w:rFonts w:ascii="Times New Roman" w:hAnsi="Times New Roman" w:cs="Times New Roman"/>
          <w:b/>
          <w:i w:val="0"/>
          <w:color w:val="333333"/>
          <w:sz w:val="23"/>
        </w:rPr>
        <w:t xml:space="preserve">CLÁUSULA VIGÉSIMA OITAVA – DA RESPONSABILIDADE PELA BIOSSEGURANÇA, HIGIENIZAÇÃO E ESTERILIZAÇÃO: </w:t>
      </w:r>
      <w:r>
        <w:rPr>
          <w:rFonts w:ascii="Times New Roman" w:hAnsi="Times New Roman" w:cs="Times New Roman"/>
          <w:b w:val="0"/>
          <w:i w:val="0"/>
          <w:sz w:val="23"/>
        </w:rPr>
        <w:t>O LOCADOR disponibiliza ao LOCATÁRIO a infraestrutura de processamento de instrumentais — autoclave, áreas de expurgo e de esterilização e os equipamentos a elas inerentes —, permanecendo tais bens de propriedade do LOCADOR. O LOCATÁRIO, na qualidade de cirurgião-dentista regularmente inscrito no Conselho Regional de Odontologia, é o único responsável, por força de lei, pela segurança da higienização, desinfecção e esterilização de todos os instrumentais e materiais por ele utilizados no atendimento de seus pacientes, observados a RDC ANVISA nº 15/2012, a RDC ANVISA nº 1.002/2025, a NR-32 e o Código de Ética Odontológica (Resolução CFO-118/2012).</w:t>
      </w:r>
    </w:p>
    <w:p>
      <w:pPr>
        <w:spacing w:after="120" w:before="0" w:line="336" w:lineRule="auto"/>
        <w:ind w:firstLine="709"/>
        <w:jc w:val="both"/>
      </w:pPr>
      <w:r>
        <w:rPr>
          <w:rFonts w:ascii="Times New Roman" w:hAnsi="Times New Roman" w:cs="Times New Roman"/>
          <w:b/>
          <w:i w:val="0"/>
          <w:sz w:val="23"/>
        </w:rPr>
        <w:t xml:space="preserve">Parágrafo Primeiro – </w:t>
      </w:r>
      <w:r>
        <w:rPr>
          <w:rFonts w:ascii="Times New Roman" w:hAnsi="Times New Roman" w:cs="Times New Roman"/>
          <w:b w:val="0"/>
          <w:i w:val="0"/>
          <w:sz w:val="23"/>
        </w:rPr>
        <w:t>Correm por conta exclusiva do LOCATÁRIO os insumos de consumo empregados no processamento de seus próprios instrumentais, notadamente as bobinas e os envelopes para selagem dos instrumentais a serem autoclavados, os indicadores e testes químicos (integradores), os testes biológicos e as etiquetas de identificação e rastreabilidade, sem direito a reembolso pelo LOCADOR.</w:t>
      </w:r>
    </w:p>
    <w:p>
      <w:pPr>
        <w:spacing w:after="120" w:before="0" w:line="336" w:lineRule="auto"/>
        <w:ind w:firstLine="709"/>
        <w:jc w:val="both"/>
      </w:pPr>
      <w:r>
        <w:rPr>
          <w:rFonts w:ascii="Times New Roman" w:hAnsi="Times New Roman" w:cs="Times New Roman"/>
          <w:b/>
          <w:i w:val="0"/>
          <w:sz w:val="23"/>
        </w:rPr>
        <w:t xml:space="preserve">Parágrafo Segundo – </w:t>
      </w:r>
      <w:r>
        <w:rPr>
          <w:rFonts w:ascii="Times New Roman" w:hAnsi="Times New Roman" w:cs="Times New Roman"/>
          <w:b w:val="0"/>
          <w:i w:val="0"/>
          <w:sz w:val="23"/>
        </w:rPr>
        <w:t>O LOCATÁRIO obriga-se a observar o fluxo unidirecional de processamento (área suja → área limpa → área estéril) e a identificar cada pacote dos seus instrumentais com data, lote, responsável e indicador químico, observadas as boas práticas de biossegurança.</w:t>
      </w:r>
    </w:p>
    <w:p>
      <w:pPr>
        <w:spacing w:after="120" w:before="0" w:line="336" w:lineRule="auto"/>
        <w:ind w:firstLine="709"/>
        <w:jc w:val="both"/>
      </w:pPr>
      <w:r>
        <w:rPr>
          <w:rFonts w:ascii="Times New Roman" w:hAnsi="Times New Roman" w:cs="Times New Roman"/>
          <w:b/>
          <w:i w:val="0"/>
          <w:sz w:val="23"/>
        </w:rPr>
        <w:t xml:space="preserve">Parágrafo Terceiro – </w:t>
      </w:r>
      <w:r>
        <w:rPr>
          <w:rFonts w:ascii="Times New Roman" w:hAnsi="Times New Roman" w:cs="Times New Roman"/>
          <w:b w:val="0"/>
          <w:i w:val="0"/>
          <w:sz w:val="23"/>
        </w:rPr>
        <w:t>A realização, a documentação e a guarda dos testes químicos e biológicos de monitoramento da autoclave, bem como os respectivos livros e registros de controle, são de responsabilidade exclusiva do LOCADOR e constituem documentos da clínica referentes a todos os inquilinos, mantidos à disposição da fiscalização sanitária, não se confundindo com dados ou registros individuais do LOCATÁRIO.</w:t>
      </w:r>
    </w:p>
    <w:p>
      <w:pPr>
        <w:spacing w:after="120" w:before="0" w:line="336" w:lineRule="auto"/>
        <w:ind w:firstLine="709"/>
        <w:jc w:val="both"/>
      </w:pPr>
      <w:r>
        <w:rPr>
          <w:rFonts w:ascii="Times New Roman" w:hAnsi="Times New Roman" w:cs="Times New Roman"/>
          <w:b/>
          <w:i w:val="0"/>
          <w:sz w:val="23"/>
        </w:rPr>
        <w:t xml:space="preserve">Parágrafo Quarto – </w:t>
      </w:r>
      <w:r>
        <w:rPr>
          <w:rFonts w:ascii="Times New Roman" w:hAnsi="Times New Roman" w:cs="Times New Roman"/>
          <w:b w:val="0"/>
          <w:i w:val="0"/>
          <w:sz w:val="23"/>
        </w:rPr>
        <w:t>O LOCATÁRIO responde, com exclusividade, por qualquer infecção cruzada, dano ao paciente ou autuação sanitária decorrente de falha na higienização ou esterilização dos instrumentais e materiais sob sua responsabilidade. Caso o LOCADOR venha a ser responsabilizado — administrativa, sanitária, ética ou judicialmente — por fato atribuível ao LOCATÁRIO, este o indenizará regressivamente por todos os valores, custas e honorários despendidos.</w:t>
      </w:r>
    </w:p>
    <w:p>
      <w:pPr>
        <w:spacing w:after="120" w:before="180" w:line="336" w:lineRule="auto"/>
        <w:ind w:firstLine="709"/>
        <w:jc w:val="both"/>
      </w:pPr>
      <w:r>
        <w:rPr>
          <w:rFonts w:ascii="Times New Roman" w:hAnsi="Times New Roman" w:cs="Times New Roman"/>
          <w:b/>
          <w:i w:val="0"/>
          <w:color w:val="333333"/>
          <w:sz w:val="23"/>
        </w:rPr>
        <w:t xml:space="preserve">CLÁUSULA VIGÉSIMA NONA – DO FORO: </w:t>
      </w:r>
      <w:r>
        <w:rPr>
          <w:rFonts w:ascii="Times New Roman" w:hAnsi="Times New Roman" w:cs="Times New Roman"/>
          <w:b w:val="0"/>
          <w:i w:val="0"/>
          <w:sz w:val="23"/>
        </w:rPr>
        <w:t>Fica eleito o foro da Comarca de Cuiabá/MT, com renúncia expressa a qualquer outro, por mais privilegiado que seja, para dirimir as questões oriundas deste instrumento.</w:t>
      </w:r>
    </w:p>
    <w:p>
      <w:pPr>
        <w:spacing w:after="120" w:before="180" w:line="336" w:lineRule="auto"/>
        <w:ind w:firstLine="709"/>
        <w:jc w:val="both"/>
      </w:pPr>
      <w:r>
        <w:rPr>
          <w:rFonts w:ascii="Times New Roman" w:hAnsi="Times New Roman" w:cs="Times New Roman"/>
          <w:b/>
          <w:i w:val="0"/>
          <w:color w:val="333333"/>
          <w:sz w:val="23"/>
        </w:rPr>
        <w:t xml:space="preserve">CLÁUSULA TRIGÉSIMA – DA INFRAÇÃO CONTRATUAL: </w:t>
      </w:r>
      <w:r>
        <w:rPr>
          <w:rFonts w:ascii="Times New Roman" w:hAnsi="Times New Roman" w:cs="Times New Roman"/>
          <w:b w:val="0"/>
          <w:i w:val="0"/>
          <w:sz w:val="23"/>
        </w:rPr>
        <w:t>O descumprimento de qualquer cláusula deste contrato, por qualquer das partes signatárias, implica infração à obrigação contratual e acarreta, em favor da outra parte, justa causa para a rescisão deste instrumento e para a adoção das demais providências cabíveis.</w:t>
      </w:r>
    </w:p>
    <w:p>
      <w:pPr>
        <w:pageBreakBefore/>
        <w:spacing w:after="120" w:before="200" w:line="240" w:lineRule="auto"/>
        <w:jc w:val="left"/>
      </w:pPr>
      <w:r>
        <w:rPr>
          <w:rFonts w:ascii="Arial" w:hAnsi="Arial" w:cs="Arial"/>
          <w:b/>
          <w:i w:val="0"/>
          <w:color w:val="FFFFFF"/>
          <w:sz w:val="21"/>
          <w:smallCaps/>
          <w:shd w:val="clear" w:color="auto" w:fill="3A3A3A"/>
        </w:rPr>
        <w:t xml:space="preserve">  Encerramento e Assinaturas  </w:t>
      </w:r>
    </w:p>
    <w:p>
      <w:pPr>
        <w:spacing w:after="120" w:before="0" w:line="336" w:lineRule="auto"/>
        <w:ind w:firstLine="709"/>
        <w:jc w:val="both"/>
      </w:pPr>
      <w:r>
        <w:rPr>
          <w:rFonts w:ascii="Times New Roman" w:hAnsi="Times New Roman" w:cs="Times New Roman"/>
          <w:b w:val="0"/>
          <w:i w:val="0"/>
          <w:sz w:val="23"/>
        </w:rPr>
        <w:t>E, por estarem assim justos e contratados, LOCADOR e LOCATÁRIO, após lerem e conferirem o presente contrato, firmam-no na presença das duas testemunhas abaixo, em 2 (duas) vias de igual teor e para um só efeito de direito.</w:t>
      </w:r>
    </w:p>
    <w:p>
      <w:pPr>
        <w:spacing w:after="40" w:before="80" w:line="336" w:lineRule="auto"/>
        <w:jc w:val="right"/>
      </w:pPr>
      <w:r>
        <w:rPr>
          <w:rFonts w:ascii="Times New Roman" w:hAnsi="Times New Roman" w:cs="Times New Roman"/>
          <w:b/>
          <w:i w:val="0"/>
          <w:sz w:val="23"/>
        </w:rPr>
        <w:t>Cuiabá/MT, {{inicioContrato}}.</w:t>
      </w:r>
    </w:p>
    <w:p>
      <w:pPr>
        <w:spacing w:after="0" w:before="0" w:line="240" w:lineRule="auto"/>
        <w:jc w:val="both"/>
      </w:pPr>
      <w:r>
        <w:rPr>
          <w:rFonts w:ascii="Times New Roman" w:hAnsi="Times New Roman" w:cs="Times New Roman"/>
          <w:b w:val="0"/>
          <w:i w:val="0"/>
          <w:sz w:val="23"/>
        </w:rPr>
        <w:t>{{#locatarios}}</w:t>
      </w:r>
    </w:p>
    <w:p>
      <w:pPr>
        <w:spacing w:after="0" w:before="440" w:line="240" w:lineRule="auto"/>
        <w:jc w:val="both"/>
      </w:pPr>
      <w:r>
        <w:rPr>
          <w:rFonts w:ascii="Times New Roman" w:hAnsi="Times New Roman" w:cs="Times New Roman"/>
          <w:b w:val="0"/>
          <w:i w:val="0"/>
          <w:sz w:val="23"/>
        </w:rPr>
      </w:r>
    </w:p>
    <w:p>
      <w:pPr>
        <w:spacing w:after="0" w:before="0" w:line="240" w:lineRule="auto"/>
        <w:jc w:val="center"/>
      </w:pPr>
      <w:r>
        <w:rPr>
          <w:rFonts w:ascii="Times New Roman" w:hAnsi="Times New Roman" w:cs="Times New Roman"/>
          <w:b w:val="0"/>
          <w:i w:val="0"/>
          <w:sz w:val="23"/>
        </w:rPr>
        <w:t>___________________________________________</w:t>
      </w:r>
    </w:p>
    <w:p>
      <w:pPr>
        <w:spacing w:after="0" w:before="0" w:line="240" w:lineRule="auto"/>
        <w:jc w:val="center"/>
      </w:pPr>
      <w:r>
        <w:rPr>
          <w:rFonts w:ascii="Times New Roman" w:hAnsi="Times New Roman" w:cs="Times New Roman"/>
          <w:b/>
          <w:i w:val="0"/>
          <w:sz w:val="23"/>
        </w:rPr>
        <w:t>{{nome}}</w:t>
      </w:r>
    </w:p>
    <w:p>
      <w:pPr>
        <w:spacing w:after="0" w:before="0" w:line="240" w:lineRule="auto"/>
        <w:jc w:val="center"/>
      </w:pPr>
      <w:r>
        <w:rPr>
          <w:rFonts w:ascii="Times New Roman" w:hAnsi="Times New Roman" w:cs="Times New Roman"/>
          <w:b w:val="0"/>
          <w:i w:val="0"/>
          <w:color w:val="666666"/>
          <w:sz w:val="19"/>
        </w:rPr>
        <w:t>CPF {{cpf}}</w:t>
      </w:r>
    </w:p>
    <w:p>
      <w:pPr>
        <w:spacing w:after="40" w:before="0" w:line="240" w:lineRule="auto"/>
        <w:jc w:val="center"/>
      </w:pPr>
      <w:r>
        <w:rPr>
          <w:rFonts w:ascii="Arial" w:hAnsi="Arial" w:cs="Arial"/>
          <w:b w:val="0"/>
          <w:i w:val="0"/>
          <w:color w:val="666666"/>
          <w:sz w:val="17"/>
          <w:smallCaps/>
        </w:rPr>
        <w:t>LOCATÁRIO {{numero}}</w:t>
      </w:r>
    </w:p>
    <w:p>
      <w:pPr>
        <w:spacing w:after="0" w:before="0" w:line="240" w:lineRule="auto"/>
        <w:jc w:val="both"/>
      </w:pPr>
      <w:r>
        <w:rPr>
          <w:rFonts w:ascii="Times New Roman" w:hAnsi="Times New Roman" w:cs="Times New Roman"/>
          <w:b w:val="0"/>
          <w:i w:val="0"/>
          <w:sz w:val="23"/>
        </w:rPr>
        <w:t>{{/locatarios}}</w:t>
      </w:r>
    </w:p>
    <w:p>
      <w:pPr>
        <w:spacing w:after="0" w:before="0" w:line="240" w:lineRule="auto"/>
        <w:jc w:val="both"/>
      </w:pPr>
      <w:r>
        <w:rPr>
          <w:rFonts w:ascii="Times New Roman" w:hAnsi="Times New Roman" w:cs="Times New Roman"/>
          <w:b w:val="0"/>
          <w:i w:val="0"/>
          <w:sz w:val="23"/>
        </w:rPr>
        <w:t>{{#fiadores}}</w:t>
      </w:r>
    </w:p>
    <w:p>
      <w:pPr>
        <w:spacing w:after="0" w:before="440" w:line="240" w:lineRule="auto"/>
        <w:jc w:val="both"/>
      </w:pPr>
      <w:r>
        <w:rPr>
          <w:rFonts w:ascii="Times New Roman" w:hAnsi="Times New Roman" w:cs="Times New Roman"/>
          <w:b w:val="0"/>
          <w:i w:val="0"/>
          <w:sz w:val="23"/>
        </w:rPr>
      </w:r>
    </w:p>
    <w:p>
      <w:pPr>
        <w:spacing w:after="0" w:before="0" w:line="240" w:lineRule="auto"/>
        <w:jc w:val="center"/>
      </w:pPr>
      <w:r>
        <w:rPr>
          <w:rFonts w:ascii="Times New Roman" w:hAnsi="Times New Roman" w:cs="Times New Roman"/>
          <w:b w:val="0"/>
          <w:i w:val="0"/>
          <w:sz w:val="23"/>
        </w:rPr>
        <w:t>___________________________________________</w:t>
      </w:r>
    </w:p>
    <w:p>
      <w:pPr>
        <w:spacing w:after="0" w:before="0" w:line="240" w:lineRule="auto"/>
        <w:jc w:val="center"/>
      </w:pPr>
      <w:r>
        <w:rPr>
          <w:rFonts w:ascii="Times New Roman" w:hAnsi="Times New Roman" w:cs="Times New Roman"/>
          <w:b/>
          <w:i w:val="0"/>
          <w:sz w:val="23"/>
        </w:rPr>
        <w:t>{{nome}}</w:t>
      </w:r>
    </w:p>
    <w:p>
      <w:pPr>
        <w:spacing w:after="0" w:before="0" w:line="240" w:lineRule="auto"/>
        <w:jc w:val="center"/>
      </w:pPr>
      <w:r>
        <w:rPr>
          <w:rFonts w:ascii="Times New Roman" w:hAnsi="Times New Roman" w:cs="Times New Roman"/>
          <w:b w:val="0"/>
          <w:i w:val="0"/>
          <w:color w:val="666666"/>
          <w:sz w:val="19"/>
        </w:rPr>
        <w:t>CPF {{cpf}}</w:t>
      </w:r>
    </w:p>
    <w:p>
      <w:pPr>
        <w:spacing w:after="40" w:before="0" w:line="240" w:lineRule="auto"/>
        <w:jc w:val="center"/>
      </w:pPr>
      <w:r>
        <w:rPr>
          <w:rFonts w:ascii="Arial" w:hAnsi="Arial" w:cs="Arial"/>
          <w:b w:val="0"/>
          <w:i w:val="0"/>
          <w:color w:val="666666"/>
          <w:sz w:val="17"/>
          <w:smallCaps/>
        </w:rPr>
        <w:t>FIADOR {{numero}}</w:t>
      </w:r>
    </w:p>
    <w:p>
      <w:pPr>
        <w:spacing w:after="0" w:before="0" w:line="240" w:lineRule="auto"/>
        <w:jc w:val="both"/>
      </w:pPr>
      <w:r>
        <w:rPr>
          <w:rFonts w:ascii="Times New Roman" w:hAnsi="Times New Roman" w:cs="Times New Roman"/>
          <w:b w:val="0"/>
          <w:i w:val="0"/>
          <w:sz w:val="23"/>
        </w:rPr>
        <w:t>{{#temConjuge}}</w:t>
      </w:r>
    </w:p>
    <w:p>
      <w:pPr>
        <w:spacing w:after="0" w:before="440" w:line="240" w:lineRule="auto"/>
        <w:jc w:val="both"/>
      </w:pPr>
      <w:r>
        <w:rPr>
          <w:rFonts w:ascii="Times New Roman" w:hAnsi="Times New Roman" w:cs="Times New Roman"/>
          <w:b w:val="0"/>
          <w:i w:val="0"/>
          <w:sz w:val="23"/>
        </w:rPr>
      </w:r>
    </w:p>
    <w:p>
      <w:pPr>
        <w:spacing w:after="0" w:before="0" w:line="240" w:lineRule="auto"/>
        <w:jc w:val="center"/>
      </w:pPr>
      <w:r>
        <w:rPr>
          <w:rFonts w:ascii="Times New Roman" w:hAnsi="Times New Roman" w:cs="Times New Roman"/>
          <w:b w:val="0"/>
          <w:i w:val="0"/>
          <w:sz w:val="23"/>
        </w:rPr>
        <w:t>___________________________________________</w:t>
      </w:r>
    </w:p>
    <w:p>
      <w:pPr>
        <w:spacing w:after="0" w:before="0" w:line="240" w:lineRule="auto"/>
        <w:jc w:val="center"/>
      </w:pPr>
      <w:r>
        <w:rPr>
          <w:rFonts w:ascii="Times New Roman" w:hAnsi="Times New Roman" w:cs="Times New Roman"/>
          <w:b/>
          <w:i w:val="0"/>
          <w:sz w:val="23"/>
        </w:rPr>
        <w:t>{{conjugeNome}}</w:t>
      </w:r>
    </w:p>
    <w:p>
      <w:pPr>
        <w:spacing w:after="0" w:before="0" w:line="240" w:lineRule="auto"/>
        <w:jc w:val="center"/>
      </w:pPr>
      <w:r>
        <w:rPr>
          <w:rFonts w:ascii="Times New Roman" w:hAnsi="Times New Roman" w:cs="Times New Roman"/>
          <w:b w:val="0"/>
          <w:i w:val="0"/>
          <w:color w:val="666666"/>
          <w:sz w:val="19"/>
        </w:rPr>
        <w:t>CPF {{conjugeCpf}}</w:t>
      </w:r>
    </w:p>
    <w:p>
      <w:pPr>
        <w:spacing w:after="40" w:before="0" w:line="240" w:lineRule="auto"/>
        <w:jc w:val="center"/>
      </w:pPr>
      <w:r>
        <w:rPr>
          <w:rFonts w:ascii="Arial" w:hAnsi="Arial" w:cs="Arial"/>
          <w:b w:val="0"/>
          <w:i w:val="0"/>
          <w:color w:val="666666"/>
          <w:sz w:val="17"/>
          <w:smallCaps/>
        </w:rPr>
        <w:t>CÔNJUGE ANUENTE DO FIADOR {{numero}}</w:t>
      </w:r>
    </w:p>
    <w:p>
      <w:pPr>
        <w:spacing w:after="0" w:before="0" w:line="240" w:lineRule="auto"/>
        <w:jc w:val="both"/>
      </w:pPr>
      <w:r>
        <w:rPr>
          <w:rFonts w:ascii="Times New Roman" w:hAnsi="Times New Roman" w:cs="Times New Roman"/>
          <w:b w:val="0"/>
          <w:i w:val="0"/>
          <w:sz w:val="23"/>
        </w:rPr>
        <w:t>{{/temConjuge}}</w:t>
      </w:r>
    </w:p>
    <w:p>
      <w:pPr>
        <w:spacing w:after="0" w:before="0" w:line="240" w:lineRule="auto"/>
        <w:jc w:val="both"/>
      </w:pPr>
      <w:r>
        <w:rPr>
          <w:rFonts w:ascii="Times New Roman" w:hAnsi="Times New Roman" w:cs="Times New Roman"/>
          <w:b w:val="0"/>
          <w:i w:val="0"/>
          <w:sz w:val="23"/>
        </w:rPr>
        <w:t>{{/fiadores}}</w:t>
      </w:r>
    </w:p>
    <w:p>
      <w:pPr>
        <w:spacing w:after="0" w:before="440" w:line="240" w:lineRule="auto"/>
        <w:jc w:val="both"/>
      </w:pPr>
      <w:r>
        <w:rPr>
          <w:rFonts w:ascii="Times New Roman" w:hAnsi="Times New Roman" w:cs="Times New Roman"/>
          <w:b w:val="0"/>
          <w:i w:val="0"/>
          <w:sz w:val="23"/>
        </w:rPr>
      </w:r>
    </w:p>
    <w:p>
      <w:pPr>
        <w:spacing w:after="0" w:before="0" w:line="240" w:lineRule="auto"/>
        <w:jc w:val="center"/>
      </w:pPr>
      <w:r>
        <w:rPr>
          <w:rFonts w:ascii="Times New Roman" w:hAnsi="Times New Roman" w:cs="Times New Roman"/>
          <w:b w:val="0"/>
          <w:i w:val="0"/>
          <w:sz w:val="23"/>
        </w:rPr>
        <w:t>___________________________________________</w:t>
      </w:r>
    </w:p>
    <w:p>
      <w:pPr>
        <w:spacing w:after="0" w:before="0" w:line="240" w:lineRule="auto"/>
        <w:jc w:val="center"/>
      </w:pPr>
      <w:r>
        <w:rPr>
          <w:rFonts w:ascii="Times New Roman" w:hAnsi="Times New Roman" w:cs="Times New Roman"/>
          <w:b/>
          <w:i w:val="0"/>
          <w:sz w:val="23"/>
        </w:rPr>
        <w:t>FACE INSTITUTO ODONTOLÓGICO</w:t>
      </w:r>
    </w:p>
    <w:p>
      <w:pPr>
        <w:spacing w:after="0" w:before="0" w:line="240" w:lineRule="auto"/>
        <w:jc w:val="center"/>
      </w:pPr>
      <w:r>
        <w:rPr>
          <w:rFonts w:ascii="Times New Roman" w:hAnsi="Times New Roman" w:cs="Times New Roman"/>
          <w:b w:val="0"/>
          <w:i w:val="0"/>
          <w:color w:val="666666"/>
          <w:sz w:val="19"/>
        </w:rPr>
        <w:t>CNPJ 46.420.470/0001-05</w:t>
      </w:r>
    </w:p>
    <w:p>
      <w:pPr>
        <w:spacing w:after="40" w:before="0" w:line="240" w:lineRule="auto"/>
        <w:jc w:val="center"/>
      </w:pPr>
      <w:r>
        <w:rPr>
          <w:rFonts w:ascii="Arial" w:hAnsi="Arial" w:cs="Arial"/>
          <w:b w:val="0"/>
          <w:i w:val="0"/>
          <w:color w:val="666666"/>
          <w:sz w:val="17"/>
          <w:smallCaps/>
        </w:rPr>
        <w:t>LOCADOR</w:t>
      </w:r>
    </w:p>
    <w:p>
      <w:pPr>
        <w:spacing w:after="120" w:before="200" w:line="240" w:lineRule="auto"/>
        <w:jc w:val="left"/>
      </w:pPr>
      <w:r>
        <w:rPr>
          <w:rFonts w:ascii="Arial" w:hAnsi="Arial" w:cs="Arial"/>
          <w:b/>
          <w:i w:val="0"/>
          <w:color w:val="FFFFFF"/>
          <w:sz w:val="21"/>
          <w:smallCaps/>
          <w:shd w:val="clear" w:color="auto" w:fill="3A3A3A"/>
        </w:rPr>
        <w:t xml:space="preserve">  Testemunhas  </w:t>
      </w:r>
    </w:p>
    <w:p>
      <w:pPr>
        <w:spacing w:after="240" w:before="0" w:line="336" w:lineRule="auto"/>
        <w:jc w:val="both"/>
      </w:pPr>
      <w:r>
        <w:rPr>
          <w:rFonts w:ascii="Times New Roman" w:hAnsi="Times New Roman" w:cs="Times New Roman"/>
          <w:b w:val="0"/>
          <w:i w:val="0"/>
          <w:sz w:val="23"/>
        </w:rPr>
        <w:t>1)  ____________________________________     Nome: ____________________________     CPF: ____________________</w:t>
      </w:r>
    </w:p>
    <w:p>
      <w:pPr>
        <w:spacing w:after="120" w:before="0" w:line="336" w:lineRule="auto"/>
        <w:jc w:val="both"/>
      </w:pPr>
      <w:r>
        <w:rPr>
          <w:rFonts w:ascii="Times New Roman" w:hAnsi="Times New Roman" w:cs="Times New Roman"/>
          <w:b w:val="0"/>
          <w:i w:val="0"/>
          <w:sz w:val="23"/>
        </w:rPr>
        <w:t>2)  ____________________________________     Nome: ____________________________     CPF: ____________________</w:t>
      </w:r>
    </w:p>
    <w:p>
      <w:pPr>
        <w:pageBreakBefore/>
        <w:spacing w:after="280" w:before="0" w:line="240" w:lineRule="auto"/>
        <w:jc w:val="center"/>
        <w:shd w:val="clear" w:color="auto" w:fill="3A3A3A"/>
      </w:pPr>
      <w:r>
        <w:rPr>
          <w:rFonts w:ascii="Arial" w:hAnsi="Arial" w:cs="Arial"/>
          <w:b w:val="0"/>
          <w:i w:val="0"/>
          <w:color w:val="FFFFFF"/>
          <w:sz w:val="12"/>
        </w:rPr>
        <w:br/>
      </w:r>
      <w:r>
        <w:rPr>
          <w:rFonts w:ascii="Arial" w:hAnsi="Arial" w:cs="Arial"/>
          <w:b/>
          <w:i w:val="0"/>
          <w:color w:val="FFFFFF"/>
          <w:sz w:val="36"/>
        </w:rPr>
        <w:t>NORMAS E ROTINAS</w:t>
      </w:r>
      <w:r>
        <w:br/>
      </w:r>
      <w:r>
        <w:rPr>
          <w:rFonts w:ascii="Arial" w:hAnsi="Arial" w:cs="Arial"/>
          <w:b w:val="0"/>
          <w:i w:val="0"/>
          <w:color w:val="FFFFFF"/>
          <w:sz w:val="22"/>
        </w:rPr>
        <w:t>Biossegurança e controle de infecção do consultório</w:t>
      </w:r>
      <w:r>
        <w:rPr>
          <w:rFonts w:ascii="Arial" w:hAnsi="Arial" w:cs="Arial"/>
          <w:b w:val="0"/>
          <w:i w:val="0"/>
          <w:color w:val="FFFFFF"/>
          <w:sz w:val="12"/>
        </w:rPr>
        <w:br/>
      </w:r>
    </w:p>
    <w:p>
      <w:pPr>
        <w:spacing w:after="60" w:before="160" w:line="336" w:lineRule="auto"/>
        <w:jc w:val="both"/>
      </w:pPr>
      <w:r>
        <w:rPr>
          <w:rFonts w:ascii="Arial" w:hAnsi="Arial" w:cs="Arial"/>
          <w:b/>
          <w:i w:val="0"/>
          <w:color w:val="1A1A1A"/>
          <w:sz w:val="22"/>
        </w:rPr>
        <w:t>Rotinas para consultório odontológico</w:t>
      </w:r>
    </w:p>
    <w:p>
      <w:pPr>
        <w:spacing w:after="120" w:before="0" w:line="336" w:lineRule="auto"/>
        <w:ind w:firstLine="709"/>
        <w:jc w:val="both"/>
      </w:pPr>
      <w:r>
        <w:rPr>
          <w:rFonts w:ascii="Times New Roman" w:hAnsi="Times New Roman" w:cs="Times New Roman"/>
          <w:b w:val="0"/>
          <w:i w:val="0"/>
          <w:sz w:val="23"/>
        </w:rPr>
        <w:t>Antissepsia: procedimento que visa ao controle de infecção a partir do uso de substância microbiostática na pele ou mucosa.</w:t>
      </w:r>
    </w:p>
    <w:p>
      <w:pPr>
        <w:spacing w:after="120" w:before="0" w:line="336" w:lineRule="auto"/>
        <w:ind w:firstLine="709"/>
        <w:jc w:val="both"/>
      </w:pPr>
      <w:r>
        <w:rPr>
          <w:rFonts w:ascii="Times New Roman" w:hAnsi="Times New Roman" w:cs="Times New Roman"/>
          <w:b w:val="0"/>
          <w:i w:val="0"/>
          <w:sz w:val="23"/>
        </w:rPr>
        <w:t>Limpeza e/ou descontaminação: remoção mecânica e/ou química de sujidade, visando à remoção de resíduos orgânicos, realizada anteriormente à desinfecção ou esterilização. Todos os artigos devem ser submetidos a limpeza após o uso.</w:t>
      </w:r>
    </w:p>
    <w:p>
      <w:pPr>
        <w:spacing w:after="120" w:before="0" w:line="336" w:lineRule="auto"/>
        <w:ind w:firstLine="709"/>
        <w:jc w:val="both"/>
      </w:pPr>
      <w:r>
        <w:rPr>
          <w:rFonts w:ascii="Times New Roman" w:hAnsi="Times New Roman" w:cs="Times New Roman"/>
          <w:b w:val="0"/>
          <w:i w:val="0"/>
          <w:sz w:val="23"/>
        </w:rPr>
        <w:t>Desinfecção: processo de destruição de microrganismos em formas vegetativas, mediante aplicação de agentes químicos e/ou físicos, ativos sobre a maioria dos microrganismos, mas ineficazes sobre os esporos.</w:t>
      </w:r>
    </w:p>
    <w:p>
      <w:pPr>
        <w:spacing w:after="60" w:before="160" w:line="336" w:lineRule="auto"/>
        <w:jc w:val="both"/>
      </w:pPr>
      <w:r>
        <w:rPr>
          <w:rFonts w:ascii="Arial" w:hAnsi="Arial" w:cs="Arial"/>
          <w:b/>
          <w:i w:val="0"/>
          <w:color w:val="1A1A1A"/>
          <w:sz w:val="22"/>
        </w:rPr>
        <w:t>Rotinas para o início do tratamento</w:t>
      </w:r>
    </w:p>
    <w:p>
      <w:pPr>
        <w:spacing w:after="120" w:before="0" w:line="336" w:lineRule="auto"/>
        <w:ind w:firstLine="709"/>
        <w:jc w:val="both"/>
      </w:pPr>
      <w:r>
        <w:rPr>
          <w:rFonts w:ascii="Times New Roman" w:hAnsi="Times New Roman" w:cs="Times New Roman"/>
          <w:b w:val="0"/>
          <w:i w:val="0"/>
          <w:sz w:val="23"/>
        </w:rPr>
        <w:t>O uso do EPI é necessário durante todo o funcionamento da clínica.</w:t>
      </w:r>
    </w:p>
    <w:p>
      <w:pPr>
        <w:spacing w:after="120" w:before="0" w:line="336" w:lineRule="auto"/>
        <w:ind w:firstLine="709"/>
        <w:jc w:val="both"/>
      </w:pPr>
      <w:r>
        <w:rPr>
          <w:rFonts w:ascii="Times New Roman" w:hAnsi="Times New Roman" w:cs="Times New Roman"/>
          <w:b w:val="0"/>
          <w:i w:val="0"/>
          <w:sz w:val="23"/>
        </w:rPr>
        <w:t>Acionar 1 litro de solução para cada consultório: 50 ml de hipoclorito de sódio para 950 ml de água; deixar agir. Após a desinfecção do restante do consultório, aspirar 1 litro de água pura para limpar a rede (drenar as linhas de abastecimento dos equipamentos).</w:t>
      </w:r>
    </w:p>
    <w:p>
      <w:pPr>
        <w:spacing w:after="120" w:before="0" w:line="336" w:lineRule="auto"/>
        <w:ind w:firstLine="709"/>
        <w:jc w:val="both"/>
      </w:pPr>
      <w:r>
        <w:rPr>
          <w:rFonts w:ascii="Times New Roman" w:hAnsi="Times New Roman" w:cs="Times New Roman"/>
          <w:b w:val="0"/>
          <w:i w:val="0"/>
          <w:sz w:val="23"/>
        </w:rPr>
        <w:t>Limpar e desinfetar os equipamentos: borrifar detergente, espalhar com papel-toalha e descartar; em seguida, borrifar álcool 70%, fazer fricção com papel-toalha e descartar, nos seguintes locais: refletor (alça e haste); equipo (bandeja, cabos e conexões das canetas de baixa e alta rotação, seringa tríplice); cadeira e mocho (da parte superior para a inferior); unidade auxiliar (seringa tríplice, sugadores); ralo e cuspideira (remover, limpar e desinfetar com detergente e hipoclorito).</w:t>
      </w:r>
    </w:p>
    <w:p>
      <w:pPr>
        <w:spacing w:after="120" w:before="0" w:line="336" w:lineRule="auto"/>
        <w:ind w:firstLine="709"/>
        <w:jc w:val="both"/>
      </w:pPr>
      <w:r>
        <w:rPr>
          <w:rFonts w:ascii="Times New Roman" w:hAnsi="Times New Roman" w:cs="Times New Roman"/>
          <w:b w:val="0"/>
          <w:i w:val="0"/>
          <w:sz w:val="23"/>
        </w:rPr>
        <w:t>Desprezar os resíduos em saco branco de lixo hospitalar, dando o destino correto (coleta de lixo hospitalar).</w:t>
      </w:r>
    </w:p>
    <w:p>
      <w:pPr>
        <w:spacing w:after="120" w:before="0" w:line="336" w:lineRule="auto"/>
        <w:ind w:firstLine="709"/>
        <w:jc w:val="both"/>
      </w:pPr>
      <w:r>
        <w:rPr>
          <w:rFonts w:ascii="Times New Roman" w:hAnsi="Times New Roman" w:cs="Times New Roman"/>
          <w:b w:val="0"/>
          <w:i w:val="0"/>
          <w:sz w:val="23"/>
        </w:rPr>
        <w:t>Controle de infecção: após a assepsia de todos os equipamentos, antes do atendimento, colocar o filme de PVC e embalagens nas áreas críticas (alça e interruptor do refletor, encosto da cabeça, comando de encosto, cabo do sugador, descanso de braços e carrinho auxiliar), retirando-os após o uso e substituindo-os entre um paciente e outro. O filme não contaminado pode ser substituído por álcool 70%. Organizar o material de consumo na bancada e os instrumentais em vasilhames estéreis, abrindo as embalagens sem tocar no instrumental.</w:t>
      </w:r>
    </w:p>
    <w:p>
      <w:pPr>
        <w:spacing w:after="60" w:before="160" w:line="336" w:lineRule="auto"/>
        <w:jc w:val="both"/>
      </w:pPr>
      <w:r>
        <w:rPr>
          <w:rFonts w:ascii="Arial" w:hAnsi="Arial" w:cs="Arial"/>
          <w:b/>
          <w:i w:val="0"/>
          <w:color w:val="1A1A1A"/>
          <w:sz w:val="22"/>
        </w:rPr>
        <w:t>Rotina para o atendimento clínico entre os pacientes</w:t>
      </w:r>
    </w:p>
    <w:p>
      <w:pPr>
        <w:spacing w:after="120" w:before="0" w:line="336" w:lineRule="auto"/>
        <w:ind w:firstLine="709"/>
        <w:jc w:val="both"/>
      </w:pPr>
      <w:r>
        <w:rPr>
          <w:rFonts w:ascii="Times New Roman" w:hAnsi="Times New Roman" w:cs="Times New Roman"/>
          <w:b w:val="0"/>
          <w:i w:val="0"/>
          <w:sz w:val="23"/>
        </w:rPr>
        <w:t>Barreira de proteção do paciente: babador impermeável, óculos de proteção e lenço de papel descartável. Bochecho com antisséptico bucal, preferencialmente clorexidina a 0,12%, reduzindo o conteúdo bacteriano e a contaminação do ambiente por aerossol.</w:t>
      </w:r>
    </w:p>
    <w:p>
      <w:pPr>
        <w:spacing w:after="40" w:before="0" w:line="336" w:lineRule="auto"/>
        <w:ind w:firstLine="709"/>
        <w:jc w:val="both"/>
      </w:pPr>
      <w:r>
        <w:rPr>
          <w:rFonts w:ascii="Times New Roman" w:hAnsi="Times New Roman" w:cs="Times New Roman"/>
          <w:b w:val="0"/>
          <w:i w:val="0"/>
          <w:sz w:val="23"/>
        </w:rPr>
        <w:t>1. Encaminhar o material contaminado ao Centro de Recirculação de Instrumentos, embrulhado no campo utilizado, dentro da caixa do vasilhame contaminado.</w:t>
      </w:r>
    </w:p>
    <w:p>
      <w:pPr>
        <w:spacing w:after="40" w:before="0" w:line="336" w:lineRule="auto"/>
        <w:ind w:firstLine="709"/>
        <w:jc w:val="both"/>
      </w:pPr>
      <w:r>
        <w:rPr>
          <w:rFonts w:ascii="Times New Roman" w:hAnsi="Times New Roman" w:cs="Times New Roman"/>
          <w:b w:val="0"/>
          <w:i w:val="0"/>
          <w:sz w:val="23"/>
        </w:rPr>
        <w:t>2. Desinfetar as barreiras ou substituí-las se houver sujidade visível.</w:t>
      </w:r>
    </w:p>
    <w:p>
      <w:pPr>
        <w:spacing w:after="40" w:before="0" w:line="336" w:lineRule="auto"/>
        <w:ind w:firstLine="709"/>
        <w:jc w:val="both"/>
      </w:pPr>
      <w:r>
        <w:rPr>
          <w:rFonts w:ascii="Times New Roman" w:hAnsi="Times New Roman" w:cs="Times New Roman"/>
          <w:b w:val="0"/>
          <w:i w:val="0"/>
          <w:sz w:val="23"/>
        </w:rPr>
        <w:t>3. Substituir máscaras, aventais e gorros se houver sujidade ou umidade.</w:t>
      </w:r>
    </w:p>
    <w:p>
      <w:pPr>
        <w:spacing w:after="40" w:before="0" w:line="336" w:lineRule="auto"/>
        <w:ind w:firstLine="709"/>
        <w:jc w:val="both"/>
      </w:pPr>
      <w:r>
        <w:rPr>
          <w:rFonts w:ascii="Times New Roman" w:hAnsi="Times New Roman" w:cs="Times New Roman"/>
          <w:b w:val="0"/>
          <w:i w:val="0"/>
          <w:sz w:val="23"/>
        </w:rPr>
        <w:t>4. Limpar e desinfetar os óculos de proteção com água, sabão e álcool 70%.</w:t>
      </w:r>
    </w:p>
    <w:p>
      <w:pPr>
        <w:spacing w:after="40" w:before="0" w:line="336" w:lineRule="auto"/>
        <w:ind w:firstLine="709"/>
        <w:jc w:val="both"/>
      </w:pPr>
      <w:r>
        <w:rPr>
          <w:rFonts w:ascii="Times New Roman" w:hAnsi="Times New Roman" w:cs="Times New Roman"/>
          <w:b w:val="0"/>
          <w:i w:val="0"/>
          <w:sz w:val="23"/>
        </w:rPr>
        <w:t>5. Descartar as luvas no lixo.</w:t>
      </w:r>
    </w:p>
    <w:p>
      <w:pPr>
        <w:spacing w:after="40" w:before="0" w:line="336" w:lineRule="auto"/>
        <w:ind w:firstLine="709"/>
        <w:jc w:val="both"/>
      </w:pPr>
      <w:r>
        <w:rPr>
          <w:rFonts w:ascii="Times New Roman" w:hAnsi="Times New Roman" w:cs="Times New Roman"/>
          <w:b w:val="0"/>
          <w:i w:val="0"/>
          <w:sz w:val="23"/>
        </w:rPr>
        <w:t>6. Limpar o chão com esfregão e desinfetante próprio, se houver sujidade.</w:t>
      </w:r>
    </w:p>
    <w:p>
      <w:pPr>
        <w:spacing w:after="40" w:before="0" w:line="336" w:lineRule="auto"/>
        <w:ind w:firstLine="709"/>
        <w:jc w:val="both"/>
      </w:pPr>
      <w:r>
        <w:rPr>
          <w:rFonts w:ascii="Times New Roman" w:hAnsi="Times New Roman" w:cs="Times New Roman"/>
          <w:b w:val="0"/>
          <w:i w:val="0"/>
          <w:sz w:val="23"/>
        </w:rPr>
        <w:t>7. Acionar o flush por 30 segundos em cada ponta; nos equipamentos modernos, todas as pontas podem ser desinfetadas juntas.</w:t>
      </w:r>
    </w:p>
    <w:p>
      <w:pPr>
        <w:spacing w:after="40" w:before="0" w:line="336" w:lineRule="auto"/>
        <w:ind w:firstLine="709"/>
        <w:jc w:val="both"/>
      </w:pPr>
      <w:r>
        <w:rPr>
          <w:rFonts w:ascii="Times New Roman" w:hAnsi="Times New Roman" w:cs="Times New Roman"/>
          <w:b w:val="0"/>
          <w:i w:val="0"/>
          <w:sz w:val="23"/>
        </w:rPr>
        <w:t>8. Colocar pontas estéreis sobre o campo estéril na bancada ou mesa auxiliar.</w:t>
      </w:r>
    </w:p>
    <w:p>
      <w:pPr>
        <w:spacing w:after="40" w:before="0" w:line="336" w:lineRule="auto"/>
        <w:ind w:firstLine="709"/>
        <w:jc w:val="both"/>
      </w:pPr>
      <w:r>
        <w:rPr>
          <w:rFonts w:ascii="Times New Roman" w:hAnsi="Times New Roman" w:cs="Times New Roman"/>
          <w:b w:val="0"/>
          <w:i w:val="0"/>
          <w:sz w:val="23"/>
        </w:rPr>
        <w:t>9. Preparar os antissépticos.</w:t>
      </w:r>
    </w:p>
    <w:p>
      <w:pPr>
        <w:spacing w:after="40" w:before="0" w:line="336" w:lineRule="auto"/>
        <w:ind w:firstLine="709"/>
        <w:jc w:val="both"/>
      </w:pPr>
      <w:r>
        <w:rPr>
          <w:rFonts w:ascii="Times New Roman" w:hAnsi="Times New Roman" w:cs="Times New Roman"/>
          <w:b w:val="0"/>
          <w:i w:val="0"/>
          <w:sz w:val="23"/>
        </w:rPr>
        <w:t>10. Não negligenciar o cabo do refletor na desinfecção, com cuidado com o vidro refletor.</w:t>
      </w:r>
    </w:p>
    <w:p>
      <w:pPr>
        <w:spacing w:after="60" w:before="160" w:line="336" w:lineRule="auto"/>
        <w:jc w:val="both"/>
      </w:pPr>
      <w:r>
        <w:rPr>
          <w:rFonts w:ascii="Arial" w:hAnsi="Arial" w:cs="Arial"/>
          <w:b/>
          <w:i w:val="0"/>
          <w:color w:val="1A1A1A"/>
          <w:sz w:val="22"/>
        </w:rPr>
        <w:t>Tomadas radiográficas</w:t>
      </w:r>
    </w:p>
    <w:p>
      <w:pPr>
        <w:spacing w:after="120" w:before="0" w:line="336" w:lineRule="auto"/>
        <w:ind w:firstLine="709"/>
        <w:jc w:val="both"/>
      </w:pPr>
      <w:r>
        <w:rPr>
          <w:rFonts w:ascii="Times New Roman" w:hAnsi="Times New Roman" w:cs="Times New Roman"/>
          <w:b w:val="0"/>
          <w:i w:val="0"/>
          <w:sz w:val="23"/>
        </w:rPr>
        <w:t>Proteger o cabeçote do aparelho e a película radiográfica intrabucal com filme PVC. O paciente recebe avental de chumbo, protetor de tireoide e babadores descartáveis. O CD posiciona o filme com luvas; o auxiliar, sem luvas, posiciona o cabeçote e aciona o RX. Apenas o paciente permanece na sala. O CD remove o filme PVC sem tocar a superfície; o auxiliar revela na câmara portátil, sem usar luvas na revelação, para evitar contaminação cruzada.</w:t>
      </w:r>
    </w:p>
    <w:p>
      <w:pPr>
        <w:spacing w:after="60" w:before="160" w:line="336" w:lineRule="auto"/>
        <w:jc w:val="both"/>
      </w:pPr>
      <w:r>
        <w:rPr>
          <w:rFonts w:ascii="Arial" w:hAnsi="Arial" w:cs="Arial"/>
          <w:b/>
          <w:i w:val="0"/>
          <w:color w:val="1A1A1A"/>
          <w:sz w:val="22"/>
        </w:rPr>
        <w:t>Rotinas para calçar as luvas</w:t>
      </w:r>
    </w:p>
    <w:p>
      <w:pPr>
        <w:spacing w:after="120" w:before="0" w:line="336" w:lineRule="auto"/>
        <w:ind w:firstLine="709"/>
        <w:jc w:val="both"/>
      </w:pPr>
      <w:r>
        <w:rPr>
          <w:rFonts w:ascii="Times New Roman" w:hAnsi="Times New Roman" w:cs="Times New Roman"/>
          <w:b w:val="0"/>
          <w:i w:val="0"/>
          <w:sz w:val="23"/>
        </w:rPr>
        <w:t>Remover anéis, pulseiras e relógio; lavar as mãos com sabonete líquido antisséptico por 30 segundos, enxaguar e enxugar com toalhas descartáveis estéreis.</w:t>
      </w:r>
    </w:p>
    <w:p>
      <w:pPr>
        <w:spacing w:after="60" w:before="160" w:line="336" w:lineRule="auto"/>
        <w:jc w:val="both"/>
      </w:pPr>
      <w:r>
        <w:rPr>
          <w:rFonts w:ascii="Arial" w:hAnsi="Arial" w:cs="Arial"/>
          <w:b/>
          <w:i w:val="0"/>
          <w:color w:val="1A1A1A"/>
          <w:sz w:val="22"/>
        </w:rPr>
        <w:t>Rotinas para desinfecção da câmara escura</w:t>
      </w:r>
    </w:p>
    <w:p>
      <w:pPr>
        <w:spacing w:after="120" w:before="0" w:line="336" w:lineRule="auto"/>
        <w:ind w:firstLine="709"/>
        <w:jc w:val="both"/>
      </w:pPr>
      <w:r>
        <w:rPr>
          <w:rFonts w:ascii="Times New Roman" w:hAnsi="Times New Roman" w:cs="Times New Roman"/>
          <w:b w:val="0"/>
          <w:i w:val="0"/>
          <w:sz w:val="23"/>
        </w:rPr>
        <w:t>Iluminar e ventilar o ambiente; descartar películas usadas; colocar grampos e colgaduras em hipoclorito de sódio; verificar se as soluções reveladora e fixadora não estão turvas ou vencidas (trocar se necessário); limpar as bancadas, a pia e o tanque com álcool 70%; aguardar o tempo de atuação do desinfetante e secar. Fechar a câmara apenas quando tudo estiver limpo e seco.</w:t>
      </w:r>
    </w:p>
    <w:p>
      <w:pPr>
        <w:spacing w:after="120" w:before="0" w:line="336" w:lineRule="auto"/>
        <w:ind w:firstLine="709"/>
        <w:jc w:val="both"/>
      </w:pPr>
      <w:r>
        <w:rPr>
          <w:rFonts w:ascii="Times New Roman" w:hAnsi="Times New Roman" w:cs="Times New Roman"/>
          <w:b w:val="0"/>
          <w:i w:val="0"/>
          <w:sz w:val="23"/>
        </w:rPr>
        <w:t>Importante: usar sempre EPI nesses procedimentos.</w:t>
      </w:r>
    </w:p>
    <w:p>
      <w:pPr>
        <w:pageBreakBefore/>
        <w:spacing w:after="280" w:before="0" w:line="240" w:lineRule="auto"/>
        <w:jc w:val="center"/>
        <w:shd w:val="clear" w:color="auto" w:fill="3A3A3A"/>
      </w:pPr>
      <w:r>
        <w:rPr>
          <w:rFonts w:ascii="Arial" w:hAnsi="Arial" w:cs="Arial"/>
          <w:b w:val="0"/>
          <w:i w:val="0"/>
          <w:color w:val="FFFFFF"/>
          <w:sz w:val="12"/>
        </w:rPr>
        <w:br/>
      </w:r>
      <w:r>
        <w:rPr>
          <w:rFonts w:ascii="Arial" w:hAnsi="Arial" w:cs="Arial"/>
          <w:b/>
          <w:i w:val="0"/>
          <w:color w:val="FFFFFF"/>
          <w:sz w:val="36"/>
        </w:rPr>
        <w:t>PROCEDIMENTO OPERACIONAL PADRÃO</w:t>
      </w:r>
      <w:r>
        <w:br/>
      </w:r>
      <w:r>
        <w:rPr>
          <w:rFonts w:ascii="Arial" w:hAnsi="Arial" w:cs="Arial"/>
          <w:b w:val="0"/>
          <w:i w:val="0"/>
          <w:color w:val="FFFFFF"/>
          <w:sz w:val="22"/>
        </w:rPr>
        <w:t>Rotina de segurança no atendimento odontológico</w:t>
      </w:r>
      <w:r>
        <w:rPr>
          <w:rFonts w:ascii="Arial" w:hAnsi="Arial" w:cs="Arial"/>
          <w:b w:val="0"/>
          <w:i w:val="0"/>
          <w:color w:val="FFFFFF"/>
          <w:sz w:val="12"/>
        </w:rPr>
        <w:br/>
      </w:r>
    </w:p>
    <w:p>
      <w:pPr>
        <w:spacing w:after="120" w:before="0" w:line="336" w:lineRule="auto"/>
        <w:ind w:firstLine="709"/>
        <w:jc w:val="both"/>
      </w:pPr>
      <w:r>
        <w:rPr>
          <w:rFonts w:ascii="Times New Roman" w:hAnsi="Times New Roman" w:cs="Times New Roman"/>
          <w:b w:val="0"/>
          <w:i w:val="0"/>
          <w:sz w:val="23"/>
        </w:rPr>
        <w:t>O auxiliar deve estar no consultório 20 minutos antes do atendimento, para disponibilizar os instrumentais necessários.</w:t>
      </w:r>
    </w:p>
    <w:p>
      <w:pPr>
        <w:spacing w:after="120" w:before="0" w:line="336" w:lineRule="auto"/>
        <w:ind w:firstLine="709"/>
        <w:jc w:val="both"/>
      </w:pPr>
      <w:r>
        <w:rPr>
          <w:rFonts w:ascii="Times New Roman" w:hAnsi="Times New Roman" w:cs="Times New Roman"/>
          <w:b w:val="0"/>
          <w:i w:val="0"/>
          <w:sz w:val="23"/>
        </w:rPr>
        <w:t>Utilizar EPIs; lavar as mãos antes e após o contato com o paciente e entre procedimentos; manipular com cuidado o material perfurocortante; não reencapar, entortar, quebrar ou retirar agulhas (reencapar apenas pela técnica de deslizar a agulha para a tampa apoiada em superfície); transferir materiais com bandeja sempre que possível; acondicionar material contaminado em vasilhames identificados e transportá-lo ao expurgo com cautela; descontaminar superfícies com os desinfetantes preconizados; submeter os artigos à limpeza, desinfecção e/ou esterilização antes do reuso; não tocar olhos, nariz, boca, máscara ou cabelo durante os procedimentos; não comer, beber ou fumar no consultório; manter cuidados na coleta de amostras; com luvas, não atender telefone, abrir portas pela maçaneta nem tocar locais passíveis de contaminação.</w:t>
      </w:r>
    </w:p>
    <w:p>
      <w:pPr>
        <w:spacing w:after="0" w:before="0" w:line="240" w:lineRule="auto"/>
        <w:jc w:val="both"/>
      </w:pPr>
      <w:r>
        <w:rPr>
          <w:rFonts w:ascii="Times New Roman" w:hAnsi="Times New Roman" w:cs="Times New Roman"/>
          <w:b w:val="0"/>
          <w:i w:val="0"/>
          <w:sz w:val="23"/>
        </w:rPr>
        <w:t>{{#locatarios}}</w:t>
      </w:r>
    </w:p>
    <w:p>
      <w:pPr>
        <w:pageBreakBefore/>
        <w:spacing w:after="280" w:before="0" w:line="240" w:lineRule="auto"/>
        <w:jc w:val="center"/>
        <w:shd w:val="clear" w:color="auto" w:fill="3A3A3A"/>
      </w:pPr>
      <w:r>
        <w:rPr>
          <w:rFonts w:ascii="Arial" w:hAnsi="Arial" w:cs="Arial"/>
          <w:b w:val="0"/>
          <w:i w:val="0"/>
          <w:color w:val="FFFFFF"/>
          <w:sz w:val="12"/>
        </w:rPr>
        <w:br/>
      </w:r>
      <w:r>
        <w:rPr>
          <w:rFonts w:ascii="Arial" w:hAnsi="Arial" w:cs="Arial"/>
          <w:b/>
          <w:i w:val="0"/>
          <w:color w:val="FFFFFF"/>
          <w:sz w:val="32"/>
        </w:rPr>
        <w:t>SOLICITAÇÃO DE INTEGRAÇÃO AO CORPO CLÍNICO</w:t>
      </w:r>
      <w:r>
        <w:br/>
      </w:r>
      <w:r>
        <w:rPr>
          <w:rFonts w:ascii="Arial" w:hAnsi="Arial" w:cs="Arial"/>
          <w:b w:val="0"/>
          <w:i w:val="0"/>
          <w:color w:val="FFFFFF"/>
          <w:sz w:val="22"/>
        </w:rPr>
        <w:t>Adesão ao atendimento dos convênios credenciados</w:t>
      </w:r>
      <w:r>
        <w:rPr>
          <w:rFonts w:ascii="Arial" w:hAnsi="Arial" w:cs="Arial"/>
          <w:b w:val="0"/>
          <w:i w:val="0"/>
          <w:color w:val="FFFFFF"/>
          <w:sz w:val="12"/>
        </w:rPr>
        <w:br/>
      </w:r>
    </w:p>
    <w:p>
      <w:pPr>
        <w:spacing w:after="120" w:before="0" w:line="336" w:lineRule="auto"/>
        <w:jc w:val="both"/>
      </w:pPr>
      <w:r>
        <w:rPr>
          <w:rFonts w:ascii="Times New Roman" w:hAnsi="Times New Roman" w:cs="Times New Roman"/>
          <w:b w:val="0"/>
          <w:i w:val="0"/>
          <w:sz w:val="23"/>
        </w:rPr>
        <w:t>EU, {{nome}}, {{portador}} do CRO {{rg}} e CPF {{cpf}}, solicito a minha integração ao corpo clínico para realizar atendimentos dos convênios em que a empresa é credenciada.</w:t>
      </w:r>
    </w:p>
    <w:p>
      <w:pPr>
        <w:spacing w:after="120" w:before="0" w:line="336" w:lineRule="auto"/>
        <w:ind w:firstLine="709"/>
        <w:jc w:val="both"/>
      </w:pPr>
      <w:r>
        <w:rPr>
          <w:rFonts w:ascii="Times New Roman" w:hAnsi="Times New Roman" w:cs="Times New Roman"/>
          <w:b w:val="0"/>
          <w:i w:val="0"/>
          <w:sz w:val="23"/>
        </w:rPr>
        <w:t>Comprometo-me a respeitar as exigências de cada convênio quanto aos procedimentos e à elaboração de guias. Em caso de apuração de fraude pelo convênio, tenho ciência da responsabilização cível e criminal, perante a empresa e o convênio, além do afastamento imediato do corpo clínico.</w:t>
      </w:r>
    </w:p>
    <w:p>
      <w:pPr>
        <w:spacing w:after="120" w:before="0" w:line="336" w:lineRule="auto"/>
        <w:ind w:firstLine="709"/>
        <w:jc w:val="both"/>
      </w:pPr>
      <w:r>
        <w:rPr>
          <w:rFonts w:ascii="Times New Roman" w:hAnsi="Times New Roman" w:cs="Times New Roman"/>
          <w:b w:val="0"/>
          <w:i w:val="0"/>
          <w:sz w:val="23"/>
        </w:rPr>
        <w:t>Tenho ciência dos prazos de pagamento dos convênios e de que podem ocorrer glosas de guias, que são decisões dos convênios e não da empresa conveniada.</w:t>
      </w:r>
    </w:p>
    <w:p>
      <w:pPr>
        <w:spacing w:after="120" w:before="0" w:line="336" w:lineRule="auto"/>
        <w:ind w:firstLine="709"/>
        <w:jc w:val="both"/>
      </w:pPr>
      <w:r>
        <w:rPr>
          <w:rFonts w:ascii="Times New Roman" w:hAnsi="Times New Roman" w:cs="Times New Roman"/>
          <w:b w:val="0"/>
          <w:i w:val="0"/>
          <w:sz w:val="23"/>
        </w:rPr>
        <w:t>Os valores apurados serão pagos na conta da empresa conveniada, descontados apenas os custos de impostos, sem qualquer percentual de comissão para a empresa.</w:t>
      </w:r>
    </w:p>
    <w:p>
      <w:pPr>
        <w:spacing w:after="120" w:before="0" w:line="336" w:lineRule="auto"/>
        <w:ind w:firstLine="709"/>
        <w:jc w:val="both"/>
      </w:pPr>
      <w:r>
        <w:rPr>
          <w:rFonts w:ascii="Times New Roman" w:hAnsi="Times New Roman" w:cs="Times New Roman"/>
          <w:b w:val="0"/>
          <w:i w:val="0"/>
          <w:sz w:val="23"/>
        </w:rPr>
        <w:t>Tenho ciência de que a empresa pode, sem aviso prévio, excluir-me do corpo clínico por infração perante o plano ou por estratégias administrativas, sem prejuízo ao contrato de locação. A integração ao corpo clínico é concessão revogável a critério da empresa.</w:t>
      </w:r>
    </w:p>
    <w:p>
      <w:pPr>
        <w:spacing w:after="120" w:before="0" w:line="336" w:lineRule="auto"/>
        <w:ind w:firstLine="709"/>
        <w:jc w:val="both"/>
      </w:pPr>
      <w:r>
        <w:rPr>
          <w:rFonts w:ascii="Times New Roman" w:hAnsi="Times New Roman" w:cs="Times New Roman"/>
          <w:b w:val="0"/>
          <w:i w:val="0"/>
          <w:sz w:val="23"/>
        </w:rPr>
        <w:t>Declaro que o faturamento dos atendimentos é de exclusiva responsabilidade do dentista, não sendo a única fonte de renda, e que a exclusão do corpo clínico não afetará a manutenção do consultório.</w:t>
      </w:r>
    </w:p>
    <w:p>
      <w:pPr>
        <w:spacing w:after="120" w:before="0" w:line="336" w:lineRule="auto"/>
        <w:ind w:firstLine="709"/>
        <w:jc w:val="both"/>
      </w:pPr>
      <w:r>
        <w:rPr>
          <w:rFonts w:ascii="Times New Roman" w:hAnsi="Times New Roman" w:cs="Times New Roman"/>
          <w:b w:val="0"/>
          <w:i w:val="0"/>
          <w:sz w:val="23"/>
        </w:rPr>
        <w:t>A responsabilidade da empresa credenciada restringe-se ao repasse dos atendimentos já depositados em conta corrente. Valores futuros não serão considerados, pois carecem de auditoria e/ou glosas do convênio.</w:t>
      </w:r>
    </w:p>
    <w:p>
      <w:pPr>
        <w:spacing w:after="40" w:before="0" w:line="336" w:lineRule="auto"/>
        <w:jc w:val="right"/>
      </w:pPr>
      <w:r>
        <w:rPr>
          <w:rFonts w:ascii="Times New Roman" w:hAnsi="Times New Roman" w:cs="Times New Roman"/>
          <w:b/>
          <w:i w:val="0"/>
          <w:sz w:val="23"/>
        </w:rPr>
        <w:t>Cuiabá/MT, {{inicioContrato}}.</w:t>
      </w:r>
    </w:p>
    <w:p>
      <w:pPr>
        <w:spacing w:after="0" w:before="440" w:line="240" w:lineRule="auto"/>
        <w:jc w:val="both"/>
      </w:pPr>
      <w:r>
        <w:rPr>
          <w:rFonts w:ascii="Times New Roman" w:hAnsi="Times New Roman" w:cs="Times New Roman"/>
          <w:b w:val="0"/>
          <w:i w:val="0"/>
          <w:sz w:val="23"/>
        </w:rPr>
      </w:r>
    </w:p>
    <w:p>
      <w:pPr>
        <w:spacing w:after="0" w:before="0" w:line="240" w:lineRule="auto"/>
        <w:jc w:val="center"/>
      </w:pPr>
      <w:r>
        <w:rPr>
          <w:rFonts w:ascii="Times New Roman" w:hAnsi="Times New Roman" w:cs="Times New Roman"/>
          <w:b w:val="0"/>
          <w:i w:val="0"/>
          <w:sz w:val="23"/>
        </w:rPr>
        <w:t>___________________________________________</w:t>
      </w:r>
    </w:p>
    <w:p>
      <w:pPr>
        <w:spacing w:after="0" w:before="0" w:line="240" w:lineRule="auto"/>
        <w:jc w:val="center"/>
      </w:pPr>
      <w:r>
        <w:rPr>
          <w:rFonts w:ascii="Times New Roman" w:hAnsi="Times New Roman" w:cs="Times New Roman"/>
          <w:b/>
          <w:i w:val="0"/>
          <w:sz w:val="23"/>
        </w:rPr>
        <w:t>{{nome}}</w:t>
      </w:r>
    </w:p>
    <w:p>
      <w:pPr>
        <w:spacing w:after="40" w:before="0" w:line="240" w:lineRule="auto"/>
        <w:jc w:val="center"/>
      </w:pPr>
      <w:r>
        <w:rPr>
          <w:rFonts w:ascii="Arial" w:hAnsi="Arial" w:cs="Arial"/>
          <w:b w:val="0"/>
          <w:i w:val="0"/>
          <w:color w:val="666666"/>
          <w:sz w:val="17"/>
          <w:smallCaps/>
        </w:rPr>
        <w:t>CRO {{rg}}</w:t>
      </w:r>
    </w:p>
    <w:p>
      <w:pPr>
        <w:spacing w:after="0" w:before="0" w:line="240" w:lineRule="auto"/>
        <w:jc w:val="both"/>
      </w:pPr>
      <w:r>
        <w:rPr>
          <w:rFonts w:ascii="Times New Roman" w:hAnsi="Times New Roman" w:cs="Times New Roman"/>
          <w:b w:val="0"/>
          <w:i w:val="0"/>
          <w:sz w:val="23"/>
        </w:rPr>
        <w:t>{{/locatarios}}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474" w:right="1417" w:bottom="1361" w:left="1701" w:header="737" w:footer="62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after="0" w:before="0" w:line="240" w:lineRule="auto"/>
      <w:jc w:val="center"/>
      <w:shd w:val="clear" w:color="auto" w:fill="3A3A3A"/>
    </w:pPr>
    <w:r/>
    <w:r>
      <w:rPr>
        <w:rFonts w:ascii="Arial" w:hAnsi="Arial" w:cs="Arial"/>
        <w:b w:val="0"/>
        <w:i w:val="0"/>
        <w:color w:val="FFFFFF"/>
        <w:sz w:val="8"/>
      </w:rPr>
      <w:br/>
    </w:r>
    <w:r>
      <w:rPr>
        <w:rFonts w:ascii="Arial" w:hAnsi="Arial" w:cs="Arial"/>
        <w:b w:val="0"/>
        <w:i w:val="0"/>
        <w:color w:val="FFFFFF"/>
        <w:sz w:val="16"/>
      </w:rPr>
      <w:t xml:space="preserve">Rua O, 101 · Bairro Alvorada · Cuiabá/MT · (65) 2127-2124      Página </w:t>
    </w:r>
    <w:r>
      <w:rPr>
        <w:rFonts w:ascii="Arial" w:hAnsi="Arial" w:cs="Arial"/>
        <w:b w:val="0"/>
        <w:i w:val="0"/>
        <w:color w:val="FFFFFF"/>
        <w:sz w:val="16"/>
      </w:rPr>
      <w:fldChar w:fldCharType="begin"/>
      <w:instrText xml:space="preserve"> PAGE </w:instrText>
      <w:fldChar w:fldCharType="end"/>
    </w:r>
    <w:r>
      <w:rPr>
        <w:rFonts w:ascii="Arial" w:hAnsi="Arial" w:cs="Arial"/>
        <w:b w:val="0"/>
        <w:i w:val="0"/>
        <w:color w:val="FFFFFF"/>
        <w:sz w:val="16"/>
      </w:rPr>
      <w:t xml:space="preserve"> de </w:t>
    </w:r>
    <w:r>
      <w:rPr>
        <w:rFonts w:ascii="Arial" w:hAnsi="Arial" w:cs="Arial"/>
        <w:b w:val="0"/>
        <w:i w:val="0"/>
        <w:color w:val="FFFFFF"/>
        <w:sz w:val="16"/>
      </w:rPr>
      <w:fldChar w:fldCharType="begin"/>
      <w:instrText xml:space="preserve"> NUMPAGES </w:instrText>
      <w:fldChar w:fldCharType="end"/>
    </w:r>
    <w:r>
      <w:rPr>
        <w:rFonts w:ascii="Arial" w:hAnsi="Arial" w:cs="Arial"/>
        <w:b w:val="0"/>
        <w:i w:val="0"/>
        <w:color w:val="FFFFFF"/>
        <w:sz w:val="8"/>
      </w:rPr>
      <w:br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40" w:before="0" w:line="240" w:lineRule="auto"/>
      <w:jc w:val="center"/>
      <w:pBdr>
        <w:bottom w:val="single" w:sz="6" w:space="6" w:color="808080"/>
      </w:pBdr>
    </w:pPr>
    <w:r/>
    <w:r>
      <w:rPr>
        <w:rFonts w:ascii="Arial" w:hAnsi="Arial" w:cs="Arial"/>
        <w:b/>
        <w:i w:val="0"/>
        <w:color w:val="333333"/>
        <w:sz w:val="21"/>
        <w:smallCaps/>
      </w:rPr>
      <w:t>Face Instituto Odontológico</w:t>
    </w:r>
    <w:r>
      <w:br/>
    </w:r>
    <w:r>
      <w:rPr>
        <w:rFonts w:ascii="Arial" w:hAnsi="Arial" w:cs="Arial"/>
        <w:b w:val="0"/>
        <w:i w:val="0"/>
        <w:color w:val="666666"/>
        <w:sz w:val="16"/>
      </w:rPr>
      <w:t>FACE INSTITUTO ODONTOLÓGICO · CNPJ 46.420.470/0001-05 · Cuiabá/MT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