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6F3" w:rsidRDefault="00AF18ED">
      <w:r>
        <w:t>Recht der Informations</w:t>
      </w:r>
      <w:bookmarkStart w:id="0" w:name="_GoBack"/>
      <w:bookmarkEnd w:id="0"/>
      <w:r w:rsidR="0029511C">
        <w:t>wirtschaft SS12, UHH</w:t>
      </w:r>
    </w:p>
    <w:p w:rsidR="0029511C" w:rsidRDefault="0029511C"/>
    <w:p w:rsidR="0029511C" w:rsidRDefault="0029511C">
      <w:r>
        <w:t>Skript zur Vorbereitung der Klausur SS 12</w:t>
      </w:r>
    </w:p>
    <w:p w:rsidR="0029511C" w:rsidRDefault="0029511C">
      <w:r>
        <w:t>Die Klaus</w:t>
      </w:r>
      <w:r w:rsidR="00F066F3">
        <w:t>ur besteht</w:t>
      </w:r>
      <w:r>
        <w:t xml:space="preserve"> aus einem Katalog mit 30 Fragen. Sie erhalten je Frage drei mögliche Antworten. Nur eine Antwort ist richtig. Die im Folgenden aufgeführten Themenschwerpunkte  bilden im Wesentlichen </w:t>
      </w:r>
      <w:r w:rsidR="00F066F3">
        <w:t>die Grundlage für die Fragestellungen:</w:t>
      </w:r>
    </w:p>
    <w:p w:rsidR="0029511C" w:rsidRDefault="0029511C" w:rsidP="0029511C">
      <w:pPr>
        <w:pStyle w:val="Listenabsatz"/>
        <w:numPr>
          <w:ilvl w:val="0"/>
          <w:numId w:val="1"/>
        </w:numPr>
      </w:pPr>
      <w:r>
        <w:t>Informations- und Meinungsbildungsfreiheit</w:t>
      </w:r>
    </w:p>
    <w:p w:rsidR="0099615C" w:rsidRDefault="0029511C" w:rsidP="0099615C">
      <w:pPr>
        <w:pStyle w:val="Listenabsatz"/>
      </w:pPr>
      <w:r>
        <w:t>Das Recht eines jeden Bürgers sich ungehindert aus allgemein zug</w:t>
      </w:r>
      <w:r w:rsidR="0099615C">
        <w:t xml:space="preserve">änglichen Quellen zu unterrichten, </w:t>
      </w:r>
      <w:r>
        <w:t xml:space="preserve">eine Meinung  zu bilden und diese frei zu äußern wird in Art 5 Grundgesetz der Bundesrepublik Deutschland (GG) als Grundrecht geregelt.  </w:t>
      </w:r>
      <w:r w:rsidR="0099615C">
        <w:t xml:space="preserve">Deshalb beinhaltet Art 5 auch die Pressefreiheit und die Gewähr, dass keine Zensur stattfindet. Dieses Grundrecht darf nur durch Gesetz eingeschränkt werden, wie u.a. durch das Jugendschutzgesetz und das Strafgesetz. Die Beschränkung durch Gesetz findet ihre Grenzen in der grundsätzlichen Freiheit der Wissenschaft, Lehre und Kunst (Art 5 Abs. 3), die jedoch nicht gegen die demokratische Grundordnung verstoßen darf.   </w:t>
      </w:r>
    </w:p>
    <w:p w:rsidR="0029511C" w:rsidRDefault="0029511C" w:rsidP="0099615C">
      <w:pPr>
        <w:pStyle w:val="Listenabsatz"/>
        <w:numPr>
          <w:ilvl w:val="0"/>
          <w:numId w:val="1"/>
        </w:numPr>
      </w:pPr>
      <w:r>
        <w:t>Persönlichkeitsrechte</w:t>
      </w:r>
    </w:p>
    <w:p w:rsidR="0099615C" w:rsidRDefault="0099615C" w:rsidP="0099615C">
      <w:pPr>
        <w:pStyle w:val="Listenabsatz"/>
      </w:pPr>
      <w:r>
        <w:t xml:space="preserve">Die Persönlichkeitsrechte finden ihre verfassungsgemäße Ausgestaltung in den Art. 1 und 2 GG. Am bekanntesten dürfte die Aussage „Die Würde des Menschen ist unantastbar“ sein.  Aus den persönlichkeitswirksamen Grundrechten ergeben sich u.a. folgende gesetzliche Bestimmungen, wie das Recht am eigenen Bild, das Recht am eigenen Namen, die Datenschutzgesetzte. </w:t>
      </w:r>
      <w:r w:rsidR="00460588">
        <w:t>Während das Recht am eigenen Bild, das Recht zur Veröffentlichung des eigenen Abbildes umfasst und das Recht am eigenen Namen, das ausschließliche Recht der Verwendung des eigenen persönlichen Namens regelt, schützen die Datenschutzgesetzte das Erheben, Speichern und die Verarbeitung von personenbezogenen Daten. Hierbei reicht es aus, dass Daten verwandt werden, die einen Rückschluss auf eine bestimmbare Person zulassen. Persönlichkeitsrechtliche Vorschriften finden sich des Weiteren in vielen Gesetzen, wie das Urheberpersönlichkeitsrecht im Urheberrechtsgesetz, oder in den Archivgesetzen, in denen auch ein Datenschutz postum gewährt wird. Allen Rechtsvorschriften ist gemein, dass die personenbezogenen Daten dem Grunde nach nur mit Zustimmung des Betroffenen e</w:t>
      </w:r>
      <w:r w:rsidR="006570AE">
        <w:t>rhoben, gespeichert und verarbeitet oder veröffentlicht</w:t>
      </w:r>
      <w:r w:rsidR="00460588">
        <w:t xml:space="preserve"> werden dürfen. Ausnahmen dazu sind abschließend in den Gesetzen festgelegt. </w:t>
      </w:r>
      <w:r w:rsidR="006570AE">
        <w:t>Eine Ausnahme ist z.B. die Beteiligung an zeitgeschichtlichen Geschehnissen.</w:t>
      </w:r>
    </w:p>
    <w:p w:rsidR="0029511C" w:rsidRDefault="0029511C" w:rsidP="0029511C">
      <w:pPr>
        <w:pStyle w:val="Listenabsatz"/>
        <w:numPr>
          <w:ilvl w:val="0"/>
          <w:numId w:val="1"/>
        </w:numPr>
      </w:pPr>
      <w:r>
        <w:t>Urheberrecht</w:t>
      </w:r>
    </w:p>
    <w:p w:rsidR="006570AE" w:rsidRDefault="006570AE" w:rsidP="006570AE">
      <w:pPr>
        <w:pStyle w:val="Listenabsatz"/>
      </w:pPr>
      <w:r>
        <w:t>Das Urheberrecht ist ein eigentumsähnliches Recht und gewährt de</w:t>
      </w:r>
      <w:r w:rsidR="00A30E30">
        <w:t>m Schöpfer geistigen Schaffens P</w:t>
      </w:r>
      <w:r>
        <w:t>ersönlichkeits- und materielle Rechte für die Schutzdauer (70 Jahre nach dem Tode) an seinem Werk zu. Dazu wird bestimmt, dass allein der Urheber über die Verwertung in körperlicher (</w:t>
      </w:r>
      <w:r w:rsidR="003F6F0E">
        <w:t xml:space="preserve">u.a. </w:t>
      </w:r>
      <w:r>
        <w:t>Verbreitung, Vervielfältigung) und unkörperlicher Form (</w:t>
      </w:r>
      <w:r w:rsidR="003F6F0E">
        <w:t xml:space="preserve">u.a. </w:t>
      </w:r>
      <w:r>
        <w:t>öffentliche Wiedergabe, öffentliche Zugänglichmachung, Aufführung, Ausstellung) entscheiden kann</w:t>
      </w:r>
      <w:r w:rsidR="00A30E30">
        <w:t xml:space="preserve"> (§ 15 UrhG)</w:t>
      </w:r>
      <w:r>
        <w:t xml:space="preserve">. </w:t>
      </w:r>
      <w:r w:rsidR="00E51B80">
        <w:t xml:space="preserve"> </w:t>
      </w:r>
      <w:r w:rsidR="00A30E30">
        <w:t xml:space="preserve">Viele Zustimmungserfordernisse knüpfen an die Erfüllung des  </w:t>
      </w:r>
      <w:r w:rsidR="00E51B80">
        <w:t>Öffentlichkeitsbegriff</w:t>
      </w:r>
      <w:r w:rsidR="00A30E30">
        <w:t xml:space="preserve"> an, so dass dessen Kenntnis von besonderer Bedeutung ist (§ 15 (3) UrhG). </w:t>
      </w:r>
      <w:r w:rsidR="00E51B80">
        <w:t xml:space="preserve"> </w:t>
      </w:r>
      <w:r w:rsidR="00A30E30">
        <w:t xml:space="preserve">Zur Übertragung von </w:t>
      </w:r>
      <w:r w:rsidR="00D01DA9">
        <w:t xml:space="preserve"> Rechte räumt der Urheber/Rechtsinhaber</w:t>
      </w:r>
      <w:r>
        <w:t xml:space="preserve"> Dritten Nutzungsrechte ein, die er einfach und ausschließlich sowie zeitlich, inhaltlich und räumlich beschränken kann</w:t>
      </w:r>
      <w:r w:rsidR="00D01DA9">
        <w:t xml:space="preserve"> (§ 31 ff UrhG)</w:t>
      </w:r>
      <w:r>
        <w:t xml:space="preserve">. Er kann auch zum Zeitpunkt der Rechtseinräumung </w:t>
      </w:r>
      <w:r>
        <w:lastRenderedPageBreak/>
        <w:t>unbekannte Nutzungsarten im Voraus einräumen, was jedoch der Schriftform unterliegt.</w:t>
      </w:r>
      <w:r w:rsidR="00F066F3">
        <w:t xml:space="preserve"> Im Allgemeininteresse greift der Gesetzgeber in die exklusiven Rechte</w:t>
      </w:r>
      <w:r>
        <w:t xml:space="preserve"> des Urhebers</w:t>
      </w:r>
      <w:r w:rsidR="00F066F3">
        <w:t xml:space="preserve"> ein </w:t>
      </w:r>
      <w:r>
        <w:t xml:space="preserve"> und räumt in sog. Schranken, für bestimmte klar definierte Sonderfälle</w:t>
      </w:r>
      <w:r w:rsidR="003F6F0E">
        <w:t>,</w:t>
      </w:r>
      <w:r>
        <w:t xml:space="preserve"> bestimmten Nutzergruppen Nutzungsrechte ein</w:t>
      </w:r>
      <w:r w:rsidR="00D01DA9">
        <w:t xml:space="preserve"> § 44a ff UrhG)</w:t>
      </w:r>
      <w:r>
        <w:t xml:space="preserve">. Hierzu gehören u.a. das Zitat, die Vervielfältigung zum privaten und sonstigen eigenen Gebrauch, die öffentliche Zugänglichmachung für Unterricht und wissenschaftlicher Forschung. Den gesetzlichen Schranken ist gemein, dass sie nur in den engen Grenzen der Ausnahme angewandt werden dürfen und für die Anwendung der Urheber über Verwertungsgesellschaften eine finanzielle Kompensation erhält.  </w:t>
      </w:r>
      <w:r w:rsidR="003F6F0E">
        <w:t>Den Schranken liegt ein international anerkannter Mindeststandard zugrunde, der sog. Dreistufentest, der in der Berner Übereinkunft</w:t>
      </w:r>
      <w:r w:rsidR="00D01DA9">
        <w:t xml:space="preserve"> (RBÜ)</w:t>
      </w:r>
      <w:r w:rsidR="003F6F0E">
        <w:t xml:space="preserve">, dem ältesten internationalen Urheberrechtsabkommen, begründet wurde. </w:t>
      </w:r>
      <w:r w:rsidR="000718DC">
        <w:t xml:space="preserve"> Aufgrund des grenzüberschreitenden Warenverkehrs mit geistigem Schaffen kommt den internationalen Übereinkommen besondere Bedeutung zu. Es handelt sich dabei um internationale Verträge. Der Urheberrechtsvertrag der WIPO nahm die Veränderungen der Digitalisierung auf und legte die Grundlagen für die neuen Rechte der „öffentlichen Zugänglichmachung“ und „Schutz der technischen Maßnahmen“. </w:t>
      </w:r>
      <w:r w:rsidR="007B1524">
        <w:t>Die EU Mitgliedsstaaten haben den Urheberrechtsvertrag mittels eine EU Richtlinie zur Harmonisierung des Urheberrechts und der verwandten Schutzrechte in der Informationsgesellschaft umgesetzt. Danach ist jeder Mitgliedsstaat verpflichtet die Inhalte in seine nationalen Gesetze umzusetzen. Das Urheberrechtsgesetz gliedert sich in zwei Teile 1. Urheberrecht, 2. Verwandte Schutzrechte. Zu den verwandten Schutzrechten, auch Leistungsschutzrechte genannt, zählt auch der Schutz des Datenbankherstellers</w:t>
      </w:r>
      <w:r w:rsidR="00D01DA9">
        <w:t xml:space="preserve"> (§ 87a ff UrhG)</w:t>
      </w:r>
      <w:r w:rsidR="007B1524">
        <w:t>, der neben dem Urheber an einer Datenbank</w:t>
      </w:r>
      <w:r w:rsidR="00D01DA9">
        <w:t xml:space="preserve"> (§ 4 UrhG)</w:t>
      </w:r>
      <w:r w:rsidR="007B1524">
        <w:t xml:space="preserve">, Leistungsschutz genießt. Die Schutzdauer für Leistungsschutzrechte beträgt in der Regel 50 Jahre nach  Veröffentlichung und wenn das Werk nicht veröffentlicht wird, nach Herstellung. </w:t>
      </w:r>
      <w:r w:rsidR="000718DC">
        <w:t xml:space="preserve"> </w:t>
      </w:r>
    </w:p>
    <w:p w:rsidR="0029511C" w:rsidRDefault="00654364" w:rsidP="0029511C">
      <w:pPr>
        <w:pStyle w:val="Listenabsatz"/>
        <w:numPr>
          <w:ilvl w:val="0"/>
          <w:numId w:val="1"/>
        </w:numPr>
      </w:pPr>
      <w:r>
        <w:t>Telemedien</w:t>
      </w:r>
    </w:p>
    <w:p w:rsidR="007B1524" w:rsidRDefault="007B1524" w:rsidP="007B1524">
      <w:pPr>
        <w:pStyle w:val="Listenabsatz"/>
      </w:pPr>
      <w:r>
        <w:t xml:space="preserve">Das Telemediengesetz </w:t>
      </w:r>
      <w:r w:rsidR="00D01DA9">
        <w:t xml:space="preserve">(TMG) </w:t>
      </w:r>
      <w:r>
        <w:t xml:space="preserve">trat 2007 in Kraft und vereinte mehrere zuvor getrennte Gesetze bzw. Regelungen und löste  das </w:t>
      </w:r>
      <w:proofErr w:type="spellStart"/>
      <w:r>
        <w:t>Teledienstegesetz</w:t>
      </w:r>
      <w:proofErr w:type="spellEnd"/>
      <w:r>
        <w:t xml:space="preserve"> ab. Nach dem Telemediengesetz besteht in Deutschland eine Zulassungsfreiheit für jegliche Teledienste. Das Gesetz formuliert die vorgeschriebenen umfassenden Informations- und Auskunftspflichten und definiert die Verantwor</w:t>
      </w:r>
      <w:r w:rsidR="00D01DA9">
        <w:t>tlichkeit der Anbieter (§ 7 TMG). Das TMG unterscheidet</w:t>
      </w:r>
      <w:r>
        <w:t xml:space="preserve"> Netz-, Service- u</w:t>
      </w:r>
      <w:r w:rsidR="00D01DA9">
        <w:t>nd Inhaltsprovider</w:t>
      </w:r>
      <w:r>
        <w:t xml:space="preserve">. Ebenfalls Eingang </w:t>
      </w:r>
      <w:r w:rsidR="00D01DA9">
        <w:t>in das TMG</w:t>
      </w:r>
      <w:r w:rsidR="00AA484B">
        <w:t xml:space="preserve"> fand der</w:t>
      </w:r>
      <w:r>
        <w:t xml:space="preserve"> </w:t>
      </w:r>
      <w:proofErr w:type="spellStart"/>
      <w:r>
        <w:t>Teledienstedatenschut</w:t>
      </w:r>
      <w:r w:rsidR="00AA484B">
        <w:t>z</w:t>
      </w:r>
      <w:proofErr w:type="spellEnd"/>
      <w:r w:rsidR="00AA484B">
        <w:t xml:space="preserve">. </w:t>
      </w:r>
    </w:p>
    <w:p w:rsidR="0075770E" w:rsidRDefault="0075770E" w:rsidP="0075770E"/>
    <w:p w:rsidR="0075770E" w:rsidRDefault="0075770E" w:rsidP="0075770E">
      <w:r>
        <w:t>Literaturhinweise</w:t>
      </w:r>
    </w:p>
    <w:p w:rsidR="00654364" w:rsidRDefault="00654364" w:rsidP="0075770E">
      <w:r>
        <w:t xml:space="preserve">DFN Recht. </w:t>
      </w:r>
      <w:hyperlink r:id="rId6" w:history="1">
        <w:r w:rsidRPr="00653DDE">
          <w:rPr>
            <w:rStyle w:val="Hyperlink"/>
          </w:rPr>
          <w:t>http://www.dfn.de/rechtimdfn/</w:t>
        </w:r>
      </w:hyperlink>
    </w:p>
    <w:p w:rsidR="0075770E" w:rsidRDefault="0075770E" w:rsidP="0075770E">
      <w:r>
        <w:t xml:space="preserve">Thomas </w:t>
      </w:r>
      <w:proofErr w:type="spellStart"/>
      <w:r>
        <w:t>Hoeren</w:t>
      </w:r>
      <w:proofErr w:type="spellEnd"/>
      <w:r>
        <w:t xml:space="preserve">: Internetrecht. Skript. </w:t>
      </w:r>
      <w:hyperlink r:id="rId7" w:history="1">
        <w:r w:rsidRPr="00653DDE">
          <w:rPr>
            <w:rStyle w:val="Hyperlink"/>
          </w:rPr>
          <w:t>http://www.uni-muenster.de/Jura.itm/hoeren/materialien/Skript/Skript%20Internetrecht_April_2011.pdf</w:t>
        </w:r>
      </w:hyperlink>
    </w:p>
    <w:p w:rsidR="0075770E" w:rsidRDefault="0075770E" w:rsidP="0075770E">
      <w:r>
        <w:t>Medienrecht. Lexikon für Praxis und Wissenschaft. Hr</w:t>
      </w:r>
      <w:r w:rsidR="00654364">
        <w:t>s</w:t>
      </w:r>
      <w:r>
        <w:t xml:space="preserve">g. </w:t>
      </w:r>
      <w:r w:rsidR="00654364">
        <w:t>v</w:t>
      </w:r>
      <w:r>
        <w:t xml:space="preserve">on Peter </w:t>
      </w:r>
      <w:proofErr w:type="spellStart"/>
      <w:r>
        <w:t>Schiwy</w:t>
      </w:r>
      <w:proofErr w:type="spellEnd"/>
      <w:r>
        <w:t xml:space="preserve"> u.a.. 5. Aufl. Köln: Heymanns Verl. 2010</w:t>
      </w:r>
    </w:p>
    <w:p w:rsidR="0075770E" w:rsidRDefault="0075770E" w:rsidP="0075770E">
      <w:r>
        <w:t>Urheberrechtsgesetz. Kommentar. Hrsg. von Thomas Dreier und Gernot Schulze. 3. Aufl. München: Beck  2008</w:t>
      </w:r>
    </w:p>
    <w:p w:rsidR="00654364" w:rsidRDefault="00654364" w:rsidP="0075770E">
      <w:r>
        <w:lastRenderedPageBreak/>
        <w:t xml:space="preserve">Alle Gesetzestexte finden Sie freizugänglich im Internet.  Verwenden Sie bitte die </w:t>
      </w:r>
      <w:proofErr w:type="spellStart"/>
      <w:r>
        <w:t>juris</w:t>
      </w:r>
      <w:proofErr w:type="spellEnd"/>
      <w:r>
        <w:t xml:space="preserve"> Datenbank </w:t>
      </w:r>
      <w:hyperlink r:id="rId8" w:history="1">
        <w:r w:rsidRPr="00653DDE">
          <w:rPr>
            <w:rStyle w:val="Hyperlink"/>
          </w:rPr>
          <w:t>http://www.gesetze-im-internet.de</w:t>
        </w:r>
      </w:hyperlink>
    </w:p>
    <w:p w:rsidR="00654364" w:rsidRDefault="00654364" w:rsidP="0075770E"/>
    <w:p w:rsidR="00654364" w:rsidRDefault="00654364" w:rsidP="0075770E">
      <w:r>
        <w:t xml:space="preserve">  </w:t>
      </w:r>
    </w:p>
    <w:sectPr w:rsidR="006543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E3A23"/>
    <w:multiLevelType w:val="hybridMultilevel"/>
    <w:tmpl w:val="439664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11C"/>
    <w:rsid w:val="000718DC"/>
    <w:rsid w:val="0029511C"/>
    <w:rsid w:val="003F6F0E"/>
    <w:rsid w:val="00460588"/>
    <w:rsid w:val="005656BF"/>
    <w:rsid w:val="005E691F"/>
    <w:rsid w:val="00654364"/>
    <w:rsid w:val="006570AE"/>
    <w:rsid w:val="0075770E"/>
    <w:rsid w:val="007B1524"/>
    <w:rsid w:val="0099615C"/>
    <w:rsid w:val="00A30E30"/>
    <w:rsid w:val="00AA484B"/>
    <w:rsid w:val="00AF18ED"/>
    <w:rsid w:val="00D01DA9"/>
    <w:rsid w:val="00E51B80"/>
    <w:rsid w:val="00F066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511C"/>
    <w:pPr>
      <w:ind w:left="720"/>
      <w:contextualSpacing/>
    </w:pPr>
  </w:style>
  <w:style w:type="character" w:styleId="Hyperlink">
    <w:name w:val="Hyperlink"/>
    <w:basedOn w:val="Absatz-Standardschriftart"/>
    <w:uiPriority w:val="99"/>
    <w:unhideWhenUsed/>
    <w:rsid w:val="007577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511C"/>
    <w:pPr>
      <w:ind w:left="720"/>
      <w:contextualSpacing/>
    </w:pPr>
  </w:style>
  <w:style w:type="character" w:styleId="Hyperlink">
    <w:name w:val="Hyperlink"/>
    <w:basedOn w:val="Absatz-Standardschriftart"/>
    <w:uiPriority w:val="99"/>
    <w:unhideWhenUsed/>
    <w:rsid w:val="007577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setze-im-internet.de" TargetMode="External"/><Relationship Id="rId3" Type="http://schemas.microsoft.com/office/2007/relationships/stylesWithEffects" Target="stylesWithEffects.xml"/><Relationship Id="rId7" Type="http://schemas.openxmlformats.org/officeDocument/2006/relationships/hyperlink" Target="http://www.uni-muenster.de/Jura.itm/hoeren/materialien/Skript/Skript%20Internetrecht_April_20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fn.de/rechtimdf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905</Words>
  <Characters>5707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SUB Hamburg</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Beger, Prof. Dr. Gabriele</dc:creator>
  <cp:keywords/>
  <dc:description/>
  <cp:lastModifiedBy>Beger, Prof. Dr. Gabriele</cp:lastModifiedBy>
  <cp:revision>3</cp:revision>
  <dcterms:created xsi:type="dcterms:W3CDTF">2012-06-25T09:00:00Z</dcterms:created>
  <dcterms:modified xsi:type="dcterms:W3CDTF">2012-06-25T11:50:00Z</dcterms:modified>
</cp:coreProperties>
</file>