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64748B"/>
          <w:sz w:val="22"/>
        </w:rPr>
        <w:t>ACADEMIC PROJECT REPORT (CIE 2)</w:t>
        <w:br/>
      </w:r>
      <w:r>
        <w:rPr>
          <w:b/>
          <w:color w:val="1E3A8A"/>
          <w:sz w:val="36"/>
        </w:rPr>
        <w:t>FINANCIAL DATA ANALYSIS AND MANAGEMENT SYSTEM USING MACHINE LEARNING</w:t>
        <w:br/>
      </w:r>
      <w:r>
        <w:rPr>
          <w:b/>
          <w:color w:val="475569"/>
          <w:sz w:val="26"/>
        </w:rPr>
        <w:t>Domain: Automated Loan Approval Prediction &amp; Credit Risk Assessment</w:t>
        <w:br/>
      </w:r>
    </w:p>
    <w:tbl>
      <w:tblPr>
        <w:tblW w:type="auto" w:w="0"/>
        <w:jc w:val="center"/>
        <w:tblLook w:firstColumn="1" w:firstRow="1" w:lastColumn="0" w:lastRow="0" w:noHBand="0" w:noVBand="1" w:val="04A0"/>
      </w:tblPr>
      <w:tblGrid>
        <w:gridCol w:w="4514"/>
        <w:gridCol w:w="4514"/>
      </w:tblGrid>
      <w:tr>
        <w:tc>
          <w:tcPr>
            <w:tcW w:type="dxa" w:w="3744"/>
            <w:tcMar>
              <w:top w:w="100" w:type="dxa"/>
              <w:bottom w:w="100" w:type="dxa"/>
              <w:left w:w="150" w:type="dxa"/>
              <w:right w:w="150" w:type="dxa"/>
            </w:tcMar>
            <w:shd w:val="clear" w:color="auto" w:fill="F1F5F9"/>
          </w:tcPr>
          <w:p>
            <w:pPr>
              <w:spacing w:after="0"/>
            </w:pPr>
            <w:r>
              <w:rPr>
                <w:b/>
                <w:color w:val="1E3A8A"/>
                <w:sz w:val="20"/>
              </w:rPr>
              <w:t>Course Name &amp; Code:</w:t>
            </w:r>
          </w:p>
        </w:tc>
        <w:tc>
          <w:tcPr>
            <w:tcW w:type="dxa" w:w="5616"/>
            <w:tcMar>
              <w:top w:w="100" w:type="dxa"/>
              <w:bottom w:w="100" w:type="dxa"/>
              <w:left w:w="150" w:type="dxa"/>
              <w:right w:w="150" w:type="dxa"/>
            </w:tcMar>
            <w:shd w:val="clear" w:color="auto" w:fill="FFFFFF"/>
          </w:tcPr>
          <w:p>
            <w:pPr>
              <w:spacing w:after="0"/>
            </w:pPr>
            <w:r>
              <w:rPr>
                <w:sz w:val="20"/>
              </w:rPr>
              <w:t>Financial Flow of any Project (FFM) | Course Code: 2603MD12</w:t>
            </w:r>
          </w:p>
        </w:tc>
      </w:tr>
      <w:tr>
        <w:tc>
          <w:tcPr>
            <w:tcW w:type="dxa" w:w="3744"/>
            <w:tcMar>
              <w:top w:w="100" w:type="dxa"/>
              <w:bottom w:w="100" w:type="dxa"/>
              <w:left w:w="150" w:type="dxa"/>
              <w:right w:w="150" w:type="dxa"/>
            </w:tcMar>
            <w:shd w:val="clear" w:color="auto" w:fill="F1F5F9"/>
          </w:tcPr>
          <w:p>
            <w:pPr>
              <w:spacing w:after="0"/>
            </w:pPr>
            <w:r>
              <w:rPr>
                <w:b/>
                <w:color w:val="1E3A8A"/>
                <w:sz w:val="20"/>
              </w:rPr>
              <w:t>Class &amp; Semester:</w:t>
            </w:r>
          </w:p>
        </w:tc>
        <w:tc>
          <w:tcPr>
            <w:tcW w:type="dxa" w:w="5616"/>
            <w:tcMar>
              <w:top w:w="100" w:type="dxa"/>
              <w:bottom w:w="100" w:type="dxa"/>
              <w:left w:w="150" w:type="dxa"/>
              <w:right w:w="150" w:type="dxa"/>
            </w:tcMar>
            <w:shd w:val="clear" w:color="auto" w:fill="FFFFFF"/>
          </w:tcPr>
          <w:p>
            <w:pPr>
              <w:spacing w:after="0"/>
            </w:pPr>
            <w:r>
              <w:rPr>
                <w:sz w:val="20"/>
              </w:rPr>
              <w:t>Second Year (SY) | Semester IV</w:t>
            </w:r>
          </w:p>
        </w:tc>
      </w:tr>
      <w:tr>
        <w:tc>
          <w:tcPr>
            <w:tcW w:type="dxa" w:w="3744"/>
            <w:tcMar>
              <w:top w:w="100" w:type="dxa"/>
              <w:bottom w:w="100" w:type="dxa"/>
              <w:left w:w="150" w:type="dxa"/>
              <w:right w:w="150" w:type="dxa"/>
            </w:tcMar>
            <w:shd w:val="clear" w:color="auto" w:fill="F1F5F9"/>
          </w:tcPr>
          <w:p>
            <w:pPr>
              <w:spacing w:after="0"/>
            </w:pPr>
            <w:r>
              <w:rPr>
                <w:b/>
                <w:color w:val="1E3A8A"/>
                <w:sz w:val="20"/>
              </w:rPr>
              <w:t>Continuous Evaluation:</w:t>
            </w:r>
          </w:p>
        </w:tc>
        <w:tc>
          <w:tcPr>
            <w:tcW w:type="dxa" w:w="5616"/>
            <w:tcMar>
              <w:top w:w="100" w:type="dxa"/>
              <w:bottom w:w="100" w:type="dxa"/>
              <w:left w:w="150" w:type="dxa"/>
              <w:right w:w="150" w:type="dxa"/>
            </w:tcMar>
            <w:shd w:val="clear" w:color="auto" w:fill="FFFFFF"/>
          </w:tcPr>
          <w:p>
            <w:pPr>
              <w:spacing w:after="0"/>
            </w:pPr>
            <w:r>
              <w:rPr>
                <w:sz w:val="20"/>
              </w:rPr>
              <w:t>Continuous Internal Evaluation 2 (CIE 2)</w:t>
            </w:r>
          </w:p>
        </w:tc>
      </w:tr>
      <w:tr>
        <w:tc>
          <w:tcPr>
            <w:tcW w:type="dxa" w:w="3744"/>
            <w:tcMar>
              <w:top w:w="100" w:type="dxa"/>
              <w:bottom w:w="100" w:type="dxa"/>
              <w:left w:w="150" w:type="dxa"/>
              <w:right w:w="150" w:type="dxa"/>
            </w:tcMar>
            <w:shd w:val="clear" w:color="auto" w:fill="F1F5F9"/>
          </w:tcPr>
          <w:p>
            <w:pPr>
              <w:spacing w:after="0"/>
            </w:pPr>
            <w:r>
              <w:rPr>
                <w:b/>
                <w:color w:val="1E3A8A"/>
                <w:sz w:val="20"/>
              </w:rPr>
              <w:t>Selected Emerging Technology:</w:t>
            </w:r>
          </w:p>
        </w:tc>
        <w:tc>
          <w:tcPr>
            <w:tcW w:type="dxa" w:w="5616"/>
            <w:tcMar>
              <w:top w:w="100" w:type="dxa"/>
              <w:bottom w:w="100" w:type="dxa"/>
              <w:left w:w="150" w:type="dxa"/>
              <w:right w:w="150" w:type="dxa"/>
            </w:tcMar>
            <w:shd w:val="clear" w:color="auto" w:fill="FFFFFF"/>
          </w:tcPr>
          <w:p>
            <w:pPr>
              <w:spacing w:after="0"/>
            </w:pPr>
            <w:r>
              <w:rPr>
                <w:sz w:val="20"/>
              </w:rPr>
              <w:t>Machine Learning (Supervised Learning &amp; Risk Analytics)</w:t>
            </w:r>
          </w:p>
        </w:tc>
      </w:tr>
      <w:tr>
        <w:tc>
          <w:tcPr>
            <w:tcW w:type="dxa" w:w="3744"/>
            <w:tcMar>
              <w:top w:w="100" w:type="dxa"/>
              <w:bottom w:w="100" w:type="dxa"/>
              <w:left w:w="150" w:type="dxa"/>
              <w:right w:w="150" w:type="dxa"/>
            </w:tcMar>
            <w:shd w:val="clear" w:color="auto" w:fill="F1F5F9"/>
          </w:tcPr>
          <w:p>
            <w:pPr>
              <w:spacing w:after="0"/>
            </w:pPr>
            <w:r>
              <w:rPr>
                <w:b/>
                <w:color w:val="1E3A8A"/>
                <w:sz w:val="20"/>
              </w:rPr>
              <w:t>Candidate Name(s) &amp; Div:</w:t>
            </w:r>
          </w:p>
        </w:tc>
        <w:tc>
          <w:tcPr>
            <w:tcW w:type="dxa" w:w="5616"/>
            <w:tcMar>
              <w:top w:w="100" w:type="dxa"/>
              <w:bottom w:w="100" w:type="dxa"/>
              <w:left w:w="150" w:type="dxa"/>
              <w:right w:w="150" w:type="dxa"/>
            </w:tcMar>
            <w:shd w:val="clear" w:color="auto" w:fill="FFFFFF"/>
          </w:tcPr>
          <w:p>
            <w:pPr>
              <w:spacing w:after="0"/>
            </w:pPr>
            <w:r>
              <w:rPr>
                <w:sz w:val="20"/>
              </w:rPr>
              <w:t>[Insert Student Names] | Division: [Insert Division]</w:t>
            </w:r>
          </w:p>
        </w:tc>
      </w:tr>
      <w:tr>
        <w:tc>
          <w:tcPr>
            <w:tcW w:type="dxa" w:w="3744"/>
            <w:tcMar>
              <w:top w:w="100" w:type="dxa"/>
              <w:bottom w:w="100" w:type="dxa"/>
              <w:left w:w="150" w:type="dxa"/>
              <w:right w:w="150" w:type="dxa"/>
            </w:tcMar>
            <w:shd w:val="clear" w:color="auto" w:fill="F1F5F9"/>
          </w:tcPr>
          <w:p>
            <w:pPr>
              <w:spacing w:after="0"/>
            </w:pPr>
            <w:r>
              <w:rPr>
                <w:b/>
                <w:color w:val="1E3A8A"/>
                <w:sz w:val="20"/>
              </w:rPr>
              <w:t>Roll Number(s) &amp; Student Code(s):</w:t>
            </w:r>
          </w:p>
        </w:tc>
        <w:tc>
          <w:tcPr>
            <w:tcW w:type="dxa" w:w="5616"/>
            <w:tcMar>
              <w:top w:w="100" w:type="dxa"/>
              <w:bottom w:w="100" w:type="dxa"/>
              <w:left w:w="150" w:type="dxa"/>
              <w:right w:w="150" w:type="dxa"/>
            </w:tcMar>
            <w:shd w:val="clear" w:color="auto" w:fill="FFFFFF"/>
          </w:tcPr>
          <w:p>
            <w:pPr>
              <w:spacing w:after="0"/>
            </w:pPr>
            <w:r>
              <w:rPr>
                <w:sz w:val="20"/>
              </w:rPr>
              <w:t>[Insert Roll Numbers] | Student Code: [Insert Codes]</w:t>
            </w:r>
          </w:p>
        </w:tc>
      </w:tr>
    </w:tbl>
    <w:p>
      <w:pPr>
        <w:spacing w:after="120"/>
      </w:pPr>
    </w:p>
    <w:p>
      <w:pPr>
        <w:spacing w:line="276" w:lineRule="auto" w:after="200"/>
      </w:pPr>
      <w:r>
        <w:rPr>
          <w:b/>
        </w:rPr>
        <w:t xml:space="preserve">Executive Abstract: </w:t>
      </w:r>
      <w:r>
        <w:t>Credit lending constitutes the core profit-generating mechanism in retail and commercial banking. However, legacy manual underwriting processes require 3 to 7 business days, induce substantial operational overhead, suffer human cognitive fatigue and bias, and often fail to detect multivariate default risks. This project presents 'FinFlow', an intelligent end-to-end Financial Data Analysis and Management System. FinFlow harnesses machine learning algorithms (Random Forest, Gradient Boosting, Logistic Regression, and Decision Trees) trained on a 4,269-record banking benchmark dataset. By synthesizing domain-specific financial solvency metrics—such as the Asset Coverage Ratio (ACR), Debt-to-Income (DTI), and Loan-to-Income (LTI)—the system achieves an exceptional 96.49% accuracy and an ROC-AUC of 0.9948 on unseen test data. The system cuts underwriting latency to under 2 seconds, safeguards the lending institution against capital erosion (Type II errors), and is deployed as an interactive, production-ready Streamlit web application.</w:t>
      </w:r>
    </w:p>
    <w:p>
      <w:r>
        <w:br w:type="page"/>
      </w:r>
    </w:p>
    <w:p>
      <w:pPr>
        <w:pStyle w:val="Heading1"/>
        <w:keepNext/>
        <w:spacing w:before="280" w:after="80"/>
      </w:pPr>
      <w:r>
        <w:rPr>
          <w:color w:val="1E3A8A"/>
          <w:sz w:val="28"/>
        </w:rPr>
        <w:t>1. Problem Definition &amp; Banking Context</w:t>
      </w:r>
    </w:p>
    <w:p>
      <w:pPr>
        <w:spacing w:line="276" w:lineRule="auto"/>
      </w:pPr>
      <w:r>
        <w:t>In modern financial management, the financial flow of a banking institution relies heavily on the Net Interest Margin (NIM)—the spread between the interest earned on disbursed loans and the interest paid on depositor capital. Loan approval and credit underwriting are the gatekeepers of this financial flow. However, conventional institutional lending faces three critical challenges:</w:t>
        <w:br/>
        <w:br/>
        <w:t>1. Excessive Operational Latency: Manual scrutiny of physical paystubs, property tax receipts, income tax returns, and bureau reports takes 3–7 business days, causing customer churn and inflated underwriting costs.</w:t>
        <w:br/>
        <w:t>2. Human Bias &amp; Subjectivity: Discretionary manual decisioning results in inconsistent lending practices, cognitive bias, and regulatory compliance risks.</w:t>
        <w:br/>
        <w:t>3. Rise in Non-Performing Assets (NPAs): Traditional banking heuristics rely on rigid, one-dimensional cutoff rules (e.g., 'Reject if CIBIL &lt; 650'). Such rules fail to assess multivariate interactions between collateral backing, cash flow obligations, and debt burden. This allows financially fragile applicants to be approved, causing credit defaults that directly deplete institutional equity reserves.</w:t>
        <w:br/>
        <w:br/>
        <w:t>Core Problem Statement: To design, develop, and benchmark an automated, intelligent Financial Data Analysis and Management System using Machine Learning to accurately predict loan approval outcomes, quantify borrower credit risk, synthesize institutional solvency ratios, and optimize financial capital flow while mitigating credit default exposure.</w:t>
      </w:r>
    </w:p>
    <w:p>
      <w:pPr>
        <w:pStyle w:val="Heading1"/>
        <w:keepNext/>
        <w:spacing w:before="280" w:after="80"/>
      </w:pPr>
      <w:r>
        <w:rPr>
          <w:color w:val="1E3A8A"/>
          <w:sz w:val="28"/>
        </w:rPr>
        <w:t>2. Project Objectives</w:t>
      </w:r>
    </w:p>
    <w:p>
      <w:pPr>
        <w:spacing w:line="276" w:lineRule="auto"/>
      </w:pPr>
      <w:r>
        <w:t>The project is structured around five measurable academic and operational objectives:</w:t>
        <w:br/>
        <w:t>• Underwriting Automation: Reduce credit decisioning latency from days to under 2 seconds per application.</w:t>
        <w:br/>
        <w:t>• Capital Preservation (High Precision): Achieve model classification accuracy and ROC-AUC exceeding 0.95, strictly minimizing False Positives (Type II errors) where defaulting loans are mistakenly disbursed.</w:t>
        <w:br/>
        <w:t>• Domain Ratio Engineering: Formulate and integrate banking solvency ratios: Asset Coverage Ratio (ACR), Debt-to-Income Ratio (DTI), and Loan-to-Income Ratio (LTI).</w:t>
        <w:br/>
        <w:t>• Model Explainability &amp; Compliance: Provide transparent feature importance weights (such as CIBIL weighting and collateral contribution) to comply with regulatory fair-lending mandates.</w:t>
        <w:br/>
        <w:t>• Full-Stack Deployment: Develop an interactive, production-ready Streamlit dashboard supporting executive analytics, exploratory data analysis, real-time single-applicant underwriting, and batch CSV processing.</w:t>
      </w:r>
    </w:p>
    <w:p>
      <w:pPr>
        <w:pStyle w:val="Heading1"/>
        <w:keepNext/>
        <w:spacing w:before="280" w:after="80"/>
      </w:pPr>
      <w:r>
        <w:rPr>
          <w:color w:val="1E3A8A"/>
          <w:sz w:val="28"/>
        </w:rPr>
        <w:t>3. Dataset Description &amp; Financial Attributes</w:t>
      </w:r>
    </w:p>
    <w:p>
      <w:pPr>
        <w:spacing w:line="276" w:lineRule="auto"/>
      </w:pPr>
      <w:r>
        <w:t>The underlying dataset is sourced from the Kaggle Financial Benchmark Repository (Loan Approval Prediction Dataset by Archit Sharma). It contains 4,269 historical loan records, with a target distribution of 74.3% Approved (3,172 records) and 25.7% Rejected (1,097 records), faithfully mirroring the actual approval rates of commercial retail banks. The dataset is fully anonymized and compliant with data privacy norms.</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1E3A8A"/>
            <w:tcMar>
              <w:top w:w="100" w:type="dxa"/>
              <w:bottom w:w="100" w:type="dxa"/>
              <w:left w:w="120" w:type="dxa"/>
              <w:right w:w="120" w:type="dxa"/>
            </w:tcMar>
          </w:tcPr>
          <w:p>
            <w:r>
              <w:rPr>
                <w:b/>
                <w:color w:val="FFFFFF"/>
                <w:sz w:val="19"/>
              </w:rPr>
              <w:t>Feature Name</w:t>
            </w:r>
          </w:p>
        </w:tc>
        <w:tc>
          <w:tcPr>
            <w:tcW w:type="dxa" w:w="2257"/>
            <w:shd w:val="clear" w:color="auto" w:fill="1E3A8A"/>
            <w:tcMar>
              <w:top w:w="100" w:type="dxa"/>
              <w:bottom w:w="100" w:type="dxa"/>
              <w:left w:w="120" w:type="dxa"/>
              <w:right w:w="120" w:type="dxa"/>
            </w:tcMar>
          </w:tcPr>
          <w:p>
            <w:r>
              <w:rPr>
                <w:b/>
                <w:color w:val="FFFFFF"/>
                <w:sz w:val="19"/>
              </w:rPr>
              <w:t>Data Type</w:t>
            </w:r>
          </w:p>
        </w:tc>
        <w:tc>
          <w:tcPr>
            <w:tcW w:type="dxa" w:w="2257"/>
            <w:shd w:val="clear" w:color="auto" w:fill="1E3A8A"/>
            <w:tcMar>
              <w:top w:w="100" w:type="dxa"/>
              <w:bottom w:w="100" w:type="dxa"/>
              <w:left w:w="120" w:type="dxa"/>
              <w:right w:w="120" w:type="dxa"/>
            </w:tcMar>
          </w:tcPr>
          <w:p>
            <w:r>
              <w:rPr>
                <w:b/>
                <w:color w:val="FFFFFF"/>
                <w:sz w:val="19"/>
              </w:rPr>
              <w:t>Value Range / Units</w:t>
            </w:r>
          </w:p>
        </w:tc>
        <w:tc>
          <w:tcPr>
            <w:tcW w:type="dxa" w:w="2257"/>
            <w:shd w:val="clear" w:color="auto" w:fill="1E3A8A"/>
            <w:tcMar>
              <w:top w:w="100" w:type="dxa"/>
              <w:bottom w:w="100" w:type="dxa"/>
              <w:left w:w="120" w:type="dxa"/>
              <w:right w:w="120" w:type="dxa"/>
            </w:tcMar>
          </w:tcPr>
          <w:p>
            <w:r>
              <w:rPr>
                <w:b/>
                <w:color w:val="FFFFFF"/>
                <w:sz w:val="19"/>
              </w:rPr>
              <w:t>Banking &amp; Financial Significance</w:t>
            </w:r>
          </w:p>
        </w:tc>
      </w:tr>
      <w:tr>
        <w:tc>
          <w:tcPr>
            <w:tcW w:type="dxa" w:w="2257"/>
            <w:tcMar>
              <w:top w:w="70" w:type="dxa"/>
              <w:bottom w:w="70" w:type="dxa"/>
              <w:left w:w="100" w:type="dxa"/>
              <w:right w:w="100" w:type="dxa"/>
            </w:tcMar>
          </w:tcPr>
          <w:p>
            <w:r>
              <w:rPr>
                <w:sz w:val="18"/>
              </w:rPr>
              <w:t>loan_id</w:t>
            </w:r>
          </w:p>
        </w:tc>
        <w:tc>
          <w:tcPr>
            <w:tcW w:type="dxa" w:w="2257"/>
            <w:tcMar>
              <w:top w:w="70" w:type="dxa"/>
              <w:bottom w:w="70" w:type="dxa"/>
              <w:left w:w="100" w:type="dxa"/>
              <w:right w:w="100" w:type="dxa"/>
            </w:tcMar>
          </w:tcPr>
          <w:p>
            <w:r>
              <w:rPr>
                <w:sz w:val="18"/>
              </w:rPr>
              <w:t>String</w:t>
            </w:r>
          </w:p>
        </w:tc>
        <w:tc>
          <w:tcPr>
            <w:tcW w:type="dxa" w:w="2257"/>
            <w:tcMar>
              <w:top w:w="70" w:type="dxa"/>
              <w:bottom w:w="70" w:type="dxa"/>
              <w:left w:w="100" w:type="dxa"/>
              <w:right w:w="100" w:type="dxa"/>
            </w:tcMar>
          </w:tcPr>
          <w:p>
            <w:r>
              <w:rPr>
                <w:sz w:val="18"/>
              </w:rPr>
              <w:t>Alphanumeric</w:t>
            </w:r>
          </w:p>
        </w:tc>
        <w:tc>
          <w:tcPr>
            <w:tcW w:type="dxa" w:w="2257"/>
            <w:tcMar>
              <w:top w:w="70" w:type="dxa"/>
              <w:bottom w:w="70" w:type="dxa"/>
              <w:left w:w="100" w:type="dxa"/>
              <w:right w:w="100" w:type="dxa"/>
            </w:tcMar>
          </w:tcPr>
          <w:p>
            <w:r>
              <w:rPr>
                <w:sz w:val="18"/>
              </w:rPr>
              <w:t>Unique applicant identifier.</w:t>
            </w:r>
          </w:p>
        </w:tc>
      </w:tr>
      <w:tr>
        <w:tc>
          <w:tcPr>
            <w:tcW w:type="dxa" w:w="2257"/>
            <w:tcMar>
              <w:top w:w="70" w:type="dxa"/>
              <w:bottom w:w="70" w:type="dxa"/>
              <w:left w:w="100" w:type="dxa"/>
              <w:right w:w="100" w:type="dxa"/>
            </w:tcMar>
          </w:tcPr>
          <w:p>
            <w:r>
              <w:rPr>
                <w:sz w:val="18"/>
              </w:rPr>
              <w:t>no_of_dependents</w:t>
            </w:r>
          </w:p>
        </w:tc>
        <w:tc>
          <w:tcPr>
            <w:tcW w:type="dxa" w:w="2257"/>
            <w:tcMar>
              <w:top w:w="70" w:type="dxa"/>
              <w:bottom w:w="70" w:type="dxa"/>
              <w:left w:w="100" w:type="dxa"/>
              <w:right w:w="100" w:type="dxa"/>
            </w:tcMar>
          </w:tcPr>
          <w:p>
            <w:r>
              <w:rPr>
                <w:sz w:val="18"/>
              </w:rPr>
              <w:t>Integer</w:t>
            </w:r>
          </w:p>
        </w:tc>
        <w:tc>
          <w:tcPr>
            <w:tcW w:type="dxa" w:w="2257"/>
            <w:tcMar>
              <w:top w:w="70" w:type="dxa"/>
              <w:bottom w:w="70" w:type="dxa"/>
              <w:left w:w="100" w:type="dxa"/>
              <w:right w:w="100" w:type="dxa"/>
            </w:tcMar>
          </w:tcPr>
          <w:p>
            <w:r>
              <w:rPr>
                <w:sz w:val="18"/>
              </w:rPr>
              <w:t>0 to 5</w:t>
            </w:r>
          </w:p>
        </w:tc>
        <w:tc>
          <w:tcPr>
            <w:tcW w:type="dxa" w:w="2257"/>
            <w:tcMar>
              <w:top w:w="70" w:type="dxa"/>
              <w:bottom w:w="70" w:type="dxa"/>
              <w:left w:w="100" w:type="dxa"/>
              <w:right w:w="100" w:type="dxa"/>
            </w:tcMar>
          </w:tcPr>
          <w:p>
            <w:r>
              <w:rPr>
                <w:sz w:val="18"/>
              </w:rPr>
              <w:t>Financial dependents relying on applicant income.</w:t>
            </w:r>
          </w:p>
        </w:tc>
      </w:tr>
      <w:tr>
        <w:tc>
          <w:tcPr>
            <w:tcW w:type="dxa" w:w="2257"/>
            <w:tcMar>
              <w:top w:w="70" w:type="dxa"/>
              <w:bottom w:w="70" w:type="dxa"/>
              <w:left w:w="100" w:type="dxa"/>
              <w:right w:w="100" w:type="dxa"/>
            </w:tcMar>
          </w:tcPr>
          <w:p>
            <w:r>
              <w:rPr>
                <w:sz w:val="18"/>
              </w:rPr>
              <w:t>education</w:t>
            </w:r>
          </w:p>
        </w:tc>
        <w:tc>
          <w:tcPr>
            <w:tcW w:type="dxa" w:w="2257"/>
            <w:tcMar>
              <w:top w:w="70" w:type="dxa"/>
              <w:bottom w:w="70" w:type="dxa"/>
              <w:left w:w="100" w:type="dxa"/>
              <w:right w:w="100" w:type="dxa"/>
            </w:tcMar>
          </w:tcPr>
          <w:p>
            <w:r>
              <w:rPr>
                <w:sz w:val="18"/>
              </w:rPr>
              <w:t>Categorical</w:t>
            </w:r>
          </w:p>
        </w:tc>
        <w:tc>
          <w:tcPr>
            <w:tcW w:type="dxa" w:w="2257"/>
            <w:tcMar>
              <w:top w:w="70" w:type="dxa"/>
              <w:bottom w:w="70" w:type="dxa"/>
              <w:left w:w="100" w:type="dxa"/>
              <w:right w:w="100" w:type="dxa"/>
            </w:tcMar>
          </w:tcPr>
          <w:p>
            <w:r>
              <w:rPr>
                <w:sz w:val="18"/>
              </w:rPr>
              <w:t>Graduate / Not Graduate</w:t>
            </w:r>
          </w:p>
        </w:tc>
        <w:tc>
          <w:tcPr>
            <w:tcW w:type="dxa" w:w="2257"/>
            <w:tcMar>
              <w:top w:w="70" w:type="dxa"/>
              <w:bottom w:w="70" w:type="dxa"/>
              <w:left w:w="100" w:type="dxa"/>
              <w:right w:w="100" w:type="dxa"/>
            </w:tcMar>
          </w:tcPr>
          <w:p>
            <w:r>
              <w:rPr>
                <w:sz w:val="18"/>
              </w:rPr>
              <w:t>Educational attainment indicating income stability.</w:t>
            </w:r>
          </w:p>
        </w:tc>
      </w:tr>
      <w:tr>
        <w:tc>
          <w:tcPr>
            <w:tcW w:type="dxa" w:w="2257"/>
            <w:tcMar>
              <w:top w:w="70" w:type="dxa"/>
              <w:bottom w:w="70" w:type="dxa"/>
              <w:left w:w="100" w:type="dxa"/>
              <w:right w:w="100" w:type="dxa"/>
            </w:tcMar>
          </w:tcPr>
          <w:p>
            <w:r>
              <w:rPr>
                <w:sz w:val="18"/>
              </w:rPr>
              <w:t>self_employed</w:t>
            </w:r>
          </w:p>
        </w:tc>
        <w:tc>
          <w:tcPr>
            <w:tcW w:type="dxa" w:w="2257"/>
            <w:tcMar>
              <w:top w:w="70" w:type="dxa"/>
              <w:bottom w:w="70" w:type="dxa"/>
              <w:left w:w="100" w:type="dxa"/>
              <w:right w:w="100" w:type="dxa"/>
            </w:tcMar>
          </w:tcPr>
          <w:p>
            <w:r>
              <w:rPr>
                <w:sz w:val="18"/>
              </w:rPr>
              <w:t>Categorical</w:t>
            </w:r>
          </w:p>
        </w:tc>
        <w:tc>
          <w:tcPr>
            <w:tcW w:type="dxa" w:w="2257"/>
            <w:tcMar>
              <w:top w:w="70" w:type="dxa"/>
              <w:bottom w:w="70" w:type="dxa"/>
              <w:left w:w="100" w:type="dxa"/>
              <w:right w:w="100" w:type="dxa"/>
            </w:tcMar>
          </w:tcPr>
          <w:p>
            <w:r>
              <w:rPr>
                <w:sz w:val="18"/>
              </w:rPr>
              <w:t>Yes / No</w:t>
            </w:r>
          </w:p>
        </w:tc>
        <w:tc>
          <w:tcPr>
            <w:tcW w:type="dxa" w:w="2257"/>
            <w:tcMar>
              <w:top w:w="70" w:type="dxa"/>
              <w:bottom w:w="70" w:type="dxa"/>
              <w:left w:w="100" w:type="dxa"/>
              <w:right w:w="100" w:type="dxa"/>
            </w:tcMar>
          </w:tcPr>
          <w:p>
            <w:r>
              <w:rPr>
                <w:sz w:val="18"/>
              </w:rPr>
              <w:t>Employment type: Business/Self-Employed vs Salaried.</w:t>
            </w:r>
          </w:p>
        </w:tc>
      </w:tr>
      <w:tr>
        <w:tc>
          <w:tcPr>
            <w:tcW w:type="dxa" w:w="2257"/>
            <w:tcMar>
              <w:top w:w="70" w:type="dxa"/>
              <w:bottom w:w="70" w:type="dxa"/>
              <w:left w:w="100" w:type="dxa"/>
              <w:right w:w="100" w:type="dxa"/>
            </w:tcMar>
          </w:tcPr>
          <w:p>
            <w:r>
              <w:rPr>
                <w:sz w:val="18"/>
              </w:rPr>
              <w:t>income_annum</w:t>
            </w:r>
          </w:p>
        </w:tc>
        <w:tc>
          <w:tcPr>
            <w:tcW w:type="dxa" w:w="2257"/>
            <w:tcMar>
              <w:top w:w="70" w:type="dxa"/>
              <w:bottom w:w="70" w:type="dxa"/>
              <w:left w:w="100" w:type="dxa"/>
              <w:right w:w="100" w:type="dxa"/>
            </w:tcMar>
          </w:tcPr>
          <w:p>
            <w:r>
              <w:rPr>
                <w:sz w:val="18"/>
              </w:rPr>
              <w:t>Numeric</w:t>
            </w:r>
          </w:p>
        </w:tc>
        <w:tc>
          <w:tcPr>
            <w:tcW w:type="dxa" w:w="2257"/>
            <w:tcMar>
              <w:top w:w="70" w:type="dxa"/>
              <w:bottom w:w="70" w:type="dxa"/>
              <w:left w:w="100" w:type="dxa"/>
              <w:right w:w="100" w:type="dxa"/>
            </w:tcMar>
          </w:tcPr>
          <w:p>
            <w:r>
              <w:rPr>
                <w:sz w:val="18"/>
              </w:rPr>
              <w:t>₹2,00,000 to ₹1,50,00,000</w:t>
            </w:r>
          </w:p>
        </w:tc>
        <w:tc>
          <w:tcPr>
            <w:tcW w:type="dxa" w:w="2257"/>
            <w:tcMar>
              <w:top w:w="70" w:type="dxa"/>
              <w:bottom w:w="70" w:type="dxa"/>
              <w:left w:w="100" w:type="dxa"/>
              <w:right w:w="100" w:type="dxa"/>
            </w:tcMar>
          </w:tcPr>
          <w:p>
            <w:r>
              <w:rPr>
                <w:sz w:val="18"/>
              </w:rPr>
              <w:t>Annual gross income of the primary applicant.</w:t>
            </w:r>
          </w:p>
        </w:tc>
      </w:tr>
      <w:tr>
        <w:tc>
          <w:tcPr>
            <w:tcW w:type="dxa" w:w="2257"/>
            <w:tcMar>
              <w:top w:w="70" w:type="dxa"/>
              <w:bottom w:w="70" w:type="dxa"/>
              <w:left w:w="100" w:type="dxa"/>
              <w:right w:w="100" w:type="dxa"/>
            </w:tcMar>
          </w:tcPr>
          <w:p>
            <w:r>
              <w:rPr>
                <w:sz w:val="18"/>
              </w:rPr>
              <w:t>loan_amount</w:t>
            </w:r>
          </w:p>
        </w:tc>
        <w:tc>
          <w:tcPr>
            <w:tcW w:type="dxa" w:w="2257"/>
            <w:tcMar>
              <w:top w:w="70" w:type="dxa"/>
              <w:bottom w:w="70" w:type="dxa"/>
              <w:left w:w="100" w:type="dxa"/>
              <w:right w:w="100" w:type="dxa"/>
            </w:tcMar>
          </w:tcPr>
          <w:p>
            <w:r>
              <w:rPr>
                <w:sz w:val="18"/>
              </w:rPr>
              <w:t>Numeric</w:t>
            </w:r>
          </w:p>
        </w:tc>
        <w:tc>
          <w:tcPr>
            <w:tcW w:type="dxa" w:w="2257"/>
            <w:tcMar>
              <w:top w:w="70" w:type="dxa"/>
              <w:bottom w:w="70" w:type="dxa"/>
              <w:left w:w="100" w:type="dxa"/>
              <w:right w:w="100" w:type="dxa"/>
            </w:tcMar>
          </w:tcPr>
          <w:p>
            <w:r>
              <w:rPr>
                <w:sz w:val="18"/>
              </w:rPr>
              <w:t>₹1,00,000 to ₹4,50,00,000</w:t>
            </w:r>
          </w:p>
        </w:tc>
        <w:tc>
          <w:tcPr>
            <w:tcW w:type="dxa" w:w="2257"/>
            <w:tcMar>
              <w:top w:w="70" w:type="dxa"/>
              <w:bottom w:w="70" w:type="dxa"/>
              <w:left w:w="100" w:type="dxa"/>
              <w:right w:w="100" w:type="dxa"/>
            </w:tcMar>
          </w:tcPr>
          <w:p>
            <w:r>
              <w:rPr>
                <w:sz w:val="18"/>
              </w:rPr>
              <w:t>Principal loan amount requested for disbursement.</w:t>
            </w:r>
          </w:p>
        </w:tc>
      </w:tr>
      <w:tr>
        <w:tc>
          <w:tcPr>
            <w:tcW w:type="dxa" w:w="2257"/>
            <w:tcMar>
              <w:top w:w="70" w:type="dxa"/>
              <w:bottom w:w="70" w:type="dxa"/>
              <w:left w:w="100" w:type="dxa"/>
              <w:right w:w="100" w:type="dxa"/>
            </w:tcMar>
          </w:tcPr>
          <w:p>
            <w:r>
              <w:rPr>
                <w:sz w:val="18"/>
              </w:rPr>
              <w:t>loan_term</w:t>
            </w:r>
          </w:p>
        </w:tc>
        <w:tc>
          <w:tcPr>
            <w:tcW w:type="dxa" w:w="2257"/>
            <w:tcMar>
              <w:top w:w="70" w:type="dxa"/>
              <w:bottom w:w="70" w:type="dxa"/>
              <w:left w:w="100" w:type="dxa"/>
              <w:right w:w="100" w:type="dxa"/>
            </w:tcMar>
          </w:tcPr>
          <w:p>
            <w:r>
              <w:rPr>
                <w:sz w:val="18"/>
              </w:rPr>
              <w:t>Numeric</w:t>
            </w:r>
          </w:p>
        </w:tc>
        <w:tc>
          <w:tcPr>
            <w:tcW w:type="dxa" w:w="2257"/>
            <w:tcMar>
              <w:top w:w="70" w:type="dxa"/>
              <w:bottom w:w="70" w:type="dxa"/>
              <w:left w:w="100" w:type="dxa"/>
              <w:right w:w="100" w:type="dxa"/>
            </w:tcMar>
          </w:tcPr>
          <w:p>
            <w:r>
              <w:rPr>
                <w:sz w:val="18"/>
              </w:rPr>
              <w:t>2 to 20 Years</w:t>
            </w:r>
          </w:p>
        </w:tc>
        <w:tc>
          <w:tcPr>
            <w:tcW w:type="dxa" w:w="2257"/>
            <w:tcMar>
              <w:top w:w="70" w:type="dxa"/>
              <w:bottom w:w="70" w:type="dxa"/>
              <w:left w:w="100" w:type="dxa"/>
              <w:right w:w="100" w:type="dxa"/>
            </w:tcMar>
          </w:tcPr>
          <w:p>
            <w:r>
              <w:rPr>
                <w:sz w:val="18"/>
              </w:rPr>
              <w:t>Amortization period / repayment duration.</w:t>
            </w:r>
          </w:p>
        </w:tc>
      </w:tr>
      <w:tr>
        <w:tc>
          <w:tcPr>
            <w:tcW w:type="dxa" w:w="2257"/>
            <w:tcMar>
              <w:top w:w="70" w:type="dxa"/>
              <w:bottom w:w="70" w:type="dxa"/>
              <w:left w:w="100" w:type="dxa"/>
              <w:right w:w="100" w:type="dxa"/>
            </w:tcMar>
          </w:tcPr>
          <w:p>
            <w:r>
              <w:rPr>
                <w:sz w:val="18"/>
              </w:rPr>
              <w:t>cibil_score</w:t>
            </w:r>
          </w:p>
        </w:tc>
        <w:tc>
          <w:tcPr>
            <w:tcW w:type="dxa" w:w="2257"/>
            <w:tcMar>
              <w:top w:w="70" w:type="dxa"/>
              <w:bottom w:w="70" w:type="dxa"/>
              <w:left w:w="100" w:type="dxa"/>
              <w:right w:w="100" w:type="dxa"/>
            </w:tcMar>
          </w:tcPr>
          <w:p>
            <w:r>
              <w:rPr>
                <w:sz w:val="18"/>
              </w:rPr>
              <w:t>Integer</w:t>
            </w:r>
          </w:p>
        </w:tc>
        <w:tc>
          <w:tcPr>
            <w:tcW w:type="dxa" w:w="2257"/>
            <w:tcMar>
              <w:top w:w="70" w:type="dxa"/>
              <w:bottom w:w="70" w:type="dxa"/>
              <w:left w:w="100" w:type="dxa"/>
              <w:right w:w="100" w:type="dxa"/>
            </w:tcMar>
          </w:tcPr>
          <w:p>
            <w:r>
              <w:rPr>
                <w:sz w:val="18"/>
              </w:rPr>
              <w:t>300 to 900</w:t>
            </w:r>
          </w:p>
        </w:tc>
        <w:tc>
          <w:tcPr>
            <w:tcW w:type="dxa" w:w="2257"/>
            <w:tcMar>
              <w:top w:w="70" w:type="dxa"/>
              <w:bottom w:w="70" w:type="dxa"/>
              <w:left w:w="100" w:type="dxa"/>
              <w:right w:w="100" w:type="dxa"/>
            </w:tcMar>
          </w:tcPr>
          <w:p>
            <w:r>
              <w:rPr>
                <w:sz w:val="18"/>
              </w:rPr>
              <w:t>Credit Bureau score tracking repayment discipline.</w:t>
            </w:r>
          </w:p>
        </w:tc>
      </w:tr>
      <w:tr>
        <w:tc>
          <w:tcPr>
            <w:tcW w:type="dxa" w:w="2257"/>
            <w:tcMar>
              <w:top w:w="70" w:type="dxa"/>
              <w:bottom w:w="70" w:type="dxa"/>
              <w:left w:w="100" w:type="dxa"/>
              <w:right w:w="100" w:type="dxa"/>
            </w:tcMar>
          </w:tcPr>
          <w:p>
            <w:r>
              <w:rPr>
                <w:sz w:val="18"/>
              </w:rPr>
              <w:t>residential_assets_value</w:t>
            </w:r>
          </w:p>
        </w:tc>
        <w:tc>
          <w:tcPr>
            <w:tcW w:type="dxa" w:w="2257"/>
            <w:tcMar>
              <w:top w:w="70" w:type="dxa"/>
              <w:bottom w:w="70" w:type="dxa"/>
              <w:left w:w="100" w:type="dxa"/>
              <w:right w:w="100" w:type="dxa"/>
            </w:tcMar>
          </w:tcPr>
          <w:p>
            <w:r>
              <w:rPr>
                <w:sz w:val="18"/>
              </w:rPr>
              <w:t>Numeric</w:t>
            </w:r>
          </w:p>
        </w:tc>
        <w:tc>
          <w:tcPr>
            <w:tcW w:type="dxa" w:w="2257"/>
            <w:tcMar>
              <w:top w:w="70" w:type="dxa"/>
              <w:bottom w:w="70" w:type="dxa"/>
              <w:left w:w="100" w:type="dxa"/>
              <w:right w:w="100" w:type="dxa"/>
            </w:tcMar>
          </w:tcPr>
          <w:p>
            <w:r>
              <w:rPr>
                <w:sz w:val="18"/>
              </w:rPr>
              <w:t>₹0 to ₹3,00,00,000</w:t>
            </w:r>
          </w:p>
        </w:tc>
        <w:tc>
          <w:tcPr>
            <w:tcW w:type="dxa" w:w="2257"/>
            <w:tcMar>
              <w:top w:w="70" w:type="dxa"/>
              <w:bottom w:w="70" w:type="dxa"/>
              <w:left w:w="100" w:type="dxa"/>
              <w:right w:w="100" w:type="dxa"/>
            </w:tcMar>
          </w:tcPr>
          <w:p>
            <w:r>
              <w:rPr>
                <w:sz w:val="18"/>
              </w:rPr>
              <w:t>Market valuation of residential real estate collateral.</w:t>
            </w:r>
          </w:p>
        </w:tc>
      </w:tr>
      <w:tr>
        <w:tc>
          <w:tcPr>
            <w:tcW w:type="dxa" w:w="2257"/>
            <w:tcMar>
              <w:top w:w="70" w:type="dxa"/>
              <w:bottom w:w="70" w:type="dxa"/>
              <w:left w:w="100" w:type="dxa"/>
              <w:right w:w="100" w:type="dxa"/>
            </w:tcMar>
          </w:tcPr>
          <w:p>
            <w:r>
              <w:rPr>
                <w:sz w:val="18"/>
              </w:rPr>
              <w:t>commercial_assets_value</w:t>
            </w:r>
          </w:p>
        </w:tc>
        <w:tc>
          <w:tcPr>
            <w:tcW w:type="dxa" w:w="2257"/>
            <w:tcMar>
              <w:top w:w="70" w:type="dxa"/>
              <w:bottom w:w="70" w:type="dxa"/>
              <w:left w:w="100" w:type="dxa"/>
              <w:right w:w="100" w:type="dxa"/>
            </w:tcMar>
          </w:tcPr>
          <w:p>
            <w:r>
              <w:rPr>
                <w:sz w:val="18"/>
              </w:rPr>
              <w:t>Numeric</w:t>
            </w:r>
          </w:p>
        </w:tc>
        <w:tc>
          <w:tcPr>
            <w:tcW w:type="dxa" w:w="2257"/>
            <w:tcMar>
              <w:top w:w="70" w:type="dxa"/>
              <w:bottom w:w="70" w:type="dxa"/>
              <w:left w:w="100" w:type="dxa"/>
              <w:right w:w="100" w:type="dxa"/>
            </w:tcMar>
          </w:tcPr>
          <w:p>
            <w:r>
              <w:rPr>
                <w:sz w:val="18"/>
              </w:rPr>
              <w:t>₹0 to ₹2,50,00,000</w:t>
            </w:r>
          </w:p>
        </w:tc>
        <w:tc>
          <w:tcPr>
            <w:tcW w:type="dxa" w:w="2257"/>
            <w:tcMar>
              <w:top w:w="70" w:type="dxa"/>
              <w:bottom w:w="70" w:type="dxa"/>
              <w:left w:w="100" w:type="dxa"/>
              <w:right w:w="100" w:type="dxa"/>
            </w:tcMar>
          </w:tcPr>
          <w:p>
            <w:r>
              <w:rPr>
                <w:sz w:val="18"/>
              </w:rPr>
              <w:t>Market valuation of commercial offices / real estate.</w:t>
            </w:r>
          </w:p>
        </w:tc>
      </w:tr>
      <w:tr>
        <w:tc>
          <w:tcPr>
            <w:tcW w:type="dxa" w:w="2257"/>
            <w:tcMar>
              <w:top w:w="70" w:type="dxa"/>
              <w:bottom w:w="70" w:type="dxa"/>
              <w:left w:w="100" w:type="dxa"/>
              <w:right w:w="100" w:type="dxa"/>
            </w:tcMar>
          </w:tcPr>
          <w:p>
            <w:r>
              <w:rPr>
                <w:sz w:val="18"/>
              </w:rPr>
              <w:t>luxury_assets_value</w:t>
            </w:r>
          </w:p>
        </w:tc>
        <w:tc>
          <w:tcPr>
            <w:tcW w:type="dxa" w:w="2257"/>
            <w:tcMar>
              <w:top w:w="70" w:type="dxa"/>
              <w:bottom w:w="70" w:type="dxa"/>
              <w:left w:w="100" w:type="dxa"/>
              <w:right w:w="100" w:type="dxa"/>
            </w:tcMar>
          </w:tcPr>
          <w:p>
            <w:r>
              <w:rPr>
                <w:sz w:val="18"/>
              </w:rPr>
              <w:t>Numeric</w:t>
            </w:r>
          </w:p>
        </w:tc>
        <w:tc>
          <w:tcPr>
            <w:tcW w:type="dxa" w:w="2257"/>
            <w:tcMar>
              <w:top w:w="70" w:type="dxa"/>
              <w:bottom w:w="70" w:type="dxa"/>
              <w:left w:w="100" w:type="dxa"/>
              <w:right w:w="100" w:type="dxa"/>
            </w:tcMar>
          </w:tcPr>
          <w:p>
            <w:r>
              <w:rPr>
                <w:sz w:val="18"/>
              </w:rPr>
              <w:t>₹1,00,000 to ₹2,00,00,000</w:t>
            </w:r>
          </w:p>
        </w:tc>
        <w:tc>
          <w:tcPr>
            <w:tcW w:type="dxa" w:w="2257"/>
            <w:tcMar>
              <w:top w:w="70" w:type="dxa"/>
              <w:bottom w:w="70" w:type="dxa"/>
              <w:left w:w="100" w:type="dxa"/>
              <w:right w:w="100" w:type="dxa"/>
            </w:tcMar>
          </w:tcPr>
          <w:p>
            <w:r>
              <w:rPr>
                <w:sz w:val="18"/>
              </w:rPr>
              <w:t>Market valuation of vehicles, gold, jewellery, art.</w:t>
            </w:r>
          </w:p>
        </w:tc>
      </w:tr>
      <w:tr>
        <w:tc>
          <w:tcPr>
            <w:tcW w:type="dxa" w:w="2257"/>
            <w:tcMar>
              <w:top w:w="70" w:type="dxa"/>
              <w:bottom w:w="70" w:type="dxa"/>
              <w:left w:w="100" w:type="dxa"/>
              <w:right w:w="100" w:type="dxa"/>
            </w:tcMar>
          </w:tcPr>
          <w:p>
            <w:r>
              <w:rPr>
                <w:sz w:val="18"/>
              </w:rPr>
              <w:t>bank_asset_value</w:t>
            </w:r>
          </w:p>
        </w:tc>
        <w:tc>
          <w:tcPr>
            <w:tcW w:type="dxa" w:w="2257"/>
            <w:tcMar>
              <w:top w:w="70" w:type="dxa"/>
              <w:bottom w:w="70" w:type="dxa"/>
              <w:left w:w="100" w:type="dxa"/>
              <w:right w:w="100" w:type="dxa"/>
            </w:tcMar>
          </w:tcPr>
          <w:p>
            <w:r>
              <w:rPr>
                <w:sz w:val="18"/>
              </w:rPr>
              <w:t>Numeric</w:t>
            </w:r>
          </w:p>
        </w:tc>
        <w:tc>
          <w:tcPr>
            <w:tcW w:type="dxa" w:w="2257"/>
            <w:tcMar>
              <w:top w:w="70" w:type="dxa"/>
              <w:bottom w:w="70" w:type="dxa"/>
              <w:left w:w="100" w:type="dxa"/>
              <w:right w:w="100" w:type="dxa"/>
            </w:tcMar>
          </w:tcPr>
          <w:p>
            <w:r>
              <w:rPr>
                <w:sz w:val="18"/>
              </w:rPr>
              <w:t>₹50,000 to ₹1,80,00,000</w:t>
            </w:r>
          </w:p>
        </w:tc>
        <w:tc>
          <w:tcPr>
            <w:tcW w:type="dxa" w:w="2257"/>
            <w:tcMar>
              <w:top w:w="70" w:type="dxa"/>
              <w:bottom w:w="70" w:type="dxa"/>
              <w:left w:w="100" w:type="dxa"/>
              <w:right w:w="100" w:type="dxa"/>
            </w:tcMar>
          </w:tcPr>
          <w:p>
            <w:r>
              <w:rPr>
                <w:sz w:val="18"/>
              </w:rPr>
              <w:t>Liquid bank balances, savings, and fixed deposits.</w:t>
            </w:r>
          </w:p>
        </w:tc>
      </w:tr>
      <w:tr>
        <w:tc>
          <w:tcPr>
            <w:tcW w:type="dxa" w:w="2257"/>
            <w:tcMar>
              <w:top w:w="70" w:type="dxa"/>
              <w:bottom w:w="70" w:type="dxa"/>
              <w:left w:w="100" w:type="dxa"/>
              <w:right w:w="100" w:type="dxa"/>
            </w:tcMar>
          </w:tcPr>
          <w:p>
            <w:r>
              <w:rPr>
                <w:sz w:val="18"/>
              </w:rPr>
              <w:t>loan_status (Target)</w:t>
            </w:r>
          </w:p>
        </w:tc>
        <w:tc>
          <w:tcPr>
            <w:tcW w:type="dxa" w:w="2257"/>
            <w:tcMar>
              <w:top w:w="70" w:type="dxa"/>
              <w:bottom w:w="70" w:type="dxa"/>
              <w:left w:w="100" w:type="dxa"/>
              <w:right w:w="100" w:type="dxa"/>
            </w:tcMar>
          </w:tcPr>
          <w:p>
            <w:r>
              <w:rPr>
                <w:sz w:val="18"/>
              </w:rPr>
              <w:t>Categorical</w:t>
            </w:r>
          </w:p>
        </w:tc>
        <w:tc>
          <w:tcPr>
            <w:tcW w:type="dxa" w:w="2257"/>
            <w:tcMar>
              <w:top w:w="70" w:type="dxa"/>
              <w:bottom w:w="70" w:type="dxa"/>
              <w:left w:w="100" w:type="dxa"/>
              <w:right w:w="100" w:type="dxa"/>
            </w:tcMar>
          </w:tcPr>
          <w:p>
            <w:r>
              <w:rPr>
                <w:sz w:val="18"/>
              </w:rPr>
              <w:t>Approved (1) / Rejected (0)</w:t>
            </w:r>
          </w:p>
        </w:tc>
        <w:tc>
          <w:tcPr>
            <w:tcW w:type="dxa" w:w="2257"/>
            <w:tcMar>
              <w:top w:w="70" w:type="dxa"/>
              <w:bottom w:w="70" w:type="dxa"/>
              <w:left w:w="100" w:type="dxa"/>
              <w:right w:w="100" w:type="dxa"/>
            </w:tcMar>
          </w:tcPr>
          <w:p>
            <w:r>
              <w:rPr>
                <w:sz w:val="18"/>
              </w:rPr>
              <w:t>Ground truth underwriting outcome.</w:t>
            </w:r>
          </w:p>
        </w:tc>
      </w:tr>
    </w:tbl>
    <w:p>
      <w:pPr>
        <w:spacing w:after="160"/>
      </w:pPr>
    </w:p>
    <w:p>
      <w:pPr>
        <w:pStyle w:val="Heading1"/>
        <w:keepNext/>
        <w:spacing w:before="280" w:after="80"/>
      </w:pPr>
      <w:r>
        <w:rPr>
          <w:color w:val="1E3A8A"/>
          <w:sz w:val="28"/>
        </w:rPr>
        <w:t>4. Mathematical Formulations &amp; Feature Engineering</w:t>
      </w:r>
    </w:p>
    <w:p>
      <w:pPr>
        <w:spacing w:line="276" w:lineRule="auto"/>
      </w:pPr>
      <w:r>
        <w:t>To elevate the system to institutional banking standards, our data processor pipeline synthesizes four high-impact financial ratios:</w:t>
        <w:br/>
        <w:br/>
        <w:t>1. Total Collateral Assets (Assets_total):</w:t>
        <w:br/>
        <w:t xml:space="preserve">   Assets_total = Assets_residential + Assets_commercial + Assets_luxury + Assets_bank</w:t>
        <w:br/>
        <w:br/>
        <w:t>2. Asset Coverage Ratio (ACR) — Solvency &amp; Recovery Metric:</w:t>
        <w:br/>
        <w:t xml:space="preserve">   ACR = Assets_total / (Loan_Amount + 1)</w:t>
        <w:br/>
        <w:t xml:space="preserve">   Significance: If ACR &gt; 1.5, the loan is backed by 150%+ collateral coverage. Upon default, the bank can recover 100% of the loan principal through collateral liquidation.</w:t>
        <w:br/>
        <w:br/>
        <w:t>3. Debt-to-Income Ratio (DTI) — Liquidity &amp; Cash Flow Metric:</w:t>
        <w:br/>
        <w:t xml:space="preserve">   Annual Debt Service = Loan_Amount / Loan_Term</w:t>
        <w:br/>
        <w:t xml:space="preserve">   DTI = Annual Debt Service / (Income_Annum + 1)</w:t>
        <w:br/>
        <w:t xml:space="preserve">   Significance: In commercial credit, a DTI &gt; 0.45 indicates severe cash flow vulnerability, where loan EMIs consume an excessive portion of gross income.</w:t>
        <w:br/>
        <w:br/>
        <w:t>4. Loan-to-Income Ratio (LTI) — Financial Leverage Multiplier:</w:t>
        <w:br/>
        <w:t xml:space="preserve">   LTI = Loan_Amount / (Income_Annum + 1)</w:t>
        <w:br/>
        <w:t xml:space="preserve">   Significance: Multiplier measuring how many years of gross salary the requested loan represents.</w:t>
      </w:r>
    </w:p>
    <w:p>
      <w:pPr>
        <w:pStyle w:val="Heading1"/>
        <w:keepNext/>
        <w:spacing w:before="280" w:after="80"/>
      </w:pPr>
      <w:r>
        <w:rPr>
          <w:color w:val="1E3A8A"/>
          <w:sz w:val="28"/>
        </w:rPr>
        <w:t>5. Machine Learning Models &amp; Mathematical Functions</w:t>
      </w:r>
    </w:p>
    <w:p>
      <w:pPr>
        <w:spacing w:line="276" w:lineRule="auto"/>
      </w:pPr>
      <w:r>
        <w:t>The system evaluates four distinct supervised classification architectures:</w:t>
        <w:br/>
        <w:br/>
        <w:t>• Logistic Regression (Linear Probabilistic Model):</w:t>
        <w:br/>
        <w:t xml:space="preserve">  Maps linear feature combinations through the Sigmoid function: P(Approved | x) = 1 / (1 + e^(-z)), where z = w^T * x + b.   Trained by minimizing Binary Cross-Entropy (Log Loss). Provides regulatory transparency and calibrated odds ratios.</w:t>
        <w:br/>
        <w:br/>
        <w:t>• Decision Tree Classifier (Non-linear Hierarchical Split):</w:t>
        <w:br/>
        <w:t xml:space="preserve">  Constructs binary decision splits using Gini Impurity: Gini(p) = 1 - sum(p_k^2).   Maximizes Information Gain to produce transparent threshold rules.</w:t>
        <w:br/>
        <w:br/>
        <w:t>• Random Forest Classifier (Bagging Ensemble of 120 Trees):</w:t>
        <w:br/>
        <w:t xml:space="preserve">  Fits 120 decorrelated decision trees on bootstrap subsets of the training data with random feature selection.   Averages tree outputs: P_RF = (1/B) * sum(P_b). Drastically suppresses variance and handles collinear asset valuations.</w:t>
        <w:br/>
        <w:br/>
        <w:t>• Gradient Boosting Classifier (Sequential Residual Minimization):</w:t>
        <w:br/>
        <w:t xml:space="preserve">  Iteratively builds shallow decision trees where each new learner fits to the negative gradient (pseudo-residuals) of the preceding loss.   Delivers benchmark classification power on tabular structured data.</w:t>
      </w:r>
    </w:p>
    <w:p>
      <w:pPr>
        <w:pStyle w:val="Heading1"/>
        <w:keepNext/>
        <w:spacing w:before="280" w:after="80"/>
      </w:pPr>
      <w:r>
        <w:rPr>
          <w:color w:val="1E3A8A"/>
          <w:sz w:val="28"/>
        </w:rPr>
        <w:t>6. Testing, Evaluation &amp; Empirical Results</w:t>
      </w:r>
    </w:p>
    <w:p>
      <w:pPr>
        <w:spacing w:line="276" w:lineRule="auto"/>
      </w:pPr>
      <w:r>
        <w:t>Testing Methodology: An 80/20 Stratified Train-Test Split was executed (3,415 training records, 854 holdout test records), preserving the natural 74:26 class ratio. The models were evaluated using Accuracy, Precision, Recall, F1-Score, and ROC-AUC.</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val="clear" w:color="auto" w:fill="1E3A8A"/>
            <w:tcMar>
              <w:top w:w="100" w:type="dxa"/>
              <w:bottom w:w="100" w:type="dxa"/>
              <w:left w:w="120" w:type="dxa"/>
              <w:right w:w="120" w:type="dxa"/>
            </w:tcMar>
          </w:tcPr>
          <w:p>
            <w:r>
              <w:rPr>
                <w:b/>
                <w:color w:val="FFFFFF"/>
                <w:sz w:val="19"/>
              </w:rPr>
              <w:t>Model Algorithm</w:t>
            </w:r>
          </w:p>
        </w:tc>
        <w:tc>
          <w:tcPr>
            <w:tcW w:type="dxa" w:w="1505"/>
            <w:shd w:val="clear" w:color="auto" w:fill="1E3A8A"/>
            <w:tcMar>
              <w:top w:w="100" w:type="dxa"/>
              <w:bottom w:w="100" w:type="dxa"/>
              <w:left w:w="120" w:type="dxa"/>
              <w:right w:w="120" w:type="dxa"/>
            </w:tcMar>
          </w:tcPr>
          <w:p>
            <w:r>
              <w:rPr>
                <w:b/>
                <w:color w:val="FFFFFF"/>
                <w:sz w:val="19"/>
              </w:rPr>
              <w:t>Accuracy</w:t>
            </w:r>
          </w:p>
        </w:tc>
        <w:tc>
          <w:tcPr>
            <w:tcW w:type="dxa" w:w="1505"/>
            <w:shd w:val="clear" w:color="auto" w:fill="1E3A8A"/>
            <w:tcMar>
              <w:top w:w="100" w:type="dxa"/>
              <w:bottom w:w="100" w:type="dxa"/>
              <w:left w:w="120" w:type="dxa"/>
              <w:right w:w="120" w:type="dxa"/>
            </w:tcMar>
          </w:tcPr>
          <w:p>
            <w:r>
              <w:rPr>
                <w:b/>
                <w:color w:val="FFFFFF"/>
                <w:sz w:val="19"/>
              </w:rPr>
              <w:t>Precision</w:t>
            </w:r>
          </w:p>
        </w:tc>
        <w:tc>
          <w:tcPr>
            <w:tcW w:type="dxa" w:w="1505"/>
            <w:shd w:val="clear" w:color="auto" w:fill="1E3A8A"/>
            <w:tcMar>
              <w:top w:w="100" w:type="dxa"/>
              <w:bottom w:w="100" w:type="dxa"/>
              <w:left w:w="120" w:type="dxa"/>
              <w:right w:w="120" w:type="dxa"/>
            </w:tcMar>
          </w:tcPr>
          <w:p>
            <w:r>
              <w:rPr>
                <w:b/>
                <w:color w:val="FFFFFF"/>
                <w:sz w:val="19"/>
              </w:rPr>
              <w:t>Recall</w:t>
            </w:r>
          </w:p>
        </w:tc>
        <w:tc>
          <w:tcPr>
            <w:tcW w:type="dxa" w:w="1505"/>
            <w:shd w:val="clear" w:color="auto" w:fill="1E3A8A"/>
            <w:tcMar>
              <w:top w:w="100" w:type="dxa"/>
              <w:bottom w:w="100" w:type="dxa"/>
              <w:left w:w="120" w:type="dxa"/>
              <w:right w:w="120" w:type="dxa"/>
            </w:tcMar>
          </w:tcPr>
          <w:p>
            <w:r>
              <w:rPr>
                <w:b/>
                <w:color w:val="FFFFFF"/>
                <w:sz w:val="19"/>
              </w:rPr>
              <w:t>F1-Score</w:t>
            </w:r>
          </w:p>
        </w:tc>
        <w:tc>
          <w:tcPr>
            <w:tcW w:type="dxa" w:w="1505"/>
            <w:shd w:val="clear" w:color="auto" w:fill="1E3A8A"/>
            <w:tcMar>
              <w:top w:w="100" w:type="dxa"/>
              <w:bottom w:w="100" w:type="dxa"/>
              <w:left w:w="120" w:type="dxa"/>
              <w:right w:w="120" w:type="dxa"/>
            </w:tcMar>
          </w:tcPr>
          <w:p>
            <w:r>
              <w:rPr>
                <w:b/>
                <w:color w:val="FFFFFF"/>
                <w:sz w:val="19"/>
              </w:rPr>
              <w:t>ROC-AUC</w:t>
            </w:r>
          </w:p>
        </w:tc>
      </w:tr>
      <w:tr>
        <w:tc>
          <w:tcPr>
            <w:tcW w:type="dxa" w:w="1505"/>
            <w:tcMar>
              <w:top w:w="70" w:type="dxa"/>
              <w:bottom w:w="70" w:type="dxa"/>
              <w:left w:w="100" w:type="dxa"/>
              <w:right w:w="100" w:type="dxa"/>
            </w:tcMar>
          </w:tcPr>
          <w:p>
            <w:r>
              <w:rPr>
                <w:b/>
                <w:sz w:val="18"/>
              </w:rPr>
              <w:t>Logistic Regression</w:t>
            </w:r>
          </w:p>
        </w:tc>
        <w:tc>
          <w:tcPr>
            <w:tcW w:type="dxa" w:w="1505"/>
            <w:tcMar>
              <w:top w:w="70" w:type="dxa"/>
              <w:bottom w:w="70" w:type="dxa"/>
              <w:left w:w="100" w:type="dxa"/>
              <w:right w:w="100" w:type="dxa"/>
            </w:tcMar>
          </w:tcPr>
          <w:p>
            <w:r>
              <w:rPr>
                <w:b/>
                <w:sz w:val="18"/>
              </w:rPr>
              <w:t>96.49%</w:t>
            </w:r>
          </w:p>
        </w:tc>
        <w:tc>
          <w:tcPr>
            <w:tcW w:type="dxa" w:w="1505"/>
            <w:tcMar>
              <w:top w:w="70" w:type="dxa"/>
              <w:bottom w:w="70" w:type="dxa"/>
              <w:left w:w="100" w:type="dxa"/>
              <w:right w:w="100" w:type="dxa"/>
            </w:tcMar>
          </w:tcPr>
          <w:p>
            <w:r>
              <w:rPr>
                <w:sz w:val="18"/>
              </w:rPr>
              <w:t>97.34%</w:t>
            </w:r>
          </w:p>
        </w:tc>
        <w:tc>
          <w:tcPr>
            <w:tcW w:type="dxa" w:w="1505"/>
            <w:tcMar>
              <w:top w:w="70" w:type="dxa"/>
              <w:bottom w:w="70" w:type="dxa"/>
              <w:left w:w="100" w:type="dxa"/>
              <w:right w:w="100" w:type="dxa"/>
            </w:tcMar>
          </w:tcPr>
          <w:p>
            <w:r>
              <w:rPr>
                <w:sz w:val="18"/>
              </w:rPr>
              <w:t>97.95%</w:t>
            </w:r>
          </w:p>
        </w:tc>
        <w:tc>
          <w:tcPr>
            <w:tcW w:type="dxa" w:w="1505"/>
            <w:tcMar>
              <w:top w:w="70" w:type="dxa"/>
              <w:bottom w:w="70" w:type="dxa"/>
              <w:left w:w="100" w:type="dxa"/>
              <w:right w:w="100" w:type="dxa"/>
            </w:tcMar>
          </w:tcPr>
          <w:p>
            <w:r>
              <w:rPr>
                <w:sz w:val="18"/>
              </w:rPr>
              <w:t>97.65%</w:t>
            </w:r>
          </w:p>
        </w:tc>
        <w:tc>
          <w:tcPr>
            <w:tcW w:type="dxa" w:w="1505"/>
            <w:tcMar>
              <w:top w:w="70" w:type="dxa"/>
              <w:bottom w:w="70" w:type="dxa"/>
              <w:left w:w="100" w:type="dxa"/>
              <w:right w:w="100" w:type="dxa"/>
            </w:tcMar>
          </w:tcPr>
          <w:p>
            <w:r>
              <w:rPr>
                <w:sz w:val="18"/>
              </w:rPr>
              <w:t>0.9948</w:t>
            </w:r>
          </w:p>
        </w:tc>
      </w:tr>
      <w:tr>
        <w:tc>
          <w:tcPr>
            <w:tcW w:type="dxa" w:w="1505"/>
            <w:tcMar>
              <w:top w:w="70" w:type="dxa"/>
              <w:bottom w:w="70" w:type="dxa"/>
              <w:left w:w="100" w:type="dxa"/>
              <w:right w:w="100" w:type="dxa"/>
            </w:tcMar>
          </w:tcPr>
          <w:p>
            <w:r>
              <w:rPr>
                <w:b/>
                <w:sz w:val="18"/>
              </w:rPr>
              <w:t>Random Forest</w:t>
            </w:r>
          </w:p>
        </w:tc>
        <w:tc>
          <w:tcPr>
            <w:tcW w:type="dxa" w:w="1505"/>
            <w:tcMar>
              <w:top w:w="70" w:type="dxa"/>
              <w:bottom w:w="70" w:type="dxa"/>
              <w:left w:w="100" w:type="dxa"/>
              <w:right w:w="100" w:type="dxa"/>
            </w:tcMar>
          </w:tcPr>
          <w:p>
            <w:r>
              <w:rPr>
                <w:b/>
                <w:sz w:val="18"/>
              </w:rPr>
              <w:t>95.32%</w:t>
            </w:r>
          </w:p>
        </w:tc>
        <w:tc>
          <w:tcPr>
            <w:tcW w:type="dxa" w:w="1505"/>
            <w:tcMar>
              <w:top w:w="70" w:type="dxa"/>
              <w:bottom w:w="70" w:type="dxa"/>
              <w:left w:w="100" w:type="dxa"/>
              <w:right w:w="100" w:type="dxa"/>
            </w:tcMar>
          </w:tcPr>
          <w:p>
            <w:r>
              <w:rPr>
                <w:sz w:val="18"/>
              </w:rPr>
              <w:t>95.98%</w:t>
            </w:r>
          </w:p>
        </w:tc>
        <w:tc>
          <w:tcPr>
            <w:tcW w:type="dxa" w:w="1505"/>
            <w:tcMar>
              <w:top w:w="70" w:type="dxa"/>
              <w:bottom w:w="70" w:type="dxa"/>
              <w:left w:w="100" w:type="dxa"/>
              <w:right w:w="100" w:type="dxa"/>
            </w:tcMar>
          </w:tcPr>
          <w:p>
            <w:r>
              <w:rPr>
                <w:sz w:val="18"/>
              </w:rPr>
              <w:t>97.80%</w:t>
            </w:r>
          </w:p>
        </w:tc>
        <w:tc>
          <w:tcPr>
            <w:tcW w:type="dxa" w:w="1505"/>
            <w:tcMar>
              <w:top w:w="70" w:type="dxa"/>
              <w:bottom w:w="70" w:type="dxa"/>
              <w:left w:w="100" w:type="dxa"/>
              <w:right w:w="100" w:type="dxa"/>
            </w:tcMar>
          </w:tcPr>
          <w:p>
            <w:r>
              <w:rPr>
                <w:sz w:val="18"/>
              </w:rPr>
              <w:t>96.88%</w:t>
            </w:r>
          </w:p>
        </w:tc>
        <w:tc>
          <w:tcPr>
            <w:tcW w:type="dxa" w:w="1505"/>
            <w:tcMar>
              <w:top w:w="70" w:type="dxa"/>
              <w:bottom w:w="70" w:type="dxa"/>
              <w:left w:w="100" w:type="dxa"/>
              <w:right w:w="100" w:type="dxa"/>
            </w:tcMar>
          </w:tcPr>
          <w:p>
            <w:r>
              <w:rPr>
                <w:sz w:val="18"/>
              </w:rPr>
              <w:t>0.9869</w:t>
            </w:r>
          </w:p>
        </w:tc>
      </w:tr>
      <w:tr>
        <w:tc>
          <w:tcPr>
            <w:tcW w:type="dxa" w:w="1505"/>
            <w:tcMar>
              <w:top w:w="70" w:type="dxa"/>
              <w:bottom w:w="70" w:type="dxa"/>
              <w:left w:w="100" w:type="dxa"/>
              <w:right w:w="100" w:type="dxa"/>
            </w:tcMar>
          </w:tcPr>
          <w:p>
            <w:r>
              <w:rPr>
                <w:b/>
                <w:sz w:val="18"/>
              </w:rPr>
              <w:t>Gradient Boosting</w:t>
            </w:r>
          </w:p>
        </w:tc>
        <w:tc>
          <w:tcPr>
            <w:tcW w:type="dxa" w:w="1505"/>
            <w:tcMar>
              <w:top w:w="70" w:type="dxa"/>
              <w:bottom w:w="70" w:type="dxa"/>
              <w:left w:w="100" w:type="dxa"/>
              <w:right w:w="100" w:type="dxa"/>
            </w:tcMar>
          </w:tcPr>
          <w:p>
            <w:r>
              <w:rPr>
                <w:b/>
                <w:sz w:val="18"/>
              </w:rPr>
              <w:t>95.08%</w:t>
            </w:r>
          </w:p>
        </w:tc>
        <w:tc>
          <w:tcPr>
            <w:tcW w:type="dxa" w:w="1505"/>
            <w:tcMar>
              <w:top w:w="70" w:type="dxa"/>
              <w:bottom w:w="70" w:type="dxa"/>
              <w:left w:w="100" w:type="dxa"/>
              <w:right w:w="100" w:type="dxa"/>
            </w:tcMar>
          </w:tcPr>
          <w:p>
            <w:r>
              <w:rPr>
                <w:sz w:val="18"/>
              </w:rPr>
              <w:t>96.55%</w:t>
            </w:r>
          </w:p>
        </w:tc>
        <w:tc>
          <w:tcPr>
            <w:tcW w:type="dxa" w:w="1505"/>
            <w:tcMar>
              <w:top w:w="70" w:type="dxa"/>
              <w:bottom w:w="70" w:type="dxa"/>
              <w:left w:w="100" w:type="dxa"/>
              <w:right w:w="100" w:type="dxa"/>
            </w:tcMar>
          </w:tcPr>
          <w:p>
            <w:r>
              <w:rPr>
                <w:sz w:val="18"/>
              </w:rPr>
              <w:t>96.85%</w:t>
            </w:r>
          </w:p>
        </w:tc>
        <w:tc>
          <w:tcPr>
            <w:tcW w:type="dxa" w:w="1505"/>
            <w:tcMar>
              <w:top w:w="70" w:type="dxa"/>
              <w:bottom w:w="70" w:type="dxa"/>
              <w:left w:w="100" w:type="dxa"/>
              <w:right w:w="100" w:type="dxa"/>
            </w:tcMar>
          </w:tcPr>
          <w:p>
            <w:r>
              <w:rPr>
                <w:sz w:val="18"/>
              </w:rPr>
              <w:t>96.70%</w:t>
            </w:r>
          </w:p>
        </w:tc>
        <w:tc>
          <w:tcPr>
            <w:tcW w:type="dxa" w:w="1505"/>
            <w:tcMar>
              <w:top w:w="70" w:type="dxa"/>
              <w:bottom w:w="70" w:type="dxa"/>
              <w:left w:w="100" w:type="dxa"/>
              <w:right w:w="100" w:type="dxa"/>
            </w:tcMar>
          </w:tcPr>
          <w:p>
            <w:r>
              <w:rPr>
                <w:sz w:val="18"/>
              </w:rPr>
              <w:t>0.9907</w:t>
            </w:r>
          </w:p>
        </w:tc>
      </w:tr>
      <w:tr>
        <w:tc>
          <w:tcPr>
            <w:tcW w:type="dxa" w:w="1505"/>
            <w:tcMar>
              <w:top w:w="70" w:type="dxa"/>
              <w:bottom w:w="70" w:type="dxa"/>
              <w:left w:w="100" w:type="dxa"/>
              <w:right w:w="100" w:type="dxa"/>
            </w:tcMar>
          </w:tcPr>
          <w:p>
            <w:r>
              <w:rPr>
                <w:b/>
                <w:sz w:val="18"/>
              </w:rPr>
              <w:t>Decision Tree</w:t>
            </w:r>
          </w:p>
        </w:tc>
        <w:tc>
          <w:tcPr>
            <w:tcW w:type="dxa" w:w="1505"/>
            <w:tcMar>
              <w:top w:w="70" w:type="dxa"/>
              <w:bottom w:w="70" w:type="dxa"/>
              <w:left w:w="100" w:type="dxa"/>
              <w:right w:w="100" w:type="dxa"/>
            </w:tcMar>
          </w:tcPr>
          <w:p>
            <w:r>
              <w:rPr>
                <w:b/>
                <w:sz w:val="18"/>
              </w:rPr>
              <w:t>92.86%</w:t>
            </w:r>
          </w:p>
        </w:tc>
        <w:tc>
          <w:tcPr>
            <w:tcW w:type="dxa" w:w="1505"/>
            <w:tcMar>
              <w:top w:w="70" w:type="dxa"/>
              <w:bottom w:w="70" w:type="dxa"/>
              <w:left w:w="100" w:type="dxa"/>
              <w:right w:w="100" w:type="dxa"/>
            </w:tcMar>
          </w:tcPr>
          <w:p>
            <w:r>
              <w:rPr>
                <w:sz w:val="18"/>
              </w:rPr>
              <w:t>93.88%</w:t>
            </w:r>
          </w:p>
        </w:tc>
        <w:tc>
          <w:tcPr>
            <w:tcW w:type="dxa" w:w="1505"/>
            <w:tcMar>
              <w:top w:w="70" w:type="dxa"/>
              <w:bottom w:w="70" w:type="dxa"/>
              <w:left w:w="100" w:type="dxa"/>
              <w:right w:w="100" w:type="dxa"/>
            </w:tcMar>
          </w:tcPr>
          <w:p>
            <w:r>
              <w:rPr>
                <w:sz w:val="18"/>
              </w:rPr>
              <w:t>96.69%</w:t>
            </w:r>
          </w:p>
        </w:tc>
        <w:tc>
          <w:tcPr>
            <w:tcW w:type="dxa" w:w="1505"/>
            <w:tcMar>
              <w:top w:w="70" w:type="dxa"/>
              <w:bottom w:w="70" w:type="dxa"/>
              <w:left w:w="100" w:type="dxa"/>
              <w:right w:w="100" w:type="dxa"/>
            </w:tcMar>
          </w:tcPr>
          <w:p>
            <w:r>
              <w:rPr>
                <w:sz w:val="18"/>
              </w:rPr>
              <w:t>95.27%</w:t>
            </w:r>
          </w:p>
        </w:tc>
        <w:tc>
          <w:tcPr>
            <w:tcW w:type="dxa" w:w="1505"/>
            <w:tcMar>
              <w:top w:w="70" w:type="dxa"/>
              <w:bottom w:w="70" w:type="dxa"/>
              <w:left w:w="100" w:type="dxa"/>
              <w:right w:w="100" w:type="dxa"/>
            </w:tcMar>
          </w:tcPr>
          <w:p>
            <w:r>
              <w:rPr>
                <w:sz w:val="18"/>
              </w:rPr>
              <w:t>0.9170</w:t>
            </w:r>
          </w:p>
        </w:tc>
      </w:tr>
    </w:tbl>
    <w:p>
      <w:pPr>
        <w:spacing w:after="160"/>
      </w:pPr>
    </w:p>
    <w:p>
      <w:pPr>
        <w:spacing w:line="276" w:lineRule="auto"/>
      </w:pPr>
      <w:r>
        <w:t>Feature Importance Ranking (Random Forest):</w:t>
        <w:br/>
        <w:t>• CIBIL / Credit Bureau Score: 32.4% relative importance (strongest predictor of repayment discipline).</w:t>
        <w:br/>
        <w:t>• Asset Coverage Ratio (ACR): 17.8% (collateral solvency buffer).</w:t>
        <w:br/>
        <w:t>• Debt-to-Income Ratio (DTI): 14.1% (annual repayment cash flow stress).</w:t>
        <w:br/>
        <w:t>• Loan-to-Income (LTI): 11.6% (borrower financial leverage).</w:t>
        <w:br/>
        <w:t>• Bank Liquid Assets &amp; Income: 13.5% (immediate cash cushion).</w:t>
        <w:br/>
        <w:t>• Demographics (Dependents, Education, Employment): 10.6%.</w:t>
      </w:r>
    </w:p>
    <w:p>
      <w:pPr>
        <w:pStyle w:val="Heading1"/>
        <w:keepNext/>
        <w:spacing w:before="280" w:after="80"/>
      </w:pPr>
      <w:r>
        <w:rPr>
          <w:color w:val="1E3A8A"/>
          <w:sz w:val="28"/>
        </w:rPr>
        <w:t>7. Financial Flow Management &amp; Error Asymmetry Analysis</w:t>
      </w:r>
    </w:p>
    <w:p>
      <w:pPr>
        <w:spacing w:line="276" w:lineRule="auto"/>
      </w:pPr>
      <w:r>
        <w:t>In retail and commercial banking, managing financial flow requires balancing capital deployment against credit default hazard:</w:t>
        <w:br/>
        <w:br/>
        <w:t>• Type I Error (False Negative — Rejecting a Creditworthy Applicant):</w:t>
        <w:br/>
        <w:t xml:space="preserve">  Financial Impact: The bank forfeits the Net Interest Margin (typically 3–4% annual margin over the tenure). However, the principal is completely preserved.</w:t>
        <w:br/>
        <w:br/>
        <w:t>• Type II Error (False Positive — Approving a Defaulter):</w:t>
        <w:br/>
        <w:t xml:space="preserve">  Financial Impact: Catastrophic capital loss. The bank loses up to 100% of the disbursed unpaid principal, necessitating costly legal proceedings and loan loss provisioning.</w:t>
        <w:br/>
        <w:br/>
        <w:t>Because Type II errors cause devastating capital destruction, FinFlow prioritizes high precision (97.34%) and provides an adjustable Risk Cutoff Threshold slider (tau) in the user interface. Financial officers can elevate tau to 0.65 during economic downturns to preserve liquidity, or lower tau to 0.45 during expansionary cycles to capture market share.</w:t>
      </w:r>
    </w:p>
    <w:p>
      <w:pPr>
        <w:pStyle w:val="Heading1"/>
        <w:keepNext/>
        <w:spacing w:before="280" w:after="80"/>
      </w:pPr>
      <w:r>
        <w:rPr>
          <w:color w:val="1E3A8A"/>
          <w:sz w:val="28"/>
        </w:rPr>
        <w:t>8. Full-Stack Web Application Architecture</w:t>
      </w:r>
    </w:p>
    <w:p>
      <w:pPr>
        <w:spacing w:line="276" w:lineRule="auto"/>
      </w:pPr>
      <w:r>
        <w:t>The application is built using Streamlit and features six modular operational dashboards:</w:t>
        <w:br/>
        <w:t>1. Executive Dashboard: High-level KPI summary (Approval Rate, Approved Capital in ₹ Crores, CIBIL distributions, and collateral breakdown).</w:t>
        <w:br/>
        <w:t>2. Exploratory Data Analysis (EDA): Interactive multidimensional filtering by education, employment, and loan tenure, featuring correlation heatmaps and boxplots.</w:t>
        <w:br/>
        <w:t>3. Real-Time Underwriter: Instant single-applicant evaluator computing solvency ratios on the fly, rendering an animated probability gauge meter, and generating customized underwriting notes.</w:t>
        <w:br/>
        <w:t>4. Batch Loan Screening: Automated bulk CSV evaluation processing multiple applicants in milliseconds with risk-tier classification and CSV export.</w:t>
        <w:br/>
        <w:t>5. Model Performance Hub: Live benchmark leaderboard, interactive ROC curves, confusion matrix visualizer, and feature importance rankings.</w:t>
        <w:br/>
        <w:t>6. Project Academic Report: Embedded documentation, system architecture diagrams, and viva voce defense questions.</w:t>
      </w:r>
    </w:p>
    <w:p>
      <w:pPr>
        <w:pStyle w:val="Heading1"/>
        <w:keepNext/>
        <w:spacing w:before="280" w:after="80"/>
      </w:pPr>
      <w:r>
        <w:rPr>
          <w:color w:val="1E3A8A"/>
          <w:sz w:val="28"/>
        </w:rPr>
        <w:t>9. Conclusion &amp; Viva Voce Preparation Guide</w:t>
      </w:r>
    </w:p>
    <w:p>
      <w:pPr>
        <w:spacing w:line="276" w:lineRule="auto"/>
      </w:pPr>
      <w:r>
        <w:t>Conclusion: The FinFlow system successfully achieves all CIE-2 rubric objectives, achieving over 95% classification accuracy and 0.9948 ROC-AUC, reducing decision cycle time from multiple business days to under 2 seconds, and providing full regulatory explainability.</w:t>
        <w:br/>
        <w:br/>
        <w:t>Key Viva Voce Q&amp;A for Defense:</w:t>
        <w:br/>
        <w:br/>
        <w:t>Q1: Why is Machine Learning superior to standard banking IF-THEN rules?</w:t>
        <w:br/>
        <w:t>Answer: Traditional rules use rigid 1-dimensional cutoffs (e.g. CIBIL &gt; 650) that reject creditworthy applicants who have high collateral backing. Machine learning discovers non-linear multivariate combinations between credit history, asset coverage, and debt capacity, maximizing loan volume safely.</w:t>
        <w:br/>
        <w:br/>
        <w:t>Q2: Why is Precision prioritized over Recall in banking?</w:t>
        <w:br/>
        <w:t>Answer: A False Positive (approving someone who defaults) causes a catastrophic 100% loss of loan principal, whereas a False Negative only forfeits a 3–4% interest spread. High precision directly prevents institutional capital destruction.</w:t>
        <w:br/>
        <w:br/>
        <w:t>Q3: What role does the Asset Coverage Ratio (ACR) play?</w:t>
        <w:br/>
        <w:t>Answer: Raw asset wealth alone does not indicate safety. An applicant with ₹1 Crore in assets seeking ₹5 Crores is dangerously under-collateralized (ACR = 0.2). ACR normalizes total pledged assets against requested debt to verify recovery prospects.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